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ind w:left="0" w:right="0"/>
        <w:rPr>
          <w:rFonts w:hint="default" w:ascii="Calibri" w:hAnsi="Calibri" w:eastAsia="sans-serif" w:cs="Calibri"/>
          <w:b/>
          <w:bCs/>
          <w:i w:val="0"/>
          <w:iCs w:val="0"/>
          <w:caps w:val="0"/>
          <w:color w:val="1A202C"/>
          <w:spacing w:val="0"/>
          <w:sz w:val="52"/>
          <w:szCs w:val="52"/>
          <w:shd w:val="clear" w:fill="FFFFFF"/>
          <w:lang w:val="en-GB"/>
        </w:rPr>
      </w:pPr>
      <w:r>
        <w:rPr>
          <w:rFonts w:hint="default" w:ascii="Calibri" w:hAnsi="Calibri" w:eastAsia="sans-serif" w:cs="Calibri"/>
          <w:b/>
          <w:bCs/>
          <w:i w:val="0"/>
          <w:iCs w:val="0"/>
          <w:caps w:val="0"/>
          <w:color w:val="1A202C"/>
          <w:spacing w:val="0"/>
          <w:sz w:val="52"/>
          <w:szCs w:val="52"/>
          <w:shd w:val="clear" w:fill="FFFFFF"/>
          <w:lang w:val="en-GB"/>
        </w:rPr>
        <w:t xml:space="preserve">ASSIGNMENT1 LEGAL PROCESS </w:t>
      </w:r>
    </w:p>
    <w:p>
      <w:pPr>
        <w:rPr>
          <w:rFonts w:hint="default"/>
          <w:lang w:val="en-GB"/>
        </w:rPr>
      </w:pPr>
    </w:p>
    <w:p>
      <w:pPr>
        <w:pStyle w:val="2"/>
        <w:keepNext w:val="0"/>
        <w:keepLines w:val="0"/>
        <w:widowControl/>
        <w:suppressLineNumbers w:val="0"/>
        <w:spacing w:before="0" w:beforeAutospacing="0" w:after="0" w:afterAutospacing="0" w:line="240" w:lineRule="auto"/>
        <w:ind w:left="0" w:right="0"/>
        <w:rPr>
          <w:rFonts w:hint="default" w:ascii="Calibri" w:hAnsi="Calibri" w:eastAsia="sans-serif" w:cs="Calibri"/>
          <w:b w:val="0"/>
          <w:bCs w:val="0"/>
          <w:i w:val="0"/>
          <w:iCs w:val="0"/>
          <w:caps w:val="0"/>
          <w:color w:val="1A202C"/>
          <w:spacing w:val="0"/>
          <w:sz w:val="24"/>
          <w:szCs w:val="24"/>
          <w:shd w:val="clear" w:fill="FFFFFF"/>
          <w:lang w:val="en-GB"/>
        </w:rPr>
      </w:pPr>
      <w:r>
        <w:rPr>
          <w:rFonts w:hint="default" w:ascii="Calibri" w:hAnsi="Calibri" w:eastAsia="sans-serif" w:cs="Calibri"/>
          <w:b w:val="0"/>
          <w:bCs w:val="0"/>
          <w:i w:val="0"/>
          <w:iCs w:val="0"/>
          <w:caps w:val="0"/>
          <w:color w:val="1A202C"/>
          <w:spacing w:val="0"/>
          <w:sz w:val="24"/>
          <w:szCs w:val="24"/>
          <w:shd w:val="clear" w:fill="FFFFFF"/>
        </w:rPr>
        <w:t>Th</w:t>
      </w:r>
      <w:r>
        <w:rPr>
          <w:rFonts w:hint="default" w:ascii="Calibri" w:hAnsi="Calibri" w:eastAsia="sans-serif" w:cs="Calibri"/>
          <w:b w:val="0"/>
          <w:bCs w:val="0"/>
          <w:i w:val="0"/>
          <w:iCs w:val="0"/>
          <w:caps w:val="0"/>
          <w:color w:val="1A202C"/>
          <w:spacing w:val="0"/>
          <w:sz w:val="24"/>
          <w:szCs w:val="24"/>
          <w:shd w:val="clear" w:fill="FFFFFF"/>
          <w:lang w:val="en-GB"/>
        </w:rPr>
        <w:t>e</w:t>
      </w:r>
      <w:r>
        <w:rPr>
          <w:rFonts w:hint="default" w:ascii="Calibri" w:hAnsi="Calibri" w:eastAsia="sans-serif" w:cs="Calibri"/>
          <w:b w:val="0"/>
          <w:bCs w:val="0"/>
          <w:i w:val="0"/>
          <w:iCs w:val="0"/>
          <w:caps w:val="0"/>
          <w:color w:val="1A202C"/>
          <w:spacing w:val="0"/>
          <w:sz w:val="24"/>
          <w:szCs w:val="24"/>
          <w:shd w:val="clear" w:fill="FFFFFF"/>
        </w:rPr>
        <w:t xml:space="preserve"> English legal system</w:t>
      </w:r>
      <w:r>
        <w:rPr>
          <w:rFonts w:hint="default" w:ascii="Calibri" w:hAnsi="Calibri" w:eastAsia="sans-serif" w:cs="Calibri"/>
          <w:b w:val="0"/>
          <w:bCs w:val="0"/>
          <w:i w:val="0"/>
          <w:iCs w:val="0"/>
          <w:caps w:val="0"/>
          <w:color w:val="1A202C"/>
          <w:spacing w:val="0"/>
          <w:sz w:val="24"/>
          <w:szCs w:val="24"/>
          <w:shd w:val="clear" w:fill="FFFFFF"/>
          <w:lang w:val="en-GB"/>
        </w:rPr>
        <w:t xml:space="preserve"> has three main Jurisdictions </w:t>
      </w:r>
    </w:p>
    <w:p>
      <w:pPr>
        <w:pStyle w:val="2"/>
        <w:keepNext w:val="0"/>
        <w:keepLines w:val="0"/>
        <w:widowControl/>
        <w:suppressLineNumbers w:val="0"/>
        <w:spacing w:before="0" w:beforeAutospacing="0" w:after="0" w:afterAutospacing="0" w:line="240" w:lineRule="auto"/>
        <w:ind w:left="0" w:right="0"/>
        <w:rPr>
          <w:rFonts w:hint="default" w:ascii="Calibri" w:hAnsi="Calibri" w:eastAsia="sans-serif" w:cs="Calibri"/>
          <w:b w:val="0"/>
          <w:bCs w:val="0"/>
          <w:i w:val="0"/>
          <w:iCs w:val="0"/>
          <w:caps w:val="0"/>
          <w:color w:val="1A202C"/>
          <w:spacing w:val="0"/>
          <w:sz w:val="24"/>
          <w:szCs w:val="24"/>
          <w:shd w:val="clear" w:fill="FFFFFF"/>
        </w:rPr>
      </w:pPr>
      <w:r>
        <w:rPr>
          <w:rFonts w:hint="default" w:ascii="Calibri" w:hAnsi="Calibri" w:eastAsia="sans-serif" w:cs="Calibri"/>
          <w:b w:val="0"/>
          <w:bCs w:val="0"/>
          <w:i w:val="0"/>
          <w:iCs w:val="0"/>
          <w:caps w:val="0"/>
          <w:color w:val="1A202C"/>
          <w:spacing w:val="0"/>
          <w:sz w:val="24"/>
          <w:szCs w:val="24"/>
          <w:shd w:val="clear" w:fill="FFFFFF"/>
        </w:rPr>
        <w:t>England and Wales,</w:t>
      </w:r>
      <w:r>
        <w:rPr>
          <w:rFonts w:hint="default" w:ascii="Calibri" w:hAnsi="Calibri" w:eastAsia="sans-serif" w:cs="Calibri"/>
          <w:b w:val="0"/>
          <w:bCs w:val="0"/>
          <w:i w:val="0"/>
          <w:iCs w:val="0"/>
          <w:caps w:val="0"/>
          <w:color w:val="1A202C"/>
          <w:spacing w:val="0"/>
          <w:sz w:val="24"/>
          <w:szCs w:val="24"/>
          <w:shd w:val="clear" w:fill="FFFFFF"/>
          <w:lang w:val="en-GB"/>
        </w:rPr>
        <w:t xml:space="preserve"> </w:t>
      </w:r>
      <w:r>
        <w:rPr>
          <w:rFonts w:hint="default" w:ascii="Calibri" w:hAnsi="Calibri" w:eastAsia="sans-serif" w:cs="Calibri"/>
          <w:b w:val="0"/>
          <w:bCs w:val="0"/>
          <w:i w:val="0"/>
          <w:iCs w:val="0"/>
          <w:caps w:val="0"/>
          <w:color w:val="1A202C"/>
          <w:spacing w:val="0"/>
          <w:sz w:val="24"/>
          <w:szCs w:val="24"/>
          <w:shd w:val="clear" w:fill="FFFFFF"/>
        </w:rPr>
        <w:t>Scotland,Northern Ireland.</w:t>
      </w:r>
      <w:r>
        <w:rPr>
          <w:rFonts w:hint="default" w:ascii="Calibri" w:hAnsi="Calibri" w:eastAsia="sans-serif" w:cs="Calibri"/>
          <w:b w:val="0"/>
          <w:bCs w:val="0"/>
          <w:i w:val="0"/>
          <w:iCs w:val="0"/>
          <w:caps w:val="0"/>
          <w:color w:val="1A202C"/>
          <w:spacing w:val="0"/>
          <w:sz w:val="24"/>
          <w:szCs w:val="24"/>
          <w:shd w:val="clear" w:fill="FFFFFF"/>
          <w:lang w:val="en-GB"/>
        </w:rPr>
        <w:t xml:space="preserve">  </w:t>
      </w:r>
      <w:r>
        <w:rPr>
          <w:rFonts w:hint="default" w:ascii="Calibri" w:hAnsi="Calibri" w:eastAsia="sans-serif" w:cs="Calibri"/>
          <w:b w:val="0"/>
          <w:bCs w:val="0"/>
          <w:i w:val="0"/>
          <w:iCs w:val="0"/>
          <w:caps w:val="0"/>
          <w:color w:val="1A202C"/>
          <w:spacing w:val="0"/>
          <w:sz w:val="24"/>
          <w:szCs w:val="24"/>
          <w:shd w:val="clear" w:fill="FFFFFF"/>
        </w:rPr>
        <w:t>Each jurisdiction has its own laws</w:t>
      </w:r>
      <w:r>
        <w:rPr>
          <w:rFonts w:hint="default" w:ascii="Calibri" w:hAnsi="Calibri" w:eastAsia="sans-serif" w:cs="Calibri"/>
          <w:b w:val="0"/>
          <w:bCs w:val="0"/>
          <w:i w:val="0"/>
          <w:iCs w:val="0"/>
          <w:caps w:val="0"/>
          <w:color w:val="1A202C"/>
          <w:spacing w:val="0"/>
          <w:sz w:val="24"/>
          <w:szCs w:val="24"/>
          <w:shd w:val="clear" w:fill="FFFFFF"/>
          <w:lang w:val="en-GB"/>
        </w:rPr>
        <w:t xml:space="preserve"> and</w:t>
      </w:r>
      <w:r>
        <w:rPr>
          <w:rFonts w:hint="default" w:ascii="Calibri" w:hAnsi="Calibri" w:eastAsia="sans-serif" w:cs="Calibri"/>
          <w:b w:val="0"/>
          <w:bCs w:val="0"/>
          <w:i w:val="0"/>
          <w:iCs w:val="0"/>
          <w:caps w:val="0"/>
          <w:color w:val="1A202C"/>
          <w:spacing w:val="0"/>
          <w:sz w:val="24"/>
          <w:szCs w:val="24"/>
          <w:shd w:val="clear" w:fill="FFFFFF"/>
        </w:rPr>
        <w:t xml:space="preserve"> court system</w:t>
      </w:r>
    </w:p>
    <w:p>
      <w:pPr>
        <w:pStyle w:val="4"/>
        <w:keepNext w:val="0"/>
        <w:keepLines w:val="0"/>
        <w:widowControl/>
        <w:suppressLineNumbers w:val="0"/>
        <w:shd w:val="clear" w:fill="FFFFFF"/>
        <w:spacing w:before="0" w:beforeAutospacing="0" w:line="240" w:lineRule="auto"/>
        <w:ind w:left="0" w:firstLine="0"/>
        <w:rPr>
          <w:rFonts w:hint="default" w:ascii="Calibri" w:hAnsi="Calibri" w:eastAsia="sans-serif" w:cs="Calibri"/>
          <w:b w:val="0"/>
          <w:bCs w:val="0"/>
          <w:i w:val="0"/>
          <w:iCs w:val="0"/>
          <w:caps w:val="0"/>
          <w:color w:val="1A202C"/>
          <w:spacing w:val="0"/>
          <w:sz w:val="24"/>
          <w:szCs w:val="24"/>
          <w:shd w:val="clear" w:fill="FFFFFF"/>
        </w:rPr>
      </w:pPr>
      <w:r>
        <w:rPr>
          <w:rFonts w:hint="default" w:ascii="Calibri" w:hAnsi="Calibri" w:eastAsia="sans-serif" w:cs="Calibri"/>
          <w:b w:val="0"/>
          <w:bCs w:val="0"/>
          <w:i w:val="0"/>
          <w:iCs w:val="0"/>
          <w:caps w:val="0"/>
          <w:color w:val="1A202C"/>
          <w:spacing w:val="0"/>
          <w:sz w:val="24"/>
          <w:szCs w:val="24"/>
          <w:shd w:val="clear" w:fill="FFFFFF"/>
        </w:rPr>
        <w:t xml:space="preserve">Laws may be defined as the rules that govern the behaviour of human beings within a civilized society. </w:t>
      </w:r>
    </w:p>
    <w:p>
      <w:pPr>
        <w:pStyle w:val="10"/>
        <w:keepNext w:val="0"/>
        <w:keepLines w:val="0"/>
        <w:widowControl/>
        <w:suppressLineNumbers w:val="0"/>
        <w:shd w:val="clear" w:fill="FFFFFF"/>
        <w:spacing w:before="0" w:beforeAutospacing="0" w:line="240" w:lineRule="auto"/>
        <w:ind w:left="0" w:firstLine="0"/>
        <w:rPr>
          <w:rFonts w:hint="default" w:ascii="Calibri" w:hAnsi="Calibri" w:eastAsia="sans-serif" w:cs="Calibri"/>
          <w:b w:val="0"/>
          <w:bCs w:val="0"/>
          <w:i w:val="0"/>
          <w:iCs w:val="0"/>
          <w:caps w:val="0"/>
          <w:color w:val="1A202C"/>
          <w:spacing w:val="0"/>
          <w:sz w:val="24"/>
          <w:szCs w:val="24"/>
          <w:shd w:val="clear" w:fill="FFFFFF"/>
        </w:rPr>
      </w:pPr>
      <w:r>
        <w:rPr>
          <w:rFonts w:hint="default" w:ascii="Calibri" w:hAnsi="Calibri" w:eastAsia="sans-serif" w:cs="Calibri"/>
          <w:b w:val="0"/>
          <w:bCs w:val="0"/>
          <w:i w:val="0"/>
          <w:iCs w:val="0"/>
          <w:caps w:val="0"/>
          <w:color w:val="1A202C"/>
          <w:spacing w:val="0"/>
          <w:sz w:val="24"/>
          <w:szCs w:val="24"/>
          <w:shd w:val="clear" w:fill="FFFFFF"/>
        </w:rPr>
        <w:t>Sources of law may be described as primary or secondary.</w:t>
      </w:r>
    </w:p>
    <w:p>
      <w:pPr>
        <w:pStyle w:val="10"/>
        <w:keepNext w:val="0"/>
        <w:keepLines w:val="0"/>
        <w:widowControl/>
        <w:suppressLineNumbers w:val="0"/>
        <w:shd w:val="clear" w:fill="FFFFFF"/>
        <w:spacing w:before="0" w:beforeAutospacing="0" w:line="240" w:lineRule="auto"/>
        <w:ind w:left="0" w:firstLine="0"/>
        <w:rPr>
          <w:rFonts w:hint="default" w:ascii="Calibri" w:hAnsi="Calibri" w:eastAsia="sans-serif" w:cs="Calibri"/>
          <w:b w:val="0"/>
          <w:bCs w:val="0"/>
          <w:i w:val="0"/>
          <w:iCs w:val="0"/>
          <w:caps w:val="0"/>
          <w:color w:val="1A202C"/>
          <w:spacing w:val="0"/>
          <w:sz w:val="24"/>
          <w:szCs w:val="24"/>
          <w:shd w:val="clear" w:fill="FFFFFF"/>
          <w:lang w:val="en-GB"/>
        </w:rPr>
      </w:pPr>
      <w:r>
        <w:rPr>
          <w:rStyle w:val="11"/>
          <w:rFonts w:hint="default" w:ascii="Calibri" w:hAnsi="Calibri" w:eastAsia="sans-serif" w:cs="Calibri"/>
          <w:b w:val="0"/>
          <w:bCs w:val="0"/>
          <w:i w:val="0"/>
          <w:iCs w:val="0"/>
          <w:caps w:val="0"/>
          <w:color w:val="1A202C"/>
          <w:spacing w:val="0"/>
          <w:sz w:val="24"/>
          <w:szCs w:val="24"/>
          <w:shd w:val="clear" w:fill="FFFFFF"/>
        </w:rPr>
        <w:t>Primary</w:t>
      </w:r>
      <w:r>
        <w:rPr>
          <w:rFonts w:hint="default" w:ascii="Calibri" w:hAnsi="Calibri" w:eastAsia="sans-serif" w:cs="Calibri"/>
          <w:b w:val="0"/>
          <w:bCs w:val="0"/>
          <w:i w:val="0"/>
          <w:iCs w:val="0"/>
          <w:caps w:val="0"/>
          <w:color w:val="1A202C"/>
          <w:spacing w:val="0"/>
          <w:sz w:val="24"/>
          <w:szCs w:val="24"/>
          <w:shd w:val="clear" w:fill="FFFFFF"/>
        </w:rPr>
        <w:t> source of law are</w:t>
      </w:r>
      <w:r>
        <w:rPr>
          <w:rFonts w:hint="default" w:ascii="Calibri" w:hAnsi="Calibri" w:eastAsia="sans-serif" w:cs="Calibri"/>
          <w:b w:val="0"/>
          <w:bCs w:val="0"/>
          <w:i w:val="0"/>
          <w:iCs w:val="0"/>
          <w:caps w:val="0"/>
          <w:color w:val="1A202C"/>
          <w:spacing w:val="0"/>
          <w:sz w:val="24"/>
          <w:szCs w:val="24"/>
          <w:shd w:val="clear" w:fill="FFFFFF"/>
          <w:lang w:val="en-GB"/>
        </w:rPr>
        <w:t xml:space="preserve"> </w:t>
      </w:r>
    </w:p>
    <w:p>
      <w:pPr>
        <w:pStyle w:val="10"/>
        <w:keepNext w:val="0"/>
        <w:keepLines w:val="0"/>
        <w:widowControl/>
        <w:suppressLineNumbers w:val="0"/>
        <w:shd w:val="clear" w:fill="FFFFFF"/>
        <w:spacing w:before="0" w:beforeAutospacing="0" w:line="240" w:lineRule="auto"/>
        <w:ind w:left="0" w:firstLine="0"/>
        <w:rPr>
          <w:rFonts w:hint="default" w:ascii="Calibri" w:hAnsi="Calibri" w:eastAsia="sans-serif" w:cs="Calibri"/>
          <w:b w:val="0"/>
          <w:bCs w:val="0"/>
          <w:i w:val="0"/>
          <w:iCs w:val="0"/>
          <w:caps w:val="0"/>
          <w:color w:val="1A202C"/>
          <w:spacing w:val="0"/>
          <w:sz w:val="24"/>
          <w:szCs w:val="24"/>
          <w:lang w:val="en-GB"/>
        </w:rPr>
      </w:pPr>
      <w:r>
        <w:rPr>
          <w:rFonts w:hint="default" w:ascii="Calibri" w:hAnsi="Calibri" w:eastAsia="sans-serif" w:cs="Calibri"/>
          <w:b w:val="0"/>
          <w:bCs w:val="0"/>
          <w:i w:val="0"/>
          <w:iCs w:val="0"/>
          <w:caps w:val="0"/>
          <w:color w:val="1A202C"/>
          <w:spacing w:val="0"/>
          <w:sz w:val="24"/>
          <w:szCs w:val="24"/>
          <w:shd w:val="clear" w:fill="FFFFFF"/>
          <w:lang w:val="en-GB"/>
        </w:rPr>
        <w:t xml:space="preserve">Legislation (Acts of Parliament) </w:t>
      </w:r>
    </w:p>
    <w:p>
      <w:pPr>
        <w:keepNext w:val="0"/>
        <w:keepLines w:val="0"/>
        <w:widowControl/>
        <w:numPr>
          <w:ilvl w:val="0"/>
          <w:numId w:val="0"/>
        </w:numPr>
        <w:suppressLineNumbers w:val="0"/>
        <w:spacing w:before="0" w:beforeAutospacing="1" w:after="0" w:afterAutospacing="1" w:line="240" w:lineRule="auto"/>
        <w:ind w:left="-60" w:leftChars="0" w:firstLine="120" w:firstLineChars="50"/>
        <w:rPr>
          <w:rFonts w:hint="default" w:ascii="Calibri" w:hAnsi="Calibri" w:cs="Calibri"/>
          <w:b w:val="0"/>
          <w:bCs w:val="0"/>
          <w:sz w:val="24"/>
          <w:szCs w:val="24"/>
          <w:lang w:val="en-GB"/>
        </w:rPr>
      </w:pPr>
      <w:r>
        <w:rPr>
          <w:rFonts w:hint="default" w:ascii="Calibri" w:hAnsi="Calibri" w:eastAsia="sans-serif" w:cs="Calibri"/>
          <w:b w:val="0"/>
          <w:bCs w:val="0"/>
          <w:i w:val="0"/>
          <w:iCs w:val="0"/>
          <w:caps w:val="0"/>
          <w:color w:val="1A202C"/>
          <w:spacing w:val="0"/>
          <w:sz w:val="24"/>
          <w:szCs w:val="24"/>
          <w:shd w:val="clear" w:fill="FFFFFF"/>
        </w:rPr>
        <w:t>Case law (decisions of the higher courts</w:t>
      </w:r>
      <w:r>
        <w:rPr>
          <w:rFonts w:hint="default" w:ascii="Calibri" w:hAnsi="Calibri" w:eastAsia="sans-serif" w:cs="Calibri"/>
          <w:b w:val="0"/>
          <w:bCs w:val="0"/>
          <w:i w:val="0"/>
          <w:iCs w:val="0"/>
          <w:caps w:val="0"/>
          <w:color w:val="1A202C"/>
          <w:spacing w:val="0"/>
          <w:sz w:val="24"/>
          <w:szCs w:val="24"/>
          <w:shd w:val="clear" w:fill="FFFFFF"/>
          <w:lang w:val="en-GB"/>
        </w:rPr>
        <w:t>)</w:t>
      </w:r>
    </w:p>
    <w:p>
      <w:pPr>
        <w:pStyle w:val="10"/>
        <w:keepNext w:val="0"/>
        <w:keepLines w:val="0"/>
        <w:widowControl/>
        <w:suppressLineNumbers w:val="0"/>
        <w:shd w:val="clear" w:fill="FFFFFF"/>
        <w:spacing w:before="0" w:beforeAutospacing="0" w:line="240" w:lineRule="auto"/>
        <w:ind w:left="0" w:firstLine="0"/>
        <w:rPr>
          <w:rFonts w:hint="default" w:ascii="Calibri" w:hAnsi="Calibri" w:eastAsia="sans-serif" w:cs="Calibri"/>
          <w:b w:val="0"/>
          <w:bCs w:val="0"/>
          <w:i w:val="0"/>
          <w:iCs w:val="0"/>
          <w:caps w:val="0"/>
          <w:color w:val="1A202C"/>
          <w:spacing w:val="0"/>
          <w:sz w:val="24"/>
          <w:szCs w:val="24"/>
        </w:rPr>
      </w:pPr>
      <w:r>
        <w:rPr>
          <w:rStyle w:val="11"/>
          <w:rFonts w:hint="default" w:ascii="Calibri" w:hAnsi="Calibri" w:eastAsia="sans-serif" w:cs="Calibri"/>
          <w:b w:val="0"/>
          <w:bCs w:val="0"/>
          <w:i w:val="0"/>
          <w:iCs w:val="0"/>
          <w:caps w:val="0"/>
          <w:color w:val="1A202C"/>
          <w:spacing w:val="0"/>
          <w:sz w:val="24"/>
          <w:szCs w:val="24"/>
          <w:shd w:val="clear" w:fill="FFFFFF"/>
        </w:rPr>
        <w:t>Secondary</w:t>
      </w:r>
      <w:r>
        <w:rPr>
          <w:rFonts w:hint="default" w:ascii="Calibri" w:hAnsi="Calibri" w:eastAsia="sans-serif" w:cs="Calibri"/>
          <w:b w:val="0"/>
          <w:bCs w:val="0"/>
          <w:i w:val="0"/>
          <w:iCs w:val="0"/>
          <w:caps w:val="0"/>
          <w:color w:val="1A202C"/>
          <w:spacing w:val="0"/>
          <w:sz w:val="24"/>
          <w:szCs w:val="24"/>
          <w:shd w:val="clear" w:fill="FFFFFF"/>
        </w:rPr>
        <w:t> sources of law are</w:t>
      </w:r>
    </w:p>
    <w:p>
      <w:pPr>
        <w:keepNext w:val="0"/>
        <w:keepLines w:val="0"/>
        <w:widowControl/>
        <w:numPr>
          <w:ilvl w:val="0"/>
          <w:numId w:val="0"/>
        </w:numPr>
        <w:suppressLineNumbers w:val="0"/>
        <w:spacing w:before="0" w:beforeAutospacing="1" w:after="0" w:afterAutospacing="1" w:line="240" w:lineRule="auto"/>
        <w:rPr>
          <w:rFonts w:hint="default" w:ascii="Calibri" w:hAnsi="Calibri" w:cs="Calibri"/>
          <w:b w:val="0"/>
          <w:bCs w:val="0"/>
          <w:sz w:val="24"/>
          <w:szCs w:val="24"/>
        </w:rPr>
      </w:pPr>
      <w:r>
        <w:rPr>
          <w:rFonts w:hint="default" w:ascii="Calibri" w:hAnsi="Calibri" w:eastAsia="sans-serif" w:cs="Calibri"/>
          <w:b w:val="0"/>
          <w:bCs w:val="0"/>
          <w:i w:val="0"/>
          <w:iCs w:val="0"/>
          <w:caps w:val="0"/>
          <w:color w:val="1A202C"/>
          <w:spacing w:val="0"/>
          <w:sz w:val="24"/>
          <w:szCs w:val="24"/>
          <w:shd w:val="clear" w:fill="FFFFFF"/>
        </w:rPr>
        <w:t>textbooks and commentaries by legal writers,</w:t>
      </w:r>
    </w:p>
    <w:p>
      <w:pPr>
        <w:keepNext w:val="0"/>
        <w:keepLines w:val="0"/>
        <w:widowControl/>
        <w:numPr>
          <w:ilvl w:val="0"/>
          <w:numId w:val="0"/>
        </w:numPr>
        <w:suppressLineNumbers w:val="0"/>
        <w:spacing w:before="0" w:beforeAutospacing="1" w:after="0" w:afterAutospacing="1" w:line="240" w:lineRule="auto"/>
        <w:ind w:left="-60" w:leftChars="0"/>
        <w:rPr>
          <w:rFonts w:hint="default" w:ascii="Calibri" w:hAnsi="Calibri" w:cs="Calibri"/>
          <w:b w:val="0"/>
          <w:bCs w:val="0"/>
          <w:sz w:val="24"/>
          <w:szCs w:val="24"/>
        </w:rPr>
      </w:pPr>
      <w:r>
        <w:rPr>
          <w:rFonts w:hint="default" w:ascii="Calibri" w:hAnsi="Calibri" w:eastAsia="sans-serif" w:cs="Calibri"/>
          <w:b w:val="0"/>
          <w:bCs w:val="0"/>
          <w:i w:val="0"/>
          <w:iCs w:val="0"/>
          <w:caps w:val="0"/>
          <w:color w:val="1A202C"/>
          <w:spacing w:val="0"/>
          <w:sz w:val="24"/>
          <w:szCs w:val="24"/>
          <w:shd w:val="clear" w:fill="FFFFFF"/>
        </w:rPr>
        <w:t>the opinions of legal experts, and</w:t>
      </w:r>
    </w:p>
    <w:p>
      <w:pPr>
        <w:keepNext w:val="0"/>
        <w:keepLines w:val="0"/>
        <w:widowControl/>
        <w:numPr>
          <w:ilvl w:val="0"/>
          <w:numId w:val="0"/>
        </w:numPr>
        <w:suppressLineNumbers w:val="0"/>
        <w:spacing w:before="0" w:beforeAutospacing="1" w:after="0" w:afterAutospacing="1" w:line="240" w:lineRule="auto"/>
        <w:ind w:left="-60" w:leftChars="0"/>
        <w:rPr>
          <w:rFonts w:hint="default" w:ascii="Calibri" w:hAnsi="Calibri" w:cs="Calibri"/>
          <w:b w:val="0"/>
          <w:bCs w:val="0"/>
          <w:sz w:val="24"/>
          <w:szCs w:val="24"/>
        </w:rPr>
      </w:pPr>
      <w:r>
        <w:rPr>
          <w:rFonts w:hint="default" w:ascii="Calibri" w:hAnsi="Calibri" w:eastAsia="sans-serif" w:cs="Calibri"/>
          <w:b w:val="0"/>
          <w:bCs w:val="0"/>
          <w:i w:val="0"/>
          <w:iCs w:val="0"/>
          <w:caps w:val="0"/>
          <w:color w:val="1A202C"/>
          <w:spacing w:val="0"/>
          <w:sz w:val="24"/>
          <w:szCs w:val="24"/>
          <w:shd w:val="clear" w:fill="FFFFFF"/>
        </w:rPr>
        <w:t>decisions of the courts (of whatever seniority) of other (foreign) jurisdictions,</w:t>
      </w:r>
    </w:p>
    <w:p>
      <w:pPr>
        <w:pStyle w:val="10"/>
        <w:keepNext w:val="0"/>
        <w:keepLines w:val="0"/>
        <w:widowControl/>
        <w:suppressLineNumbers w:val="0"/>
        <w:shd w:val="clear" w:fill="FFFFFF"/>
        <w:spacing w:before="0" w:beforeAutospacing="0" w:line="240" w:lineRule="auto"/>
        <w:ind w:left="0" w:firstLine="0"/>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sans-serif" w:cs="Calibri"/>
          <w:b w:val="0"/>
          <w:bCs w:val="0"/>
          <w:i w:val="0"/>
          <w:iCs w:val="0"/>
          <w:caps w:val="0"/>
          <w:color w:val="1A202C"/>
          <w:spacing w:val="0"/>
          <w:sz w:val="24"/>
          <w:szCs w:val="24"/>
          <w:shd w:val="clear" w:fill="FFFFFF"/>
        </w:rPr>
        <w:t>all of which are treated as “persuasive” and may be taken into account by a court when making a decision, though the court is not bound to do so.</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Helvetica" w:cs="Calibri"/>
          <w:i w:val="0"/>
          <w:iCs w:val="0"/>
          <w:caps w:val="0"/>
          <w:color w:val="auto"/>
          <w:spacing w:val="0"/>
          <w:sz w:val="26"/>
          <w:szCs w:val="26"/>
          <w:u w:val="none"/>
          <w:shd w:val="clear" w:fill="FFFFFF"/>
          <w:vertAlign w:val="baseline"/>
          <w:lang w:val="en-GB"/>
        </w:rPr>
        <w:t xml:space="preserve">The Common Law is the law declared by judges derived from custom and precedents </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Helvetica" w:cs="Calibri"/>
          <w:i w:val="0"/>
          <w:iCs w:val="0"/>
          <w:caps w:val="0"/>
          <w:color w:val="auto"/>
          <w:spacing w:val="0"/>
          <w:sz w:val="26"/>
          <w:szCs w:val="26"/>
          <w:u w:val="none"/>
          <w:shd w:val="clear" w:fill="FFFFFF"/>
          <w:vertAlign w:val="baseline"/>
          <w:lang w:val="en-GB"/>
        </w:rPr>
        <w:t>Common Law is a body of unwritten Laws based on legal precedents</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Helvetica" w:cs="Calibri"/>
          <w:i w:val="0"/>
          <w:iCs w:val="0"/>
          <w:caps w:val="0"/>
          <w:color w:val="auto"/>
          <w:spacing w:val="0"/>
          <w:sz w:val="26"/>
          <w:szCs w:val="26"/>
          <w:u w:val="none"/>
          <w:shd w:val="clear" w:fill="FFFFFF"/>
          <w:vertAlign w:val="baseline"/>
          <w:lang w:val="en-GB"/>
        </w:rPr>
        <w:t xml:space="preserve">A detail record of previous court cases </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Helvetica" w:cs="Calibri"/>
          <w:i w:val="0"/>
          <w:iCs w:val="0"/>
          <w:caps w:val="0"/>
          <w:color w:val="auto"/>
          <w:spacing w:val="0"/>
          <w:sz w:val="26"/>
          <w:szCs w:val="26"/>
          <w:u w:val="none"/>
          <w:shd w:val="clear" w:fill="FFFFFF"/>
          <w:vertAlign w:val="baseline"/>
          <w:lang w:val="en-GB"/>
        </w:rPr>
        <w:t xml:space="preserve">A body of unwritten laws based on legal precedents established by the courts </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Helvetica" w:cs="Calibri"/>
          <w:i w:val="0"/>
          <w:iCs w:val="0"/>
          <w:caps w:val="0"/>
          <w:color w:val="auto"/>
          <w:spacing w:val="0"/>
          <w:sz w:val="26"/>
          <w:szCs w:val="26"/>
          <w:u w:val="none"/>
          <w:shd w:val="clear" w:fill="FFFFFF"/>
          <w:vertAlign w:val="baseline"/>
          <w:lang w:val="en-GB"/>
        </w:rPr>
        <w:t xml:space="preserve">Common Law is also known as case law is a body of unwritten </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lang w:val="en-GB"/>
        </w:rPr>
      </w:pPr>
      <w:r>
        <w:rPr>
          <w:rFonts w:hint="default" w:ascii="Calibri" w:hAnsi="Calibri" w:eastAsia="Helvetica" w:cs="Calibri"/>
          <w:i w:val="0"/>
          <w:iCs w:val="0"/>
          <w:caps w:val="0"/>
          <w:color w:val="auto"/>
          <w:spacing w:val="0"/>
          <w:sz w:val="26"/>
          <w:szCs w:val="26"/>
          <w:u w:val="none"/>
          <w:shd w:val="clear" w:fill="FFFFFF"/>
          <w:vertAlign w:val="baseline"/>
        </w:rPr>
        <w:fldChar w:fldCharType="begin"/>
      </w:r>
      <w:r>
        <w:rPr>
          <w:rFonts w:hint="default" w:ascii="Calibri" w:hAnsi="Calibri" w:eastAsia="Helvetica" w:cs="Calibri"/>
          <w:i w:val="0"/>
          <w:iCs w:val="0"/>
          <w:caps w:val="0"/>
          <w:color w:val="auto"/>
          <w:spacing w:val="0"/>
          <w:sz w:val="26"/>
          <w:szCs w:val="26"/>
          <w:u w:val="none"/>
          <w:shd w:val="clear" w:fill="FFFFFF"/>
          <w:vertAlign w:val="baseline"/>
        </w:rPr>
        <w:instrText xml:space="preserve"> HYPERLINK "https://plus-lexis-com.ezproxy.uwtsd.ac.uk/uk/document/?pdmfid=1001073&amp;pddocfullpath=/shared/document/analytical-materials-uk/urn:contentItem:5TJ9-MGJ1-DYCB-R2TY-00000-00&amp;pdrfcid=_0089_5_HALS_HTCOMM-SOURCE_96_HTCOMM-VOL_360_HTCOMM-PARAGRAPH&amp;pdpinpoint=_0089_5_HALS_HTCOMM-SOURCE_96_HTCOMM-VOL_360_HTCOMM-PARAGRAPH" </w:instrText>
      </w:r>
      <w:r>
        <w:rPr>
          <w:rFonts w:hint="default" w:ascii="Calibri" w:hAnsi="Calibri" w:eastAsia="Helvetica" w:cs="Calibri"/>
          <w:i w:val="0"/>
          <w:iCs w:val="0"/>
          <w:caps w:val="0"/>
          <w:color w:val="auto"/>
          <w:spacing w:val="0"/>
          <w:sz w:val="26"/>
          <w:szCs w:val="26"/>
          <w:u w:val="none"/>
          <w:shd w:val="clear" w:fill="FFFFFF"/>
          <w:vertAlign w:val="baseline"/>
        </w:rPr>
        <w:fldChar w:fldCharType="separate"/>
      </w:r>
      <w:r>
        <w:rPr>
          <w:rStyle w:val="8"/>
          <w:rFonts w:hint="default" w:ascii="Calibri" w:hAnsi="Calibri" w:eastAsia="Helvetica" w:cs="Calibri"/>
          <w:i w:val="0"/>
          <w:iCs w:val="0"/>
          <w:caps w:val="0"/>
          <w:color w:val="auto"/>
          <w:spacing w:val="0"/>
          <w:sz w:val="26"/>
          <w:szCs w:val="26"/>
          <w:u w:val="none"/>
          <w:shd w:val="clear" w:fill="FFFFFF"/>
          <w:vertAlign w:val="baseline"/>
        </w:rPr>
        <w:t xml:space="preserve">Under the doctrine of judicial notice, a court will in certain circumstances accept the existence of a law or fact, or the meaning of a term, without the necessity of proof. </w:t>
      </w:r>
      <w:r>
        <w:rPr>
          <w:rFonts w:hint="default" w:ascii="Calibri" w:hAnsi="Calibri" w:eastAsia="Helvetica" w:cs="Calibri"/>
          <w:i w:val="0"/>
          <w:iCs w:val="0"/>
          <w:caps w:val="0"/>
          <w:color w:val="auto"/>
          <w:spacing w:val="0"/>
          <w:sz w:val="26"/>
          <w:szCs w:val="26"/>
          <w:u w:val="none"/>
          <w:shd w:val="clear" w:fill="FFFFFF"/>
          <w:vertAlign w:val="baseline"/>
        </w:rPr>
        <w:fldChar w:fldCharType="end"/>
      </w:r>
      <w:r>
        <w:rPr>
          <w:rFonts w:hint="default" w:ascii="Calibri" w:hAnsi="Calibri" w:eastAsia="Helvetica" w:cs="Calibri"/>
          <w:i w:val="0"/>
          <w:iCs w:val="0"/>
          <w:caps w:val="0"/>
          <w:color w:val="auto"/>
          <w:spacing w:val="0"/>
          <w:sz w:val="26"/>
          <w:szCs w:val="26"/>
          <w:u w:val="none"/>
          <w:shd w:val="clear" w:fill="FFFFFF"/>
          <w:vertAlign w:val="baseline"/>
          <w:lang w:val="en-GB"/>
        </w:rPr>
        <w:t xml:space="preserve"> (</w:t>
      </w:r>
      <w:r>
        <w:rPr>
          <w:rFonts w:hint="default" w:ascii="Calibri" w:hAnsi="Calibri" w:eastAsia="Helvetica" w:cs="Calibri"/>
          <w:i w:val="0"/>
          <w:iCs w:val="0"/>
          <w:caps w:val="0"/>
          <w:color w:val="auto"/>
          <w:spacing w:val="0"/>
          <w:sz w:val="26"/>
          <w:szCs w:val="26"/>
          <w:shd w:val="clear" w:fill="FFFFFF"/>
        </w:rPr>
        <w:t>360. Judicial notice.</w:t>
      </w:r>
      <w:r>
        <w:rPr>
          <w:rFonts w:hint="default" w:ascii="Calibri" w:hAnsi="Calibri" w:eastAsia="Helvetica" w:cs="Calibri"/>
          <w:i w:val="0"/>
          <w:iCs w:val="0"/>
          <w:caps w:val="0"/>
          <w:color w:val="auto"/>
          <w:spacing w:val="0"/>
          <w:sz w:val="26"/>
          <w:szCs w:val="26"/>
          <w:shd w:val="clear" w:fill="FFFFFF"/>
          <w:vertAlign w:val="baseline"/>
        </w:rPr>
        <w:t>|Halsbury's Laws of England</w:t>
      </w:r>
      <w:r>
        <w:rPr>
          <w:rFonts w:hint="default" w:ascii="Calibri" w:hAnsi="Calibri" w:eastAsia="Helvetica" w:cs="Calibri"/>
          <w:i w:val="0"/>
          <w:iCs w:val="0"/>
          <w:caps w:val="0"/>
          <w:color w:val="auto"/>
          <w:spacing w:val="0"/>
          <w:sz w:val="26"/>
          <w:szCs w:val="26"/>
          <w:shd w:val="clear" w:fill="FFFFFF"/>
          <w:vertAlign w:val="baseline"/>
          <w:lang w:val="en-GB"/>
        </w:rPr>
        <w:t>)</w:t>
      </w:r>
    </w:p>
    <w:p>
      <w:pPr>
        <w:spacing w:line="240" w:lineRule="auto"/>
        <w:rPr>
          <w:rFonts w:hint="default" w:ascii="Calibri" w:hAnsi="Calibri" w:eastAsia="Helvetica" w:cs="Calibri"/>
          <w:i w:val="0"/>
          <w:iCs w:val="0"/>
          <w:caps w:val="0"/>
          <w:color w:val="auto"/>
          <w:spacing w:val="0"/>
          <w:sz w:val="26"/>
          <w:szCs w:val="26"/>
          <w:u w:val="none"/>
          <w:shd w:val="clear" w:fill="FFFFFF"/>
          <w:vertAlign w:val="baseline"/>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40" w:lineRule="auto"/>
        <w:ind w:left="0" w:right="0" w:firstLine="0"/>
        <w:textAlignment w:val="baseline"/>
        <w:rPr>
          <w:rFonts w:hint="default" w:ascii="Calibri" w:hAnsi="Calibri" w:eastAsia="Georgia" w:cs="Calibri"/>
          <w:i w:val="0"/>
          <w:iCs w:val="0"/>
          <w:caps w:val="0"/>
          <w:color w:val="auto"/>
          <w:spacing w:val="0"/>
          <w:sz w:val="26"/>
          <w:szCs w:val="26"/>
        </w:rPr>
      </w:pPr>
      <w:r>
        <w:rPr>
          <w:rFonts w:hint="default" w:ascii="Calibri" w:hAnsi="Calibri" w:eastAsia="Georgia" w:cs="Calibri"/>
          <w:i w:val="0"/>
          <w:iCs w:val="0"/>
          <w:caps w:val="0"/>
          <w:color w:val="auto"/>
          <w:spacing w:val="0"/>
          <w:sz w:val="26"/>
          <w:szCs w:val="26"/>
          <w:shd w:val="clear" w:fill="FFFFFF"/>
          <w:vertAlign w:val="baseline"/>
        </w:rPr>
        <w:t>It forms part of the systems of law – used in jurisdictions of the UK as well as in many places that used to be part of the British empire – based on precedents from judges’ decisions rathe</w:t>
      </w:r>
      <w:bookmarkStart w:id="0" w:name="_GoBack"/>
      <w:bookmarkEnd w:id="0"/>
      <w:r>
        <w:rPr>
          <w:rFonts w:hint="default" w:ascii="Calibri" w:hAnsi="Calibri" w:eastAsia="Georgia" w:cs="Calibri"/>
          <w:i w:val="0"/>
          <w:iCs w:val="0"/>
          <w:caps w:val="0"/>
          <w:color w:val="auto"/>
          <w:spacing w:val="0"/>
          <w:sz w:val="26"/>
          <w:szCs w:val="26"/>
          <w:shd w:val="clear" w:fill="FFFFFF"/>
          <w:vertAlign w:val="baseline"/>
        </w:rPr>
        <w:t>r than in statutory law.</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240" w:lineRule="auto"/>
        <w:ind w:left="0" w:right="0" w:firstLine="0"/>
        <w:textAlignment w:val="baseline"/>
        <w:rPr>
          <w:rFonts w:hint="default" w:ascii="Calibri" w:hAnsi="Calibri" w:eastAsia="Georgia" w:cs="Calibri"/>
          <w:i w:val="0"/>
          <w:iCs w:val="0"/>
          <w:caps w:val="0"/>
          <w:color w:val="auto"/>
          <w:spacing w:val="0"/>
          <w:sz w:val="26"/>
          <w:szCs w:val="26"/>
          <w:shd w:val="clear" w:fill="FFFFFF"/>
          <w:vertAlign w:val="baseline"/>
          <w:lang w:val="en-GB"/>
        </w:rPr>
      </w:pPr>
      <w:r>
        <w:rPr>
          <w:rFonts w:hint="default" w:ascii="Calibri" w:hAnsi="Calibri" w:eastAsia="Georgia" w:cs="Calibri"/>
          <w:i w:val="0"/>
          <w:iCs w:val="0"/>
          <w:caps w:val="0"/>
          <w:color w:val="auto"/>
          <w:spacing w:val="0"/>
          <w:sz w:val="26"/>
          <w:szCs w:val="26"/>
          <w:shd w:val="clear" w:fill="FFFFFF"/>
          <w:vertAlign w:val="baseline"/>
        </w:rPr>
        <w:t>Common law is made by judges who study reports of older cases which have been decided and then derive principles from them that will be applied by other judges in future.</w:t>
      </w:r>
      <w:r>
        <w:rPr>
          <w:rFonts w:hint="default" w:ascii="Calibri" w:hAnsi="Calibri" w:eastAsia="Georgia" w:cs="Calibri"/>
          <w:i w:val="0"/>
          <w:iCs w:val="0"/>
          <w:caps w:val="0"/>
          <w:color w:val="auto"/>
          <w:spacing w:val="0"/>
          <w:sz w:val="26"/>
          <w:szCs w:val="26"/>
          <w:shd w:val="clear" w:fill="FFFFFF"/>
          <w:vertAlign w:val="baseline"/>
          <w:lang w:val="en-GB"/>
        </w:rPr>
        <w:t xml:space="preserv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0" w:afterAutospacing="0" w:line="15" w:lineRule="atLeast"/>
        <w:ind w:left="0" w:right="0" w:firstLine="0"/>
        <w:textAlignment w:val="baseline"/>
        <w:rPr>
          <w:rFonts w:hint="default" w:ascii="Calibri" w:hAnsi="Calibri" w:eastAsia="Georgia" w:cs="Calibri"/>
          <w:i w:val="0"/>
          <w:iCs w:val="0"/>
          <w:caps w:val="0"/>
          <w:color w:val="auto"/>
          <w:spacing w:val="0"/>
          <w:sz w:val="26"/>
          <w:szCs w:val="26"/>
          <w:lang w:val="en-GB"/>
        </w:rPr>
      </w:pPr>
      <w:r>
        <w:rPr>
          <w:rFonts w:hint="default" w:ascii="Calibri" w:hAnsi="Calibri" w:eastAsia="sans-serif" w:cs="Calibri"/>
          <w:i w:val="0"/>
          <w:iCs w:val="0"/>
          <w:caps w:val="0"/>
          <w:color w:val="auto"/>
          <w:spacing w:val="1"/>
          <w:sz w:val="26"/>
          <w:szCs w:val="26"/>
          <w:shd w:val="clear" w:fill="FFFFFF"/>
        </w:rPr>
        <w:t>Common law is a body of unwritten laws based on legal precedents established by the courts. Common law influences the decision-making process in unusual cases where the outcome cannot be determined based on existing statutes or written rules of law. The U.S. common-law system evolved from a British tradition that spread to North America during the 17th- and 18th</w:t>
      </w:r>
    </w:p>
    <w:p>
      <w:pPr>
        <w:rPr>
          <w:rFonts w:hint="default" w:ascii="Calibri" w:hAnsi="Calibri" w:eastAsia="Helvetica" w:cs="Calibri"/>
          <w:i w:val="0"/>
          <w:iCs w:val="0"/>
          <w:caps w:val="0"/>
          <w:color w:val="auto"/>
          <w:spacing w:val="0"/>
          <w:sz w:val="26"/>
          <w:szCs w:val="26"/>
          <w:u w:val="none"/>
          <w:shd w:val="clear" w:fill="FFFFFF"/>
          <w:vertAlign w:val="baseline"/>
        </w:rPr>
      </w:pPr>
    </w:p>
    <w:p>
      <w:pPr>
        <w:rPr>
          <w:rFonts w:hint="default" w:ascii="Calibri" w:hAnsi="Calibri" w:eastAsia="SimSun" w:cs="Calibri"/>
          <w:b w:val="0"/>
          <w:bCs w:val="0"/>
          <w:i w:val="0"/>
          <w:iCs w:val="0"/>
          <w:caps w:val="0"/>
          <w:color w:val="auto"/>
          <w:spacing w:val="0"/>
          <w:sz w:val="26"/>
          <w:szCs w:val="26"/>
          <w:shd w:val="clear" w:fill="FFFFFF"/>
          <w:lang w:val="en-GB"/>
        </w:rPr>
      </w:pPr>
      <w:r>
        <w:rPr>
          <w:rFonts w:hint="default" w:ascii="Calibri" w:hAnsi="Calibri" w:eastAsia="SimSun" w:cs="Calibri"/>
          <w:b w:val="0"/>
          <w:bCs w:val="0"/>
          <w:i w:val="0"/>
          <w:iCs w:val="0"/>
          <w:caps w:val="0"/>
          <w:color w:val="auto"/>
          <w:spacing w:val="0"/>
          <w:sz w:val="26"/>
          <w:szCs w:val="26"/>
          <w:shd w:val="clear" w:fill="FFFFFF"/>
        </w:rPr>
        <w:t>the system of law concerned with private relations between members of a community rather than criminal, military, or religious affair</w:t>
      </w:r>
      <w:r>
        <w:rPr>
          <w:rFonts w:hint="default" w:ascii="Calibri" w:hAnsi="Calibri" w:eastAsia="SimSun" w:cs="Calibri"/>
          <w:b w:val="0"/>
          <w:bCs w:val="0"/>
          <w:i w:val="0"/>
          <w:iCs w:val="0"/>
          <w:caps w:val="0"/>
          <w:color w:val="auto"/>
          <w:spacing w:val="0"/>
          <w:sz w:val="26"/>
          <w:szCs w:val="26"/>
          <w:shd w:val="clear" w:fill="FFFFFF"/>
          <w:lang w:val="en-GB"/>
        </w:rPr>
        <w:t>s is called Civil Law</w:t>
      </w:r>
    </w:p>
    <w:p>
      <w:pPr>
        <w:rPr>
          <w:rFonts w:hint="default" w:ascii="Calibri" w:hAnsi="Calibri" w:eastAsia="SimSun" w:cs="Calibri"/>
          <w:b w:val="0"/>
          <w:bCs w:val="0"/>
          <w:i w:val="0"/>
          <w:iCs w:val="0"/>
          <w:caps w:val="0"/>
          <w:color w:val="auto"/>
          <w:spacing w:val="0"/>
          <w:sz w:val="26"/>
          <w:szCs w:val="26"/>
          <w:shd w:val="clear" w:fill="FFFFFF"/>
          <w:lang w:val="en-GB"/>
        </w:rPr>
      </w:pPr>
    </w:p>
    <w:p>
      <w:pPr>
        <w:rPr>
          <w:rFonts w:hint="default" w:ascii="Calibri" w:hAnsi="Calibri" w:eastAsia="SimSun" w:cs="Calibri"/>
          <w:b w:val="0"/>
          <w:bCs w:val="0"/>
          <w:i w:val="0"/>
          <w:iCs w:val="0"/>
          <w:caps w:val="0"/>
          <w:color w:val="auto"/>
          <w:spacing w:val="0"/>
          <w:sz w:val="26"/>
          <w:szCs w:val="26"/>
          <w:shd w:val="clear" w:fill="FFFFFF"/>
          <w:lang w:val="en-GB"/>
        </w:rPr>
      </w:pPr>
      <w:r>
        <w:rPr>
          <w:rFonts w:hint="default" w:ascii="Calibri" w:hAnsi="Calibri" w:eastAsia="SimSun" w:cs="Calibri"/>
          <w:b w:val="0"/>
          <w:bCs w:val="0"/>
          <w:i w:val="0"/>
          <w:iCs w:val="0"/>
          <w:caps w:val="0"/>
          <w:color w:val="auto"/>
          <w:spacing w:val="0"/>
          <w:sz w:val="26"/>
          <w:szCs w:val="26"/>
          <w:shd w:val="clear" w:fill="FFFFFF"/>
          <w:lang w:val="en-GB"/>
        </w:rPr>
        <w:t>Civil Law also known as private law regulates disputes between private individual or entities (ECCHR)</w:t>
      </w:r>
    </w:p>
    <w:p>
      <w:pPr>
        <w:rPr>
          <w:rFonts w:hint="default" w:ascii="Calibri" w:hAnsi="Calibri" w:eastAsia="SimSun" w:cs="Calibri"/>
          <w:b w:val="0"/>
          <w:bCs w:val="0"/>
          <w:i w:val="0"/>
          <w:iCs w:val="0"/>
          <w:caps w:val="0"/>
          <w:color w:val="auto"/>
          <w:spacing w:val="0"/>
          <w:sz w:val="26"/>
          <w:szCs w:val="26"/>
          <w:shd w:val="clear" w:fill="FFFFFF"/>
          <w:lang w:val="en-GB"/>
        </w:rPr>
      </w:pPr>
    </w:p>
    <w:p>
      <w:pPr>
        <w:rPr>
          <w:rFonts w:hint="default" w:ascii="Calibri" w:hAnsi="Calibri" w:eastAsia="SimSun" w:cs="Calibri"/>
          <w:b w:val="0"/>
          <w:bCs w:val="0"/>
          <w:i w:val="0"/>
          <w:iCs w:val="0"/>
          <w:caps w:val="0"/>
          <w:color w:val="auto"/>
          <w:spacing w:val="0"/>
          <w:sz w:val="26"/>
          <w:szCs w:val="26"/>
          <w:shd w:val="clear" w:fill="FFFFFF"/>
          <w:lang w:val="en-GB"/>
        </w:rPr>
      </w:pPr>
      <w:r>
        <w:rPr>
          <w:rFonts w:hint="default" w:ascii="Calibri" w:hAnsi="Calibri" w:eastAsia="SimSun" w:cs="Calibri"/>
          <w:b w:val="0"/>
          <w:bCs w:val="0"/>
          <w:i w:val="0"/>
          <w:iCs w:val="0"/>
          <w:caps w:val="0"/>
          <w:color w:val="auto"/>
          <w:spacing w:val="0"/>
          <w:sz w:val="26"/>
          <w:szCs w:val="26"/>
          <w:shd w:val="clear" w:fill="FFFFFF"/>
          <w:lang w:val="en-GB"/>
        </w:rPr>
        <w:t>Civil Law is the part of country’s set of laws which is concerned with the private affairs of citizen (Collin Dictionery)</w:t>
      </w:r>
    </w:p>
    <w:p>
      <w:pPr>
        <w:rPr>
          <w:rFonts w:hint="default" w:ascii="Calibri" w:hAnsi="Calibri" w:eastAsia="SimSun" w:cs="Calibri"/>
          <w:b w:val="0"/>
          <w:bCs w:val="0"/>
          <w:i w:val="0"/>
          <w:iCs w:val="0"/>
          <w:caps w:val="0"/>
          <w:color w:val="auto"/>
          <w:spacing w:val="0"/>
          <w:sz w:val="26"/>
          <w:szCs w:val="26"/>
          <w:shd w:val="clear" w:fill="FFFFFF"/>
          <w:lang w:val="en-GB"/>
        </w:rPr>
      </w:pPr>
    </w:p>
    <w:p>
      <w:pPr>
        <w:rPr>
          <w:rStyle w:val="7"/>
          <w:rFonts w:hint="default" w:ascii="Calibri" w:hAnsi="Calibri" w:eastAsia="SimSun" w:cs="Calibri"/>
          <w:b w:val="0"/>
          <w:bCs w:val="0"/>
          <w:i w:val="0"/>
          <w:iCs w:val="0"/>
          <w:caps w:val="0"/>
          <w:color w:val="auto"/>
          <w:spacing w:val="0"/>
          <w:sz w:val="26"/>
          <w:szCs w:val="26"/>
          <w:shd w:val="clear" w:fill="FFFFFF"/>
        </w:rPr>
      </w:pPr>
      <w:r>
        <w:rPr>
          <w:rStyle w:val="7"/>
          <w:rFonts w:hint="default" w:ascii="Calibri" w:hAnsi="Calibri" w:eastAsia="SimSun" w:cs="Calibri"/>
          <w:b w:val="0"/>
          <w:bCs w:val="0"/>
          <w:i w:val="0"/>
          <w:iCs w:val="0"/>
          <w:caps w:val="0"/>
          <w:color w:val="auto"/>
          <w:spacing w:val="0"/>
          <w:sz w:val="26"/>
          <w:szCs w:val="26"/>
          <w:shd w:val="clear" w:fill="FFFFFF"/>
        </w:rPr>
        <w:t>the part of the legal system that deals with people's relationships, property, and business agreements, rather than with criminal activity</w:t>
      </w:r>
    </w:p>
    <w:p>
      <w:pPr>
        <w:rPr>
          <w:rFonts w:hint="default" w:ascii="Calibri" w:hAnsi="Calibri" w:eastAsia="SimSun" w:cs="Calibri"/>
          <w:b w:val="0"/>
          <w:bCs w:val="0"/>
          <w:i w:val="0"/>
          <w:iCs w:val="0"/>
          <w:caps w:val="0"/>
          <w:color w:val="auto"/>
          <w:spacing w:val="0"/>
          <w:sz w:val="26"/>
          <w:szCs w:val="26"/>
          <w:shd w:val="clear" w:fill="FFFFFF"/>
        </w:rPr>
      </w:pPr>
      <w:r>
        <w:rPr>
          <w:rFonts w:hint="default" w:ascii="Calibri" w:hAnsi="Calibri" w:eastAsia="SimSun" w:cs="Calibri"/>
          <w:b w:val="0"/>
          <w:bCs w:val="0"/>
          <w:i w:val="0"/>
          <w:iCs w:val="0"/>
          <w:caps w:val="0"/>
          <w:color w:val="auto"/>
          <w:spacing w:val="0"/>
          <w:sz w:val="26"/>
          <w:szCs w:val="26"/>
          <w:shd w:val="clear" w:fill="FFFFFF"/>
        </w:rPr>
        <w:t>Civil law, also known as private law, </w:t>
      </w:r>
      <w:r>
        <w:rPr>
          <w:rStyle w:val="7"/>
          <w:rFonts w:hint="default" w:ascii="Calibri" w:hAnsi="Calibri" w:eastAsia="SimSun" w:cs="Calibri"/>
          <w:b w:val="0"/>
          <w:bCs w:val="0"/>
          <w:i w:val="0"/>
          <w:iCs w:val="0"/>
          <w:caps w:val="0"/>
          <w:color w:val="auto"/>
          <w:spacing w:val="0"/>
          <w:sz w:val="26"/>
          <w:szCs w:val="26"/>
          <w:shd w:val="clear" w:fill="FFFFFF"/>
        </w:rPr>
        <w:t>regulates disputes between private individuals or entities (e.g. companies</w:t>
      </w:r>
      <w:r>
        <w:rPr>
          <w:rFonts w:hint="default" w:ascii="Calibri" w:hAnsi="Calibri" w:eastAsia="SimSun" w:cs="Calibri"/>
          <w:b w:val="0"/>
          <w:bCs w:val="0"/>
          <w:i w:val="0"/>
          <w:iCs w:val="0"/>
          <w:caps w:val="0"/>
          <w:color w:val="auto"/>
          <w:spacing w:val="0"/>
          <w:sz w:val="26"/>
          <w:szCs w:val="26"/>
          <w:shd w:val="clear" w:fill="FFFFFF"/>
        </w:rPr>
        <w:t>)</w:t>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"https://en.wikipedia.org/wiki/Art_and_culture_law" \o "Art and culture law"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Art and culture law</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"https://en.wikipedia.org/wiki/Civil_rights" \o "Civil rights"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Civil rights</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"https://en.wikipedia.org/wiki/Outline_of_commercial_law" \o "Outline of commercial law"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Commercial law</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lang w:val="en-GB"/>
        </w:rPr>
        <w:t>Contract Law</w:t>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"https://en.wikipedia.org/wiki/Environmental_law" \o "Environmental law"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Environmental law</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"https://en.wikipedia.org/wiki/Family_law" \o "Family law"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Family law</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"https://en.wikipedia.org/wiki/Property_law" \o "Property law"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Property law</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1"/>
        </w:numPr>
        <w:suppressLineNumbers w:val="0"/>
        <w:spacing w:before="0" w:beforeAutospacing="1" w:after="21" w:afterAutospacing="0"/>
        <w:ind w:left="336" w:hanging="360"/>
        <w:rPr>
          <w:rFonts w:hint="default" w:ascii="Calibri" w:hAnsi="Calibri" w:cs="Calibri"/>
          <w:color w:val="auto"/>
          <w:sz w:val="26"/>
          <w:szCs w:val="26"/>
        </w:rPr>
      </w:pPr>
      <w:r>
        <w:rPr>
          <w:rFonts w:hint="default" w:ascii="Calibri" w:hAnsi="Calibri" w:eastAsia="sans-serif" w:cs="Calibri"/>
          <w:i w:val="0"/>
          <w:iCs w:val="0"/>
          <w:caps w:val="0"/>
          <w:color w:val="auto"/>
          <w:spacing w:val="0"/>
          <w:sz w:val="26"/>
          <w:szCs w:val="26"/>
          <w:u w:val="none"/>
          <w:shd w:val="clear" w:fill="FFFFFF"/>
        </w:rPr>
        <w:fldChar w:fldCharType="begin"/>
      </w:r>
      <w:r>
        <w:rPr>
          <w:rFonts w:hint="default" w:ascii="Calibri" w:hAnsi="Calibri" w:eastAsia="sans-serif" w:cs="Calibri"/>
          <w:i w:val="0"/>
          <w:iCs w:val="0"/>
          <w:caps w:val="0"/>
          <w:color w:val="auto"/>
          <w:spacing w:val="0"/>
          <w:sz w:val="26"/>
          <w:szCs w:val="26"/>
          <w:u w:val="none"/>
          <w:shd w:val="clear" w:fill="FFFFFF"/>
        </w:rPr>
        <w:instrText xml:space="preserve"> HYPERLINK "https://en.wikipedia.org/wiki/Outline_of_tort_law" \o "Outline of tort law" </w:instrText>
      </w:r>
      <w:r>
        <w:rPr>
          <w:rFonts w:hint="default" w:ascii="Calibri" w:hAnsi="Calibri" w:eastAsia="sans-serif" w:cs="Calibri"/>
          <w:i w:val="0"/>
          <w:iCs w:val="0"/>
          <w:caps w:val="0"/>
          <w:color w:val="auto"/>
          <w:spacing w:val="0"/>
          <w:sz w:val="26"/>
          <w:szCs w:val="26"/>
          <w:u w:val="none"/>
          <w:shd w:val="clear" w:fill="FFFFFF"/>
        </w:rPr>
        <w:fldChar w:fldCharType="separate"/>
      </w:r>
      <w:r>
        <w:rPr>
          <w:rStyle w:val="9"/>
          <w:rFonts w:hint="default" w:ascii="Calibri" w:hAnsi="Calibri" w:eastAsia="sans-serif" w:cs="Calibri"/>
          <w:i w:val="0"/>
          <w:iCs w:val="0"/>
          <w:caps w:val="0"/>
          <w:color w:val="auto"/>
          <w:spacing w:val="0"/>
          <w:sz w:val="26"/>
          <w:szCs w:val="26"/>
          <w:u w:val="none"/>
          <w:shd w:val="clear" w:fill="FFFFFF"/>
        </w:rPr>
        <w:t>Tort law</w:t>
      </w:r>
      <w:r>
        <w:rPr>
          <w:rFonts w:hint="default" w:ascii="Calibri" w:hAnsi="Calibri" w:eastAsia="sans-serif" w:cs="Calibri"/>
          <w:i w:val="0"/>
          <w:iCs w:val="0"/>
          <w:caps w:val="0"/>
          <w:color w:val="auto"/>
          <w:spacing w:val="0"/>
          <w:sz w:val="26"/>
          <w:szCs w:val="26"/>
          <w:u w:val="none"/>
          <w:shd w:val="clear" w:fill="FFFFFF"/>
        </w:rPr>
        <w:fldChar w:fldCharType="end"/>
      </w:r>
    </w:p>
    <w:p>
      <w:pPr>
        <w:keepNext w:val="0"/>
        <w:keepLines w:val="0"/>
        <w:widowControl/>
        <w:numPr>
          <w:ilvl w:val="0"/>
          <w:numId w:val="0"/>
        </w:numPr>
        <w:suppressLineNumbers w:val="0"/>
        <w:tabs>
          <w:tab w:val="left" w:pos="720"/>
        </w:tabs>
        <w:spacing w:before="0" w:beforeAutospacing="1" w:after="21" w:afterAutospacing="0"/>
        <w:rPr>
          <w:rFonts w:hint="default" w:ascii="Calibri" w:hAnsi="Calibri" w:cs="Calibri"/>
          <w:color w:val="auto"/>
          <w:sz w:val="26"/>
          <w:szCs w:val="26"/>
        </w:rPr>
      </w:pPr>
      <w:r>
        <w:rPr>
          <w:rFonts w:hint="default" w:ascii="Calibri" w:hAnsi="Calibri" w:cs="Calibri"/>
          <w:color w:val="auto"/>
          <w:sz w:val="26"/>
          <w:szCs w:val="26"/>
        </w:rPr>
        <w:t>In a broader sense EU Civil law describes the whole process of marshalling civil obedience and recording legal requirements precisely as standards in a structured way by the governing authority. The courts must follow and refer to these state written laws to the letter – even above any previous case examples. In this sense each case is measured against the standard – not on the basis of a previous court's example. There are many parts to the term Civil Law in this respect and a greater understanding of who made these laws, who enforces them and their jurisdiction is an important factor to establish in any country or region worked in. To Understand the relationship between Europe (through the European Commission), the nation state, internal regions of the nation and the type of industry it will be important to discern before even starting on the law, code or standard itself.</w:t>
      </w:r>
    </w:p>
    <w:p>
      <w:pPr>
        <w:keepNext w:val="0"/>
        <w:keepLines w:val="0"/>
        <w:widowControl/>
        <w:numPr>
          <w:ilvl w:val="0"/>
          <w:numId w:val="0"/>
        </w:numPr>
        <w:suppressLineNumbers w:val="0"/>
        <w:tabs>
          <w:tab w:val="left" w:pos="720"/>
        </w:tabs>
        <w:spacing w:before="0" w:beforeAutospacing="1" w:after="21" w:afterAutospacing="0"/>
        <w:rPr>
          <w:rFonts w:hint="default" w:ascii="Calibri" w:hAnsi="Calibri" w:cs="Calibri"/>
          <w:color w:val="auto"/>
          <w:sz w:val="26"/>
          <w:szCs w:val="26"/>
        </w:rPr>
      </w:pPr>
    </w:p>
    <w:p>
      <w:pPr>
        <w:keepNext w:val="0"/>
        <w:keepLines w:val="0"/>
        <w:widowControl/>
        <w:numPr>
          <w:ilvl w:val="0"/>
          <w:numId w:val="0"/>
        </w:numPr>
        <w:suppressLineNumbers w:val="0"/>
        <w:tabs>
          <w:tab w:val="left" w:pos="720"/>
        </w:tabs>
        <w:spacing w:before="0" w:beforeAutospacing="1" w:after="21" w:afterAutospacing="0"/>
        <w:rPr>
          <w:rFonts w:hint="default" w:ascii="Calibri" w:hAnsi="Calibri" w:cs="Calibri"/>
          <w:color w:val="auto"/>
          <w:sz w:val="26"/>
          <w:szCs w:val="26"/>
        </w:rPr>
      </w:pPr>
      <w:r>
        <w:rPr>
          <w:rFonts w:hint="default" w:ascii="Calibri" w:hAnsi="Calibri" w:cs="Calibri"/>
          <w:color w:val="auto"/>
          <w:sz w:val="26"/>
          <w:szCs w:val="26"/>
        </w:rPr>
        <w:t>The UK has this concept of writing standards, or codification embedded in our statutes and regulations. But we also have the principles of Common Law which can be traced back over centuries. This courtroom-made law (i.e. not by a state authority) establishes precedence, and is subject to the influence of the court hierarchy. In a wider sense this may be considered (by some sceptics of the common law system) to put the influence of the Judge and Judiciary higher than that of democracy and the state, which is personified by Parliament.</w:t>
      </w:r>
    </w:p>
    <w:p>
      <w:pPr>
        <w:keepNext w:val="0"/>
        <w:keepLines w:val="0"/>
        <w:widowControl/>
        <w:numPr>
          <w:ilvl w:val="0"/>
          <w:numId w:val="0"/>
        </w:numPr>
        <w:suppressLineNumbers w:val="0"/>
        <w:tabs>
          <w:tab w:val="left" w:pos="720"/>
        </w:tabs>
        <w:spacing w:before="0" w:beforeAutospacing="1" w:after="21" w:afterAutospacing="0"/>
        <w:rPr>
          <w:rFonts w:hint="default" w:ascii="Calibri" w:hAnsi="Calibri" w:cs="Calibri"/>
          <w:color w:val="auto"/>
          <w:sz w:val="26"/>
          <w:szCs w:val="26"/>
        </w:rPr>
      </w:pPr>
    </w:p>
    <w:p>
      <w:pPr>
        <w:pStyle w:val="10"/>
        <w:keepNext w:val="0"/>
        <w:keepLines w:val="0"/>
        <w:widowControl/>
        <w:suppressLineNumbers w:val="0"/>
        <w:shd w:val="clear" w:fill="FFFFFF"/>
        <w:spacing w:before="0" w:beforeAutospacing="0" w:after="0" w:afterAutospacing="1" w:line="16" w:lineRule="atLeast"/>
        <w:ind w:left="0" w:right="0" w:firstLine="0"/>
        <w:rPr>
          <w:rFonts w:hint="default" w:ascii="Calibri" w:hAnsi="Calibri" w:eastAsia="Georgia" w:cs="Calibri"/>
          <w:i w:val="0"/>
          <w:iCs w:val="0"/>
          <w:caps w:val="0"/>
          <w:color w:val="auto"/>
          <w:spacing w:val="0"/>
          <w:sz w:val="26"/>
          <w:szCs w:val="26"/>
        </w:rPr>
      </w:pPr>
      <w:r>
        <w:rPr>
          <w:rFonts w:hint="default" w:ascii="Calibri" w:hAnsi="Calibri" w:eastAsia="Georgia" w:cs="Calibri"/>
          <w:i w:val="0"/>
          <w:iCs w:val="0"/>
          <w:caps w:val="0"/>
          <w:color w:val="auto"/>
          <w:spacing w:val="0"/>
          <w:sz w:val="26"/>
          <w:szCs w:val="26"/>
          <w:shd w:val="clear" w:fill="FFFFFF"/>
        </w:rPr>
        <w:t>The English common law originated in the early Middle Ages in the King’s Court (Curia Regis), a single royal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"https://www.britannica.com/topic/court-law"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court</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set up for most of the country at Westminster, near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"https://www.britannica.com/place/London"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London</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Like many other early legal systems, it did not originally consist of </w:t>
      </w:r>
      <w:r>
        <w:rPr>
          <w:rFonts w:hint="default" w:ascii="Calibri" w:hAnsi="Calibri" w:eastAsia="Georgia" w:cs="Calibri"/>
          <w:i w:val="0"/>
          <w:iCs w:val="0"/>
          <w:caps w:val="0"/>
          <w:color w:val="auto"/>
          <w:spacing w:val="0"/>
          <w:sz w:val="26"/>
          <w:szCs w:val="26"/>
          <w:u w:val="none"/>
          <w:shd w:val="clear" w:fill="FFFFFF"/>
        </w:rPr>
        <w:fldChar w:fldCharType="begin"/>
      </w:r>
      <w:r>
        <w:rPr>
          <w:rFonts w:hint="default" w:ascii="Calibri" w:hAnsi="Calibri" w:eastAsia="Georgia" w:cs="Calibri"/>
          <w:i w:val="0"/>
          <w:iCs w:val="0"/>
          <w:caps w:val="0"/>
          <w:color w:val="auto"/>
          <w:spacing w:val="0"/>
          <w:sz w:val="26"/>
          <w:szCs w:val="26"/>
          <w:u w:val="none"/>
          <w:shd w:val="clear" w:fill="FFFFFF"/>
        </w:rPr>
        <w:instrText xml:space="preserve"> HYPERLINK "https://www.merriam-webster.com/dictionary/substantive" </w:instrText>
      </w:r>
      <w:r>
        <w:rPr>
          <w:rFonts w:hint="default" w:ascii="Calibri" w:hAnsi="Calibri" w:eastAsia="Georgia" w:cs="Calibri"/>
          <w:i w:val="0"/>
          <w:iCs w:val="0"/>
          <w:caps w:val="0"/>
          <w:color w:val="auto"/>
          <w:spacing w:val="0"/>
          <w:sz w:val="26"/>
          <w:szCs w:val="26"/>
          <w:u w:val="none"/>
          <w:shd w:val="clear" w:fill="FFFFFF"/>
        </w:rPr>
        <w:fldChar w:fldCharType="separate"/>
      </w:r>
      <w:r>
        <w:rPr>
          <w:rStyle w:val="9"/>
          <w:rFonts w:hint="default" w:ascii="Calibri" w:hAnsi="Calibri" w:eastAsia="Georgia" w:cs="Calibri"/>
          <w:i w:val="0"/>
          <w:iCs w:val="0"/>
          <w:caps w:val="0"/>
          <w:color w:val="auto"/>
          <w:spacing w:val="0"/>
          <w:sz w:val="26"/>
          <w:szCs w:val="26"/>
          <w:u w:val="none"/>
          <w:shd w:val="clear" w:fill="FFFFFF"/>
        </w:rPr>
        <w:t>substantive</w:t>
      </w:r>
      <w:r>
        <w:rPr>
          <w:rFonts w:hint="default" w:ascii="Calibri" w:hAnsi="Calibri" w:eastAsia="Georgia" w:cs="Calibri"/>
          <w:i w:val="0"/>
          <w:iCs w:val="0"/>
          <w:caps w:val="0"/>
          <w:color w:val="auto"/>
          <w:spacing w:val="0"/>
          <w:sz w:val="26"/>
          <w:szCs w:val="26"/>
          <w:u w:val="none"/>
          <w:shd w:val="clear" w:fill="FFFFFF"/>
        </w:rPr>
        <w:fldChar w:fldCharType="end"/>
      </w:r>
      <w:r>
        <w:rPr>
          <w:rFonts w:hint="default" w:ascii="Calibri" w:hAnsi="Calibri" w:eastAsia="Georgia" w:cs="Calibri"/>
          <w:i w:val="0"/>
          <w:iCs w:val="0"/>
          <w:caps w:val="0"/>
          <w:color w:val="auto"/>
          <w:spacing w:val="0"/>
          <w:sz w:val="26"/>
          <w:szCs w:val="26"/>
          <w:shd w:val="clear" w:fill="FFFFFF"/>
        </w:rPr>
        <w:t> rights but rather of procedural remedies. The working out of these remedies has, over time, produced the modern system in which rights are seen as primary over procedure. Until the late 19th century, English common law continued to be developed primarily by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"https://www.britannica.com/topic/judge-law"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judges</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rather than legislators.</w:t>
      </w:r>
    </w:p>
    <w:p>
      <w:pPr>
        <w:pStyle w:val="10"/>
        <w:keepNext w:val="0"/>
        <w:keepLines w:val="0"/>
        <w:widowControl/>
        <w:suppressLineNumbers w:val="0"/>
        <w:shd w:val="clear" w:fill="FFFFFF"/>
        <w:spacing w:before="0" w:beforeAutospacing="0" w:after="0" w:afterAutospacing="1" w:line="16" w:lineRule="atLeast"/>
        <w:ind w:left="0" w:right="0" w:firstLine="0"/>
        <w:rPr>
          <w:rFonts w:hint="default" w:ascii="Calibri" w:hAnsi="Calibri" w:eastAsia="Georgia" w:cs="Calibri"/>
          <w:i w:val="0"/>
          <w:iCs w:val="0"/>
          <w:caps w:val="0"/>
          <w:color w:val="auto"/>
          <w:spacing w:val="0"/>
          <w:sz w:val="26"/>
          <w:szCs w:val="26"/>
        </w:rPr>
      </w:pPr>
      <w:r>
        <w:rPr>
          <w:rFonts w:hint="default" w:ascii="Calibri" w:hAnsi="Calibri" w:eastAsia="Georgia" w:cs="Calibri"/>
          <w:i w:val="0"/>
          <w:iCs w:val="0"/>
          <w:caps w:val="0"/>
          <w:color w:val="auto"/>
          <w:spacing w:val="0"/>
          <w:sz w:val="26"/>
          <w:szCs w:val="26"/>
          <w:shd w:val="clear" w:fill="FFFFFF"/>
        </w:rPr>
        <w:t>The common law of England was largely created in the period after the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"https://www.britannica.com/event/Norman-Conquest"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Norman Conquest</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of 1066. The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"https://www.britannica.com/topic/Anglo-Saxon"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Anglo-Saxons</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especially after the accession of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"https://www.britannica.com/biography/Alfred-king-of-Wessex"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Alfred the Great</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(871), had developed a body of rules resembling those being used by the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"https://www.britannica.com/topic/Germanic-peoples"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Germanic peoples</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of northern Europe. Local customs governed most matters, while the church played a large part in government. </w:t>
      </w:r>
      <w:r>
        <w:rPr>
          <w:rFonts w:hint="default" w:ascii="Calibri" w:hAnsi="Calibri" w:eastAsia="Georgia" w:cs="Calibri"/>
          <w:i w:val="0"/>
          <w:iCs w:val="0"/>
          <w:caps w:val="0"/>
          <w:color w:val="auto"/>
          <w:spacing w:val="0"/>
          <w:sz w:val="26"/>
          <w:szCs w:val="26"/>
          <w:shd w:val="clear" w:fill="FFFFFF"/>
        </w:rPr>
        <w:fldChar w:fldCharType="begin"/>
      </w:r>
      <w:r>
        <w:rPr>
          <w:rFonts w:hint="default" w:ascii="Calibri" w:hAnsi="Calibri" w:eastAsia="Georgia" w:cs="Calibri"/>
          <w:i w:val="0"/>
          <w:iCs w:val="0"/>
          <w:caps w:val="0"/>
          <w:color w:val="auto"/>
          <w:spacing w:val="0"/>
          <w:sz w:val="26"/>
          <w:szCs w:val="26"/>
          <w:shd w:val="clear" w:fill="FFFFFF"/>
        </w:rPr>
        <w:instrText xml:space="preserve"> HYPERLINK "https://www.britannica.com/topic/crime-law" </w:instrText>
      </w:r>
      <w:r>
        <w:rPr>
          <w:rFonts w:hint="default" w:ascii="Calibri" w:hAnsi="Calibri" w:eastAsia="Georgia" w:cs="Calibri"/>
          <w:i w:val="0"/>
          <w:iCs w:val="0"/>
          <w:caps w:val="0"/>
          <w:color w:val="auto"/>
          <w:spacing w:val="0"/>
          <w:sz w:val="26"/>
          <w:szCs w:val="26"/>
          <w:shd w:val="clear" w:fill="FFFFFF"/>
        </w:rPr>
        <w:fldChar w:fldCharType="separate"/>
      </w:r>
      <w:r>
        <w:rPr>
          <w:rStyle w:val="9"/>
          <w:rFonts w:hint="default" w:ascii="Calibri" w:hAnsi="Calibri" w:eastAsia="Georgia" w:cs="Calibri"/>
          <w:i w:val="0"/>
          <w:iCs w:val="0"/>
          <w:caps w:val="0"/>
          <w:color w:val="auto"/>
          <w:spacing w:val="0"/>
          <w:sz w:val="26"/>
          <w:szCs w:val="26"/>
          <w:shd w:val="clear" w:fill="FFFFFF"/>
        </w:rPr>
        <w:t>Crimes</w:t>
      </w:r>
      <w:r>
        <w:rPr>
          <w:rFonts w:hint="default" w:ascii="Calibri" w:hAnsi="Calibri" w:eastAsia="Georgia" w:cs="Calibri"/>
          <w:i w:val="0"/>
          <w:iCs w:val="0"/>
          <w:caps w:val="0"/>
          <w:color w:val="auto"/>
          <w:spacing w:val="0"/>
          <w:sz w:val="26"/>
          <w:szCs w:val="26"/>
          <w:shd w:val="clear" w:fill="FFFFFF"/>
        </w:rPr>
        <w:fldChar w:fldCharType="end"/>
      </w:r>
      <w:r>
        <w:rPr>
          <w:rFonts w:hint="default" w:ascii="Calibri" w:hAnsi="Calibri" w:eastAsia="Georgia" w:cs="Calibri"/>
          <w:i w:val="0"/>
          <w:iCs w:val="0"/>
          <w:caps w:val="0"/>
          <w:color w:val="auto"/>
          <w:spacing w:val="0"/>
          <w:sz w:val="26"/>
          <w:szCs w:val="26"/>
          <w:shd w:val="clear" w:fill="FFFFFF"/>
        </w:rPr>
        <w:t> were treated as wrongs for which compensation was made to the victim.</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 xml:space="preserve">According to common law, judges must consider the decisions of earlier courts (precedents) about similar cases when making their own decisions. People sometimes call common law “customary law” because judges consider the customs (common practices) of the country when making decisions. In many countries the justice system combines elements of civil law (private cases), which was handed down from Roman law, and common law, which developed in England. In a combination system, private cases are judged in civil courts; however, cases involving crimes against society (criminal law) are tried in criminal courts, where </w:t>
      </w:r>
    </w:p>
    <w:p>
      <w:pPr>
        <w:pStyle w:val="4"/>
        <w:keepNext w:val="0"/>
        <w:keepLines w:val="0"/>
        <w:widowControl/>
        <w:suppressLineNumbers w:val="0"/>
        <w:shd w:val="clear" w:fill="FFFFFF"/>
        <w:spacing w:before="0" w:beforeAutospacing="0" w:after="84" w:afterAutospacing="0" w:line="12" w:lineRule="atLeast"/>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Development of common law</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As well as this central court, the judges were sent to major towns to decide any important cases. This meant that judges travelled from london all round the country that was under the control of the king. In the time of Henry II (1154-89) these tours became more regular and Henry divided up the country into ‘circuits’ or area’s for the judges to visit. Initially the judges would use the local customs or the old Anglo-Saxon laws to decide cases, but over a period of time it is believed that the judges on their return to Westminster in London would discuss the laws or customs they had used, and the decision they had made, with each other. Gradually, the judges selected the best customs and these were then used by all the judges throughout the country. This had the effect that the law became uniform or ‘common’ through the whole country, and it is from here that the phrase ’common law’ seems to have developed.</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As these decisions are based on previous judgements, it’s more convenient to follow this process through. People know what to expect; there is an element of predictability. The process is easier and more practical as there are no fixed, lengthy rules but real situations that have already been resolved.</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lang w:val="en-GB"/>
        </w:rPr>
        <w:t>A</w:t>
      </w:r>
      <w:r>
        <w:rPr>
          <w:rFonts w:hint="default" w:ascii="Calibri" w:hAnsi="Calibri" w:eastAsia="Segoe UI" w:cs="Calibri"/>
          <w:i w:val="0"/>
          <w:iCs w:val="0"/>
          <w:caps w:val="0"/>
          <w:color w:val="auto"/>
          <w:spacing w:val="0"/>
          <w:sz w:val="26"/>
          <w:szCs w:val="26"/>
          <w:shd w:val="clear" w:fill="FFFFFF"/>
        </w:rPr>
        <w:t>s there is already a basis on which the judgment will be passed, a basic framework so to say, the judicial process becomes so much faster. There is certain efficiency in the process as compared to what the procedure would be like in comparison with a system that did not follow the precedent based system. Plus these decisions are based on a precedent and so have a stronger basis.</w:t>
      </w:r>
    </w:p>
    <w:p>
      <w:pPr>
        <w:pStyle w:val="4"/>
        <w:keepNext w:val="0"/>
        <w:keepLines w:val="0"/>
        <w:widowControl/>
        <w:suppressLineNumbers w:val="0"/>
        <w:shd w:val="clear" w:fill="FFFFFF"/>
        <w:spacing w:before="0" w:beforeAutospacing="0" w:after="84" w:afterAutospacing="0" w:line="12" w:lineRule="atLeast"/>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Disadvantages</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i) Perpetuation of bad decisions</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The downside of a jugdment that has been made, its that it will be superseded again by other judges even if the decision is defective. And in the common law its about following precedents. This will take a long time to happen. So this directly uphelds a bad decision.</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ii) in the absence of precedent</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People will not know what to predict when they come to a situation that needs to be taken to court. When there is no precedents judges make decisions based on the evidence given and as far as possible come to a fair judgement, sometimes a view of the evidence by the judge may bring about a wrong judgment.</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iii) Need for records</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Because these precedents are to be followed by all other courts or in many cases, lengthy, detailed records have to be maintained. And to make easy the accessing of these cases and previous decisions, uniform indexing methods have to be created and followed diligently.</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Comparison between</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The Common Law Tradition (Hong Kong) and The FCC Tradition (United States)</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Advantages</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Advantages of Common Law:</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THERE is a certainty of outcome for similar cases. It is highly probable that every future case that is similar in nature will be judged in the same way.</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Common Law is dynamic and not closed by statute or precedent. New rules of law will from time to time be authoritatively laid down to meet new circumstance and the changing needs of society.</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Common Law accumulates a great wealth of detailed rules for reference. It is much richer in detail than the code of law.</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COMMON LAW is practical in nature. The rules laid down are the product, not of academic speculation but of difficulties that have actually risen. Thus, it is in touch with everyday life.</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Disadvantages of Common Law:</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Common Law is rigid once a rule is established. This causes inflexibility, which can be a problem especially when the decision is outdated or used out of context.</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Common Law can be illogical since the rule is dependent on the context, situation, judge or society in which it is judged.</w:t>
      </w:r>
    </w:p>
    <w:p>
      <w:pPr>
        <w:pStyle w:val="10"/>
        <w:keepNext w:val="0"/>
        <w:keepLines w:val="0"/>
        <w:widowControl/>
        <w:suppressLineNumbers w:val="0"/>
        <w:shd w:val="clear" w:fill="FFFFFF"/>
        <w:spacing w:before="0" w:beforeAutospacing="0"/>
        <w:ind w:left="0" w:firstLine="0"/>
        <w:jc w:val="left"/>
        <w:rPr>
          <w:rFonts w:hint="default" w:ascii="Calibri" w:hAnsi="Calibri" w:eastAsia="Segoe UI" w:cs="Calibri"/>
          <w:i w:val="0"/>
          <w:iCs w:val="0"/>
          <w:caps w:val="0"/>
          <w:color w:val="auto"/>
          <w:spacing w:val="0"/>
          <w:sz w:val="26"/>
          <w:szCs w:val="26"/>
        </w:rPr>
      </w:pPr>
      <w:r>
        <w:rPr>
          <w:rFonts w:hint="default" w:ascii="Calibri" w:hAnsi="Calibri" w:eastAsia="Segoe UI" w:cs="Calibri"/>
          <w:i w:val="0"/>
          <w:iCs w:val="0"/>
          <w:caps w:val="0"/>
          <w:color w:val="auto"/>
          <w:spacing w:val="0"/>
          <w:sz w:val="26"/>
          <w:szCs w:val="26"/>
          <w:shd w:val="clear" w:fill="FFFFFF"/>
        </w:rPr>
        <w:t>The collection of rules that comprise common law are both vast in size and enormously complex. It may be difficult and quite time consuming to search through the relevant cases for a just verdict.</w:t>
      </w:r>
    </w:p>
    <w:p>
      <w:pPr>
        <w:pStyle w:val="10"/>
        <w:keepNext w:val="0"/>
        <w:keepLines w:val="0"/>
        <w:widowControl/>
        <w:suppressLineNumbers w:val="0"/>
        <w:shd w:val="clear" w:fill="FFFFFF"/>
        <w:spacing w:before="0" w:beforeAutospacing="0"/>
        <w:ind w:left="0" w:firstLine="0"/>
        <w:jc w:val="left"/>
        <w:rPr>
          <w:rFonts w:hint="default" w:ascii="Calibri" w:hAnsi="Calibri" w:cs="Calibri"/>
          <w:color w:val="auto"/>
          <w:sz w:val="26"/>
          <w:szCs w:val="26"/>
        </w:rPr>
      </w:pPr>
      <w:r>
        <w:rPr>
          <w:rFonts w:hint="default" w:ascii="Calibri" w:hAnsi="Calibri" w:eastAsia="Segoe UI" w:cs="Calibri"/>
          <w:i w:val="0"/>
          <w:iCs w:val="0"/>
          <w:caps w:val="0"/>
          <w:color w:val="auto"/>
          <w:spacing w:val="0"/>
          <w:sz w:val="26"/>
          <w:szCs w:val="26"/>
          <w:shd w:val="clear" w:fill="FFFFFF"/>
        </w:rPr>
        <w:t>Judges may shy away from creating new precedences in areas of new technology for fear of upsetting a burgeoning industry. Rather than creating ripples, judges tend to be conservative in their rulings and may not provide adequate justice to the actual case.</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0AEC7C"/>
    <w:multiLevelType w:val="multilevel"/>
    <w:tmpl w:val="4C0AEC7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94732D"/>
    <w:rsid w:val="0494732D"/>
    <w:rsid w:val="05254539"/>
    <w:rsid w:val="0EA125AF"/>
    <w:rsid w:val="196219CD"/>
    <w:rsid w:val="22B378F1"/>
    <w:rsid w:val="38DD2F9D"/>
    <w:rsid w:val="697B4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character" w:styleId="8">
    <w:name w:val="FollowedHyperlink"/>
    <w:basedOn w:val="5"/>
    <w:qFormat/>
    <w:uiPriority w:val="0"/>
    <w:rPr>
      <w:color w:val="800080"/>
      <w:u w:val="single"/>
    </w:rPr>
  </w:style>
  <w:style w:type="character" w:styleId="9">
    <w:name w:val="Hyperlink"/>
    <w:basedOn w:val="5"/>
    <w:qFormat/>
    <w:uiPriority w:val="0"/>
    <w:rPr>
      <w:color w:val="0000FF"/>
      <w:u w:val="single"/>
    </w:rPr>
  </w:style>
  <w:style w:type="paragraph" w:styleId="10">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244</TotalTime>
  <ScaleCrop>false</ScaleCrop>
  <LinksUpToDate>false</LinksUpToDate>
  <CharactersWithSpaces>0</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2023-03-08T02:24:00Z</dcterms:created>
  <dc:creator>crazy</dc:creator>
  <cp:lastModifiedBy>google1578264061</cp:lastModifiedBy>
  <dcterms:modified xsi:type="dcterms:W3CDTF">2023-03-10T21:15:39Z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1DBFFAD916A4433F94869B2C07384EAE</vt:lpwstr>
  </property>
</Properties>
</file>