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FA147" w14:textId="77777777" w:rsidR="00366F19" w:rsidRDefault="00366F19" w:rsidP="00366F19">
      <w:pPr>
        <w:spacing w:after="60"/>
        <w:jc w:val="center"/>
      </w:pPr>
      <w:r>
        <w:rPr>
          <w:rFonts w:ascii="Times New Roman" w:eastAsia="Times New Roman" w:hAnsi="Times New Roman" w:cs="Times New Roman"/>
          <w:noProof/>
        </w:rPr>
        <w:drawing>
          <wp:inline distT="114300" distB="114300" distL="114300" distR="114300" wp14:anchorId="0C7C2E88" wp14:editId="1311BC93">
            <wp:extent cx="3130550" cy="1536700"/>
            <wp:effectExtent l="0" t="0" r="0" b="6350"/>
            <wp:docPr id="5"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8"/>
                    <a:srcRect/>
                    <a:stretch>
                      <a:fillRect/>
                    </a:stretch>
                  </pic:blipFill>
                  <pic:spPr>
                    <a:xfrm>
                      <a:off x="0" y="0"/>
                      <a:ext cx="3131514" cy="1537173"/>
                    </a:xfrm>
                    <a:prstGeom prst="rect">
                      <a:avLst/>
                    </a:prstGeom>
                    <a:ln/>
                  </pic:spPr>
                </pic:pic>
              </a:graphicData>
            </a:graphic>
          </wp:inline>
        </w:drawing>
      </w:r>
    </w:p>
    <w:p w14:paraId="6F0B1168" w14:textId="77777777" w:rsidR="00366F19" w:rsidRDefault="00366F19" w:rsidP="00366F19">
      <w:pPr>
        <w:spacing w:line="360" w:lineRule="auto"/>
        <w:jc w:val="both"/>
        <w:rPr>
          <w:rFonts w:ascii="Times New Roman" w:eastAsia="Times New Roman" w:hAnsi="Times New Roman" w:cs="Times New Roman"/>
        </w:rPr>
      </w:pPr>
    </w:p>
    <w:p w14:paraId="16A7C336" w14:textId="77777777" w:rsidR="00366F19" w:rsidRDefault="00366F19" w:rsidP="00366F19">
      <w:pPr>
        <w:spacing w:line="360" w:lineRule="auto"/>
        <w:jc w:val="center"/>
        <w:rPr>
          <w:rFonts w:ascii="Times New Roman" w:eastAsia="Times New Roman" w:hAnsi="Times New Roman" w:cs="Times New Roman"/>
          <w:b/>
          <w:bCs/>
          <w:sz w:val="28"/>
          <w:szCs w:val="28"/>
        </w:rPr>
      </w:pPr>
    </w:p>
    <w:p w14:paraId="3CF8AEFB" w14:textId="77777777" w:rsidR="00366F19" w:rsidRDefault="00366F19" w:rsidP="00366F19">
      <w:pPr>
        <w:spacing w:line="360" w:lineRule="auto"/>
        <w:jc w:val="center"/>
        <w:rPr>
          <w:rFonts w:ascii="Times New Roman" w:eastAsia="Times New Roman" w:hAnsi="Times New Roman" w:cs="Times New Roman"/>
          <w:b/>
          <w:bCs/>
          <w:sz w:val="28"/>
          <w:szCs w:val="28"/>
        </w:rPr>
      </w:pPr>
    </w:p>
    <w:p w14:paraId="2B5DAE26" w14:textId="77777777" w:rsidR="00366F19" w:rsidRDefault="00366F19" w:rsidP="00366F19">
      <w:pPr>
        <w:spacing w:line="360" w:lineRule="auto"/>
        <w:jc w:val="center"/>
        <w:rPr>
          <w:rFonts w:ascii="Times New Roman" w:eastAsia="Times New Roman" w:hAnsi="Times New Roman" w:cs="Times New Roman"/>
          <w:b/>
          <w:bCs/>
          <w:sz w:val="28"/>
          <w:szCs w:val="28"/>
        </w:rPr>
      </w:pPr>
    </w:p>
    <w:p w14:paraId="43EEAEE9" w14:textId="77777777" w:rsidR="00366F19" w:rsidRDefault="00366F19" w:rsidP="00366F19">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Name-</w:t>
      </w:r>
      <w:proofErr w:type="spellStart"/>
      <w:r>
        <w:rPr>
          <w:rFonts w:ascii="Times New Roman" w:eastAsia="Times New Roman" w:hAnsi="Times New Roman" w:cs="Times New Roman"/>
          <w:b/>
          <w:bCs/>
          <w:sz w:val="28"/>
          <w:szCs w:val="28"/>
        </w:rPr>
        <w:t>Almahender</w:t>
      </w:r>
      <w:proofErr w:type="spellEnd"/>
      <w:r>
        <w:rPr>
          <w:rFonts w:ascii="Times New Roman" w:eastAsia="Times New Roman" w:hAnsi="Times New Roman" w:cs="Times New Roman"/>
          <w:b/>
          <w:bCs/>
          <w:sz w:val="28"/>
          <w:szCs w:val="28"/>
        </w:rPr>
        <w:t xml:space="preserve"> Singh</w:t>
      </w:r>
    </w:p>
    <w:p w14:paraId="36B908F2" w14:textId="77777777" w:rsidR="00366F19" w:rsidRDefault="00366F19" w:rsidP="00366F19">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Student ID - 2504913</w:t>
      </w:r>
    </w:p>
    <w:p w14:paraId="7398FFC2" w14:textId="77777777" w:rsidR="00366F19" w:rsidRDefault="00366F19" w:rsidP="00366F19">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Programme: Master of Business Administration</w:t>
      </w:r>
    </w:p>
    <w:p w14:paraId="4F989921" w14:textId="1E546B6D" w:rsidR="00366F19" w:rsidRDefault="00366F19" w:rsidP="00366F19">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w:t>
      </w:r>
      <w:r w:rsidRPr="00366F19">
        <w:rPr>
          <w:rFonts w:ascii="Times New Roman" w:eastAsia="Times New Roman" w:hAnsi="Times New Roman" w:cs="Times New Roman"/>
          <w:b/>
          <w:bCs/>
          <w:sz w:val="28"/>
          <w:szCs w:val="28"/>
        </w:rPr>
        <w:t>International Business Concepts</w:t>
      </w:r>
    </w:p>
    <w:p w14:paraId="2C37774F" w14:textId="473E8B85" w:rsidR="00366F19" w:rsidRDefault="00366F19" w:rsidP="00366F19">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Module code: </w:t>
      </w:r>
      <w:r w:rsidRPr="00366F19">
        <w:rPr>
          <w:rFonts w:ascii="Times New Roman" w:eastAsia="Times New Roman" w:hAnsi="Times New Roman" w:cs="Times New Roman"/>
          <w:b/>
          <w:bCs/>
          <w:sz w:val="28"/>
          <w:szCs w:val="28"/>
        </w:rPr>
        <w:t>LCMB7034</w:t>
      </w:r>
    </w:p>
    <w:p w14:paraId="74CFEAAD" w14:textId="77777777" w:rsidR="00C75175" w:rsidRDefault="00C75175"/>
    <w:p w14:paraId="676AE6BB" w14:textId="77777777" w:rsidR="00C75175" w:rsidRDefault="00C75175"/>
    <w:p w14:paraId="0B2285C1" w14:textId="77777777" w:rsidR="00C75175" w:rsidRDefault="00C75175"/>
    <w:p w14:paraId="03DDA1EC" w14:textId="77777777" w:rsidR="00366F19" w:rsidRDefault="00366F19"/>
    <w:p w14:paraId="65E04010" w14:textId="77777777" w:rsidR="00366F19" w:rsidRDefault="00366F19"/>
    <w:p w14:paraId="02FF5171" w14:textId="77777777" w:rsidR="00366F19" w:rsidRDefault="00366F19"/>
    <w:p w14:paraId="2442B390" w14:textId="77777777" w:rsidR="00366F19" w:rsidRDefault="00366F19"/>
    <w:p w14:paraId="537FEC98" w14:textId="77777777" w:rsidR="00366F19" w:rsidRDefault="00366F19"/>
    <w:p w14:paraId="55B83870" w14:textId="77777777" w:rsidR="00366F19" w:rsidRDefault="00366F19"/>
    <w:p w14:paraId="7556B766" w14:textId="77777777" w:rsidR="00366F19" w:rsidRDefault="00366F19"/>
    <w:p w14:paraId="528CD5F4" w14:textId="77777777" w:rsidR="00366F19" w:rsidRDefault="00366F19"/>
    <w:p w14:paraId="3303F3A4" w14:textId="77777777" w:rsidR="00366F19" w:rsidRPr="00366F19" w:rsidRDefault="00366F19" w:rsidP="00366F19">
      <w:pPr>
        <w:rPr>
          <w:sz w:val="24"/>
          <w:szCs w:val="24"/>
        </w:rPr>
      </w:pPr>
      <w:r w:rsidRPr="00366F19">
        <w:rPr>
          <w:sz w:val="24"/>
          <w:szCs w:val="24"/>
        </w:rPr>
        <w:lastRenderedPageBreak/>
        <w:t>I confirm that I have not used any AI tools in the research and creation of this</w:t>
      </w:r>
    </w:p>
    <w:p w14:paraId="39A6B145" w14:textId="77777777" w:rsidR="00366F19" w:rsidRPr="00366F19" w:rsidRDefault="00366F19" w:rsidP="00366F19">
      <w:pPr>
        <w:rPr>
          <w:sz w:val="24"/>
          <w:szCs w:val="24"/>
        </w:rPr>
      </w:pPr>
      <w:r w:rsidRPr="00366F19">
        <w:rPr>
          <w:sz w:val="24"/>
          <w:szCs w:val="24"/>
        </w:rPr>
        <w:t>assignment. I confirm that I have not presented any AI generated materials as my own</w:t>
      </w:r>
    </w:p>
    <w:p w14:paraId="4AEB83F9" w14:textId="77777777" w:rsidR="00366F19" w:rsidRPr="00366F19" w:rsidRDefault="00366F19" w:rsidP="00366F19">
      <w:pPr>
        <w:rPr>
          <w:sz w:val="24"/>
          <w:szCs w:val="24"/>
        </w:rPr>
      </w:pPr>
      <w:r w:rsidRPr="00366F19">
        <w:rPr>
          <w:sz w:val="24"/>
          <w:szCs w:val="24"/>
        </w:rPr>
        <w:t>work. I confirm I have copies of my drafts, notes, and other resources I used, which I</w:t>
      </w:r>
    </w:p>
    <w:p w14:paraId="4832D47A" w14:textId="77777777" w:rsidR="00366F19" w:rsidRPr="00366F19" w:rsidRDefault="00366F19" w:rsidP="00366F19">
      <w:pPr>
        <w:rPr>
          <w:sz w:val="24"/>
          <w:szCs w:val="24"/>
        </w:rPr>
      </w:pPr>
      <w:r w:rsidRPr="00366F19">
        <w:rPr>
          <w:sz w:val="24"/>
          <w:szCs w:val="24"/>
        </w:rPr>
        <w:t>may be asked to provide in evidence.</w:t>
      </w:r>
    </w:p>
    <w:p w14:paraId="061BE570" w14:textId="77777777" w:rsidR="00366F19" w:rsidRDefault="00366F19"/>
    <w:p w14:paraId="4304DAAA" w14:textId="77777777" w:rsidR="00366F19" w:rsidRDefault="00366F19">
      <w:pPr>
        <w:rPr>
          <w:rFonts w:ascii="Arial" w:eastAsia="Arial" w:hAnsi="Arial" w:cs="Arial"/>
          <w:b/>
          <w:bCs/>
          <w:color w:val="1F4E79"/>
          <w:sz w:val="32"/>
          <w:szCs w:val="32"/>
        </w:rPr>
      </w:pPr>
    </w:p>
    <w:p w14:paraId="01D573C0" w14:textId="77777777" w:rsidR="00366F19" w:rsidRDefault="00366F19">
      <w:pPr>
        <w:rPr>
          <w:rFonts w:ascii="Arial" w:eastAsia="Arial" w:hAnsi="Arial" w:cs="Arial"/>
          <w:b/>
          <w:bCs/>
          <w:color w:val="1F4E79"/>
          <w:sz w:val="32"/>
          <w:szCs w:val="32"/>
        </w:rPr>
      </w:pPr>
    </w:p>
    <w:p w14:paraId="73F6EA1D" w14:textId="77777777" w:rsidR="00366F19" w:rsidRDefault="00366F19">
      <w:pPr>
        <w:rPr>
          <w:rFonts w:ascii="Arial" w:eastAsia="Arial" w:hAnsi="Arial" w:cs="Arial"/>
          <w:b/>
          <w:bCs/>
          <w:color w:val="1F4E79"/>
          <w:sz w:val="32"/>
          <w:szCs w:val="32"/>
        </w:rPr>
      </w:pPr>
    </w:p>
    <w:p w14:paraId="08AAAF93" w14:textId="77777777" w:rsidR="00366F19" w:rsidRDefault="00366F19">
      <w:pPr>
        <w:rPr>
          <w:rFonts w:ascii="Arial" w:eastAsia="Arial" w:hAnsi="Arial" w:cs="Arial"/>
          <w:b/>
          <w:bCs/>
          <w:color w:val="1F4E79"/>
          <w:sz w:val="32"/>
          <w:szCs w:val="32"/>
        </w:rPr>
      </w:pPr>
    </w:p>
    <w:p w14:paraId="7F794F99" w14:textId="77777777" w:rsidR="00366F19" w:rsidRDefault="00366F19">
      <w:pPr>
        <w:rPr>
          <w:rFonts w:ascii="Arial" w:eastAsia="Arial" w:hAnsi="Arial" w:cs="Arial"/>
          <w:b/>
          <w:bCs/>
          <w:color w:val="1F4E79"/>
          <w:sz w:val="32"/>
          <w:szCs w:val="32"/>
        </w:rPr>
      </w:pPr>
    </w:p>
    <w:p w14:paraId="62A79463" w14:textId="77777777" w:rsidR="00366F19" w:rsidRDefault="00366F19">
      <w:pPr>
        <w:rPr>
          <w:rFonts w:ascii="Arial" w:eastAsia="Arial" w:hAnsi="Arial" w:cs="Arial"/>
          <w:b/>
          <w:bCs/>
          <w:color w:val="1F4E79"/>
          <w:sz w:val="32"/>
          <w:szCs w:val="32"/>
        </w:rPr>
      </w:pPr>
    </w:p>
    <w:p w14:paraId="2B13EB9D" w14:textId="77777777" w:rsidR="00366F19" w:rsidRDefault="00366F19">
      <w:pPr>
        <w:rPr>
          <w:rFonts w:ascii="Arial" w:eastAsia="Arial" w:hAnsi="Arial" w:cs="Arial"/>
          <w:b/>
          <w:bCs/>
          <w:color w:val="1F4E79"/>
          <w:sz w:val="32"/>
          <w:szCs w:val="32"/>
        </w:rPr>
      </w:pPr>
    </w:p>
    <w:p w14:paraId="34A34147" w14:textId="77777777" w:rsidR="00366F19" w:rsidRDefault="00366F19">
      <w:pPr>
        <w:rPr>
          <w:rFonts w:ascii="Arial" w:eastAsia="Arial" w:hAnsi="Arial" w:cs="Arial"/>
          <w:b/>
          <w:bCs/>
          <w:color w:val="1F4E79"/>
          <w:sz w:val="32"/>
          <w:szCs w:val="32"/>
        </w:rPr>
      </w:pPr>
    </w:p>
    <w:p w14:paraId="4A7A7E1C" w14:textId="77777777" w:rsidR="00366F19" w:rsidRDefault="00366F19">
      <w:pPr>
        <w:rPr>
          <w:rFonts w:ascii="Arial" w:eastAsia="Arial" w:hAnsi="Arial" w:cs="Arial"/>
          <w:b/>
          <w:bCs/>
          <w:color w:val="1F4E79"/>
          <w:sz w:val="32"/>
          <w:szCs w:val="32"/>
        </w:rPr>
      </w:pPr>
    </w:p>
    <w:p w14:paraId="616223F8" w14:textId="77777777" w:rsidR="00366F19" w:rsidRDefault="00366F19">
      <w:pPr>
        <w:rPr>
          <w:rFonts w:ascii="Arial" w:eastAsia="Arial" w:hAnsi="Arial" w:cs="Arial"/>
          <w:b/>
          <w:bCs/>
          <w:color w:val="1F4E79"/>
          <w:sz w:val="32"/>
          <w:szCs w:val="32"/>
        </w:rPr>
      </w:pPr>
    </w:p>
    <w:p w14:paraId="732D4C67" w14:textId="77777777" w:rsidR="00366F19" w:rsidRDefault="00366F19">
      <w:pPr>
        <w:rPr>
          <w:rFonts w:ascii="Arial" w:eastAsia="Arial" w:hAnsi="Arial" w:cs="Arial"/>
          <w:b/>
          <w:bCs/>
          <w:color w:val="1F4E79"/>
          <w:sz w:val="32"/>
          <w:szCs w:val="32"/>
        </w:rPr>
      </w:pPr>
    </w:p>
    <w:p w14:paraId="3ED3B933" w14:textId="77777777" w:rsidR="00366F19" w:rsidRDefault="00366F19">
      <w:pPr>
        <w:rPr>
          <w:rFonts w:ascii="Arial" w:eastAsia="Arial" w:hAnsi="Arial" w:cs="Arial"/>
          <w:b/>
          <w:bCs/>
          <w:color w:val="1F4E79"/>
          <w:sz w:val="32"/>
          <w:szCs w:val="32"/>
        </w:rPr>
      </w:pPr>
    </w:p>
    <w:p w14:paraId="291FF728" w14:textId="77777777" w:rsidR="00366F19" w:rsidRDefault="00366F19">
      <w:pPr>
        <w:rPr>
          <w:rFonts w:ascii="Arial" w:eastAsia="Arial" w:hAnsi="Arial" w:cs="Arial"/>
          <w:b/>
          <w:bCs/>
          <w:color w:val="1F4E79"/>
          <w:sz w:val="32"/>
          <w:szCs w:val="32"/>
        </w:rPr>
      </w:pPr>
    </w:p>
    <w:p w14:paraId="659D818A" w14:textId="77777777" w:rsidR="00366F19" w:rsidRDefault="00366F19">
      <w:pPr>
        <w:rPr>
          <w:rFonts w:ascii="Arial" w:eastAsia="Arial" w:hAnsi="Arial" w:cs="Arial"/>
          <w:b/>
          <w:bCs/>
          <w:color w:val="1F4E79"/>
          <w:sz w:val="32"/>
          <w:szCs w:val="32"/>
        </w:rPr>
      </w:pPr>
    </w:p>
    <w:p w14:paraId="451CDEE8" w14:textId="77777777" w:rsidR="00366F19" w:rsidRDefault="00366F19">
      <w:pPr>
        <w:rPr>
          <w:rFonts w:ascii="Arial" w:eastAsia="Arial" w:hAnsi="Arial" w:cs="Arial"/>
          <w:b/>
          <w:bCs/>
          <w:color w:val="1F4E79"/>
          <w:sz w:val="32"/>
          <w:szCs w:val="32"/>
        </w:rPr>
      </w:pPr>
    </w:p>
    <w:p w14:paraId="4311830B" w14:textId="77777777" w:rsidR="00366F19" w:rsidRDefault="00366F19">
      <w:pPr>
        <w:rPr>
          <w:rFonts w:ascii="Arial" w:eastAsia="Arial" w:hAnsi="Arial" w:cs="Arial"/>
          <w:b/>
          <w:bCs/>
          <w:color w:val="1F4E79"/>
          <w:sz w:val="32"/>
          <w:szCs w:val="32"/>
        </w:rPr>
      </w:pPr>
    </w:p>
    <w:p w14:paraId="6C45C471" w14:textId="77777777" w:rsidR="00366F19" w:rsidRDefault="00366F19">
      <w:pPr>
        <w:rPr>
          <w:rFonts w:ascii="Arial" w:eastAsia="Arial" w:hAnsi="Arial" w:cs="Arial"/>
          <w:b/>
          <w:bCs/>
          <w:color w:val="1F4E79"/>
          <w:sz w:val="32"/>
          <w:szCs w:val="32"/>
        </w:rPr>
      </w:pPr>
    </w:p>
    <w:p w14:paraId="267E0B47" w14:textId="77777777" w:rsidR="00366F19" w:rsidRDefault="00366F19">
      <w:pPr>
        <w:rPr>
          <w:rFonts w:ascii="Arial" w:eastAsia="Arial" w:hAnsi="Arial" w:cs="Arial"/>
          <w:b/>
          <w:bCs/>
          <w:color w:val="1F4E79"/>
          <w:sz w:val="32"/>
          <w:szCs w:val="32"/>
        </w:rPr>
      </w:pPr>
    </w:p>
    <w:p w14:paraId="224B0F06" w14:textId="4B8E2068" w:rsidR="00C75175" w:rsidRDefault="00000000">
      <w:r>
        <w:rPr>
          <w:rFonts w:ascii="Arial" w:eastAsia="Arial" w:hAnsi="Arial" w:cs="Arial"/>
          <w:b/>
          <w:bCs/>
          <w:color w:val="1F4E79"/>
          <w:sz w:val="32"/>
          <w:szCs w:val="32"/>
        </w:rPr>
        <w:t>Table of Contents</w:t>
      </w:r>
    </w:p>
    <w:p w14:paraId="348C0DDB" w14:textId="77777777" w:rsidR="00C75175" w:rsidRDefault="00000000">
      <w:pPr>
        <w:spacing w:before="40" w:after="40"/>
      </w:pPr>
      <w:r>
        <w:rPr>
          <w:rFonts w:ascii="Arial" w:eastAsia="Arial" w:hAnsi="Arial" w:cs="Arial"/>
          <w:b/>
          <w:bCs/>
          <w:sz w:val="22"/>
          <w:szCs w:val="22"/>
        </w:rPr>
        <w:t>Section 1: International Industry and Business Report</w:t>
      </w:r>
    </w:p>
    <w:p w14:paraId="7BFC58A1"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1.0  Introduction</w:t>
      </w:r>
      <w:proofErr w:type="gramEnd"/>
    </w:p>
    <w:p w14:paraId="1AE12309"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2.0  Industry</w:t>
      </w:r>
      <w:proofErr w:type="gramEnd"/>
      <w:r>
        <w:rPr>
          <w:rFonts w:ascii="Arial" w:eastAsia="Arial" w:hAnsi="Arial" w:cs="Arial"/>
          <w:sz w:val="22"/>
          <w:szCs w:val="22"/>
        </w:rPr>
        <w:t xml:space="preserve"> and Country Overview</w:t>
      </w:r>
    </w:p>
    <w:p w14:paraId="4A09BE33"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2.1  Introduction</w:t>
      </w:r>
      <w:proofErr w:type="gramEnd"/>
      <w:r>
        <w:rPr>
          <w:rFonts w:ascii="Arial" w:eastAsia="Arial" w:hAnsi="Arial" w:cs="Arial"/>
          <w:sz w:val="22"/>
          <w:szCs w:val="22"/>
        </w:rPr>
        <w:t xml:space="preserve"> to the Indian Automotive Industry</w:t>
      </w:r>
    </w:p>
    <w:p w14:paraId="72D291A0"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2.2  Size</w:t>
      </w:r>
      <w:proofErr w:type="gramEnd"/>
      <w:r>
        <w:rPr>
          <w:rFonts w:ascii="Arial" w:eastAsia="Arial" w:hAnsi="Arial" w:cs="Arial"/>
          <w:sz w:val="22"/>
          <w:szCs w:val="22"/>
        </w:rPr>
        <w:t>, Scope, and Economic Importance</w:t>
      </w:r>
    </w:p>
    <w:p w14:paraId="1329A4EF"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2.3  Major</w:t>
      </w:r>
      <w:proofErr w:type="gramEnd"/>
      <w:r>
        <w:rPr>
          <w:rFonts w:ascii="Arial" w:eastAsia="Arial" w:hAnsi="Arial" w:cs="Arial"/>
          <w:sz w:val="22"/>
          <w:szCs w:val="22"/>
        </w:rPr>
        <w:t xml:space="preserve"> Firms and Competitive Positioning</w:t>
      </w:r>
    </w:p>
    <w:p w14:paraId="3FA91767"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3.0  Porter's</w:t>
      </w:r>
      <w:proofErr w:type="gramEnd"/>
      <w:r>
        <w:rPr>
          <w:rFonts w:ascii="Arial" w:eastAsia="Arial" w:hAnsi="Arial" w:cs="Arial"/>
          <w:sz w:val="22"/>
          <w:szCs w:val="22"/>
        </w:rPr>
        <w:t xml:space="preserve"> Diamond Model: Global Competitiveness of India's Automotive Industry</w:t>
      </w:r>
    </w:p>
    <w:p w14:paraId="54F39532"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3.1  Factor</w:t>
      </w:r>
      <w:proofErr w:type="gramEnd"/>
      <w:r>
        <w:rPr>
          <w:rFonts w:ascii="Arial" w:eastAsia="Arial" w:hAnsi="Arial" w:cs="Arial"/>
          <w:sz w:val="22"/>
          <w:szCs w:val="22"/>
        </w:rPr>
        <w:t xml:space="preserve"> Conditions</w:t>
      </w:r>
    </w:p>
    <w:p w14:paraId="1FAF83A5"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3.2  Demand</w:t>
      </w:r>
      <w:proofErr w:type="gramEnd"/>
      <w:r>
        <w:rPr>
          <w:rFonts w:ascii="Arial" w:eastAsia="Arial" w:hAnsi="Arial" w:cs="Arial"/>
          <w:sz w:val="22"/>
          <w:szCs w:val="22"/>
        </w:rPr>
        <w:t xml:space="preserve"> Conditions</w:t>
      </w:r>
    </w:p>
    <w:p w14:paraId="2B5A1AAC"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3.3  Related</w:t>
      </w:r>
      <w:proofErr w:type="gramEnd"/>
      <w:r>
        <w:rPr>
          <w:rFonts w:ascii="Arial" w:eastAsia="Arial" w:hAnsi="Arial" w:cs="Arial"/>
          <w:sz w:val="22"/>
          <w:szCs w:val="22"/>
        </w:rPr>
        <w:t xml:space="preserve"> and Supporting Industries</w:t>
      </w:r>
    </w:p>
    <w:p w14:paraId="3ABE0822"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3.4  Firm</w:t>
      </w:r>
      <w:proofErr w:type="gramEnd"/>
      <w:r>
        <w:rPr>
          <w:rFonts w:ascii="Arial" w:eastAsia="Arial" w:hAnsi="Arial" w:cs="Arial"/>
          <w:sz w:val="22"/>
          <w:szCs w:val="22"/>
        </w:rPr>
        <w:t xml:space="preserve"> Strategy, Structure, and Rivalry</w:t>
      </w:r>
    </w:p>
    <w:p w14:paraId="274ADD6A"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4.0  Critical</w:t>
      </w:r>
      <w:proofErr w:type="gramEnd"/>
      <w:r>
        <w:rPr>
          <w:rFonts w:ascii="Arial" w:eastAsia="Arial" w:hAnsi="Arial" w:cs="Arial"/>
          <w:sz w:val="22"/>
          <w:szCs w:val="22"/>
        </w:rPr>
        <w:t xml:space="preserve"> Evaluation of Hyundai Motor India</w:t>
      </w:r>
    </w:p>
    <w:p w14:paraId="7E1CF5E8"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4.1  Political</w:t>
      </w:r>
      <w:proofErr w:type="gramEnd"/>
      <w:r>
        <w:rPr>
          <w:rFonts w:ascii="Arial" w:eastAsia="Arial" w:hAnsi="Arial" w:cs="Arial"/>
          <w:sz w:val="22"/>
          <w:szCs w:val="22"/>
        </w:rPr>
        <w:t xml:space="preserve"> Factors</w:t>
      </w:r>
    </w:p>
    <w:p w14:paraId="3812D3A5"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4.2  Economic</w:t>
      </w:r>
      <w:proofErr w:type="gramEnd"/>
      <w:r>
        <w:rPr>
          <w:rFonts w:ascii="Arial" w:eastAsia="Arial" w:hAnsi="Arial" w:cs="Arial"/>
          <w:sz w:val="22"/>
          <w:szCs w:val="22"/>
        </w:rPr>
        <w:t xml:space="preserve"> Factors</w:t>
      </w:r>
    </w:p>
    <w:p w14:paraId="454E3F47"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4.3  Social</w:t>
      </w:r>
      <w:proofErr w:type="gramEnd"/>
      <w:r>
        <w:rPr>
          <w:rFonts w:ascii="Arial" w:eastAsia="Arial" w:hAnsi="Arial" w:cs="Arial"/>
          <w:sz w:val="22"/>
          <w:szCs w:val="22"/>
        </w:rPr>
        <w:t xml:space="preserve"> and Cultural Factors</w:t>
      </w:r>
    </w:p>
    <w:p w14:paraId="65DE5491"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4.4  Technological</w:t>
      </w:r>
      <w:proofErr w:type="gramEnd"/>
      <w:r>
        <w:rPr>
          <w:rFonts w:ascii="Arial" w:eastAsia="Arial" w:hAnsi="Arial" w:cs="Arial"/>
          <w:sz w:val="22"/>
          <w:szCs w:val="22"/>
        </w:rPr>
        <w:t xml:space="preserve"> Factors</w:t>
      </w:r>
    </w:p>
    <w:p w14:paraId="1D5F2D59"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4.5  Legal</w:t>
      </w:r>
      <w:proofErr w:type="gramEnd"/>
      <w:r>
        <w:rPr>
          <w:rFonts w:ascii="Arial" w:eastAsia="Arial" w:hAnsi="Arial" w:cs="Arial"/>
          <w:sz w:val="22"/>
          <w:szCs w:val="22"/>
        </w:rPr>
        <w:t xml:space="preserve"> and Regulatory Factors</w:t>
      </w:r>
    </w:p>
    <w:p w14:paraId="675B6DAC"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4.6  Overall</w:t>
      </w:r>
      <w:proofErr w:type="gramEnd"/>
      <w:r>
        <w:rPr>
          <w:rFonts w:ascii="Arial" w:eastAsia="Arial" w:hAnsi="Arial" w:cs="Arial"/>
          <w:sz w:val="22"/>
          <w:szCs w:val="22"/>
        </w:rPr>
        <w:t xml:space="preserve"> Market Attractiveness and Strategic Outlook</w:t>
      </w:r>
    </w:p>
    <w:p w14:paraId="398B3E1F" w14:textId="77777777" w:rsidR="00C75175" w:rsidRDefault="00000000">
      <w:pPr>
        <w:spacing w:before="40" w:after="40"/>
      </w:pPr>
      <w:r>
        <w:rPr>
          <w:rFonts w:ascii="Arial" w:eastAsia="Arial" w:hAnsi="Arial" w:cs="Arial"/>
          <w:sz w:val="22"/>
          <w:szCs w:val="22"/>
        </w:rPr>
        <w:t xml:space="preserve">  </w:t>
      </w:r>
      <w:proofErr w:type="gramStart"/>
      <w:r>
        <w:rPr>
          <w:rFonts w:ascii="Arial" w:eastAsia="Arial" w:hAnsi="Arial" w:cs="Arial"/>
          <w:sz w:val="22"/>
          <w:szCs w:val="22"/>
        </w:rPr>
        <w:t>5.0  Conclusion</w:t>
      </w:r>
      <w:proofErr w:type="gramEnd"/>
    </w:p>
    <w:p w14:paraId="2DDAEE8C" w14:textId="77777777" w:rsidR="00C75175" w:rsidRPr="00366F19" w:rsidRDefault="00000000">
      <w:pPr>
        <w:spacing w:before="40" w:after="40"/>
      </w:pPr>
      <w:r w:rsidRPr="00366F19">
        <w:rPr>
          <w:rFonts w:ascii="Arial" w:eastAsia="Arial" w:hAnsi="Arial" w:cs="Arial"/>
          <w:sz w:val="22"/>
          <w:szCs w:val="22"/>
        </w:rPr>
        <w:t>Section 2: Reflective Account (Gibbs' Reflective Cycle)</w:t>
      </w:r>
    </w:p>
    <w:p w14:paraId="42FE4F0B" w14:textId="77777777" w:rsidR="00C75175" w:rsidRPr="00366F19" w:rsidRDefault="00000000">
      <w:pPr>
        <w:spacing w:before="40" w:after="40"/>
      </w:pPr>
      <w:r w:rsidRPr="00366F19">
        <w:rPr>
          <w:rFonts w:ascii="Arial" w:eastAsia="Arial" w:hAnsi="Arial" w:cs="Arial"/>
          <w:sz w:val="22"/>
          <w:szCs w:val="22"/>
        </w:rPr>
        <w:t>References</w:t>
      </w:r>
    </w:p>
    <w:p w14:paraId="312B3F33" w14:textId="77777777" w:rsidR="00C75175" w:rsidRDefault="00C75175"/>
    <w:p w14:paraId="63245813" w14:textId="77777777" w:rsidR="00C75175" w:rsidRDefault="00000000">
      <w:r>
        <w:br w:type="page"/>
      </w:r>
    </w:p>
    <w:p w14:paraId="0453B4DC" w14:textId="77777777" w:rsidR="00C75175" w:rsidRDefault="00000000">
      <w:pPr>
        <w:spacing w:after="240"/>
        <w:jc w:val="center"/>
      </w:pPr>
      <w:r>
        <w:rPr>
          <w:rFonts w:ascii="Arial" w:eastAsia="Arial" w:hAnsi="Arial" w:cs="Arial"/>
          <w:b/>
          <w:bCs/>
          <w:color w:val="1F4E79"/>
          <w:sz w:val="30"/>
          <w:szCs w:val="30"/>
        </w:rPr>
        <w:lastRenderedPageBreak/>
        <w:t>SECTION 1: INTERNATIONAL INDUSTRY AND BUSINESS REPORT</w:t>
      </w:r>
    </w:p>
    <w:p w14:paraId="1A4E1B3D" w14:textId="77777777" w:rsidR="00C75175" w:rsidRDefault="00000000">
      <w:pPr>
        <w:pStyle w:val="Heading1"/>
      </w:pPr>
      <w:r>
        <w:rPr>
          <w:rFonts w:ascii="Arial" w:eastAsia="Arial" w:hAnsi="Arial" w:cs="Arial"/>
          <w:b/>
          <w:bCs/>
          <w:color w:val="1F4E79"/>
          <w:sz w:val="32"/>
          <w:szCs w:val="32"/>
        </w:rPr>
        <w:t>1.0 Introduction</w:t>
      </w:r>
    </w:p>
    <w:p w14:paraId="4177B94B" w14:textId="77777777" w:rsidR="00C75175" w:rsidRDefault="00000000">
      <w:pPr>
        <w:spacing w:before="80" w:after="80" w:line="360" w:lineRule="auto"/>
        <w:jc w:val="both"/>
      </w:pPr>
      <w:r>
        <w:rPr>
          <w:rFonts w:ascii="Arial" w:eastAsia="Arial" w:hAnsi="Arial" w:cs="Arial"/>
          <w:sz w:val="24"/>
          <w:szCs w:val="24"/>
        </w:rPr>
        <w:t>The global automotive industry is among the most economically significant and strategically contested sectors in the world, encompassing design, engineering, manufacturing, and retail across complex international value chains. Within this landscape, India has rapidly emerged as a critical growth market, now recognised as the world's third-largest passenger vehicle market (Hyundai Motor Group, 2025). With a population of 1.4 billion, rising per capita incomes, an expanding middle class, and an accelerating transition toward electric mobility, India occupies a unique and increasingly important position in the strategic calculus of global automotive multinational corporations (MNCs).</w:t>
      </w:r>
    </w:p>
    <w:p w14:paraId="290C4CB0" w14:textId="77777777" w:rsidR="00C75175" w:rsidRDefault="00C75175"/>
    <w:p w14:paraId="57E6B8A1" w14:textId="15AF4C00" w:rsidR="00C75175" w:rsidRDefault="00000000">
      <w:pPr>
        <w:spacing w:before="80" w:after="80" w:line="360" w:lineRule="auto"/>
        <w:jc w:val="both"/>
      </w:pPr>
      <w:r>
        <w:rPr>
          <w:rFonts w:ascii="Arial" w:eastAsia="Arial" w:hAnsi="Arial" w:cs="Arial"/>
          <w:sz w:val="24"/>
          <w:szCs w:val="24"/>
        </w:rPr>
        <w:t>This report examines the Indian automotive industry through multiple complementary analytical lenses. Section 2 provides an overview of the industry's size, economic significance, and competitive structure. Section 3 applies Porter's (1990) Diamond Model of National Advantage to critically analyse the global competitiveness of India's automotive sector. Section 4 critically evaluates the factors impacting the operations of Hyundai Motor India Limited (HMIL)</w:t>
      </w:r>
      <w:r w:rsidR="005A0E57">
        <w:t xml:space="preserve"> </w:t>
      </w:r>
      <w:r>
        <w:rPr>
          <w:rFonts w:ascii="Arial" w:eastAsia="Arial" w:hAnsi="Arial" w:cs="Arial"/>
          <w:sz w:val="24"/>
          <w:szCs w:val="24"/>
        </w:rPr>
        <w:t>the chosen foreign MNC</w:t>
      </w:r>
      <w:r w:rsidR="005A0E57">
        <w:t xml:space="preserve"> </w:t>
      </w:r>
      <w:r>
        <w:rPr>
          <w:rFonts w:ascii="Arial" w:eastAsia="Arial" w:hAnsi="Arial" w:cs="Arial"/>
          <w:sz w:val="24"/>
          <w:szCs w:val="24"/>
        </w:rPr>
        <w:t>using the PESTLE framework alongside Dunning's (1980) OLI eclectic paradigm, Hofstede's (1980) cultural dimensions framework, and the concept of the liability of foreignness (Zaheer, 1995). The report draws on peer</w:t>
      </w:r>
      <w:r w:rsidR="005A0E57">
        <w:t xml:space="preserve"> </w:t>
      </w:r>
      <w:r>
        <w:rPr>
          <w:rFonts w:ascii="Arial" w:eastAsia="Arial" w:hAnsi="Arial" w:cs="Arial"/>
          <w:sz w:val="24"/>
          <w:szCs w:val="24"/>
        </w:rPr>
        <w:t xml:space="preserve">reviewed academic literature, verified market research, corporate reports, and industry publications to present a rigorous, </w:t>
      </w:r>
      <w:proofErr w:type="gramStart"/>
      <w:r>
        <w:rPr>
          <w:rFonts w:ascii="Arial" w:eastAsia="Arial" w:hAnsi="Arial" w:cs="Arial"/>
          <w:sz w:val="24"/>
          <w:szCs w:val="24"/>
        </w:rPr>
        <w:t>evidence</w:t>
      </w:r>
      <w:r w:rsidR="005A0E57">
        <w:t xml:space="preserve"> </w:t>
      </w:r>
      <w:r>
        <w:rPr>
          <w:rFonts w:ascii="Arial" w:eastAsia="Arial" w:hAnsi="Arial" w:cs="Arial"/>
          <w:sz w:val="24"/>
          <w:szCs w:val="24"/>
        </w:rPr>
        <w:t>based</w:t>
      </w:r>
      <w:proofErr w:type="gramEnd"/>
      <w:r>
        <w:rPr>
          <w:rFonts w:ascii="Arial" w:eastAsia="Arial" w:hAnsi="Arial" w:cs="Arial"/>
          <w:sz w:val="24"/>
          <w:szCs w:val="24"/>
        </w:rPr>
        <w:t xml:space="preserve"> analysis.</w:t>
      </w:r>
    </w:p>
    <w:p w14:paraId="4945D746" w14:textId="77777777" w:rsidR="00C75175" w:rsidRDefault="00C75175"/>
    <w:p w14:paraId="176069A8" w14:textId="77777777" w:rsidR="00C75175" w:rsidRDefault="00000000">
      <w:pPr>
        <w:pStyle w:val="Heading1"/>
      </w:pPr>
      <w:r>
        <w:rPr>
          <w:rFonts w:ascii="Arial" w:eastAsia="Arial" w:hAnsi="Arial" w:cs="Arial"/>
          <w:b/>
          <w:bCs/>
          <w:color w:val="1F4E79"/>
          <w:sz w:val="32"/>
          <w:szCs w:val="32"/>
        </w:rPr>
        <w:t>2.0 Industry and Country Overview</w:t>
      </w:r>
    </w:p>
    <w:p w14:paraId="68C2019C" w14:textId="77777777" w:rsidR="00C75175" w:rsidRDefault="00000000">
      <w:pPr>
        <w:pStyle w:val="Heading2"/>
      </w:pPr>
      <w:r>
        <w:rPr>
          <w:rFonts w:ascii="Arial" w:eastAsia="Arial" w:hAnsi="Arial" w:cs="Arial"/>
          <w:b/>
          <w:bCs/>
          <w:color w:val="2E75B6"/>
          <w:sz w:val="26"/>
          <w:szCs w:val="26"/>
        </w:rPr>
        <w:t>2.1 Introduction to the Indian Automotive Industry</w:t>
      </w:r>
    </w:p>
    <w:p w14:paraId="75C4A49F" w14:textId="63F6F0B3" w:rsidR="00C75175" w:rsidRDefault="00000000">
      <w:pPr>
        <w:spacing w:before="80" w:after="80" w:line="360" w:lineRule="auto"/>
        <w:jc w:val="both"/>
      </w:pPr>
      <w:r>
        <w:rPr>
          <w:rFonts w:ascii="Arial" w:eastAsia="Arial" w:hAnsi="Arial" w:cs="Arial"/>
          <w:sz w:val="24"/>
          <w:szCs w:val="24"/>
        </w:rPr>
        <w:t xml:space="preserve">India's automotive sector is one of the most dynamic and transformative industries in the global economy. Rooted in the </w:t>
      </w:r>
      <w:proofErr w:type="spellStart"/>
      <w:r>
        <w:rPr>
          <w:rFonts w:ascii="Arial" w:eastAsia="Arial" w:hAnsi="Arial" w:cs="Arial"/>
          <w:sz w:val="24"/>
          <w:szCs w:val="24"/>
        </w:rPr>
        <w:t>post</w:t>
      </w:r>
      <w:r w:rsidR="005A0E57">
        <w:t xml:space="preserve"> </w:t>
      </w:r>
      <w:r>
        <w:rPr>
          <w:rFonts w:ascii="Arial" w:eastAsia="Arial" w:hAnsi="Arial" w:cs="Arial"/>
          <w:sz w:val="24"/>
          <w:szCs w:val="24"/>
        </w:rPr>
        <w:t>independence</w:t>
      </w:r>
      <w:proofErr w:type="spellEnd"/>
      <w:r>
        <w:rPr>
          <w:rFonts w:ascii="Arial" w:eastAsia="Arial" w:hAnsi="Arial" w:cs="Arial"/>
          <w:sz w:val="24"/>
          <w:szCs w:val="24"/>
        </w:rPr>
        <w:t xml:space="preserve"> era of state</w:t>
      </w:r>
      <w:r w:rsidR="005A0E57">
        <w:t xml:space="preserve"> </w:t>
      </w:r>
      <w:r>
        <w:rPr>
          <w:rFonts w:ascii="Arial" w:eastAsia="Arial" w:hAnsi="Arial" w:cs="Arial"/>
          <w:sz w:val="24"/>
          <w:szCs w:val="24"/>
        </w:rPr>
        <w:t xml:space="preserve">led industrialisation and decisively reshaped by the liberalisation of the Indian economy in 1991, the industry has evolved from a small, protected domestic </w:t>
      </w:r>
      <w:r>
        <w:rPr>
          <w:rFonts w:ascii="Arial" w:eastAsia="Arial" w:hAnsi="Arial" w:cs="Arial"/>
          <w:sz w:val="24"/>
          <w:szCs w:val="24"/>
        </w:rPr>
        <w:lastRenderedPageBreak/>
        <w:t>market into a globally integrated and export</w:t>
      </w:r>
      <w:r w:rsidR="005A0E57">
        <w:t xml:space="preserve"> </w:t>
      </w:r>
      <w:r>
        <w:rPr>
          <w:rFonts w:ascii="Arial" w:eastAsia="Arial" w:hAnsi="Arial" w:cs="Arial"/>
          <w:sz w:val="24"/>
          <w:szCs w:val="24"/>
        </w:rPr>
        <w:t>capable manufacturing hub. India is currently ranked as the world's fourth</w:t>
      </w:r>
      <w:r w:rsidR="005A0E57">
        <w:t xml:space="preserve"> </w:t>
      </w:r>
      <w:r>
        <w:rPr>
          <w:rFonts w:ascii="Arial" w:eastAsia="Arial" w:hAnsi="Arial" w:cs="Arial"/>
          <w:sz w:val="24"/>
          <w:szCs w:val="24"/>
        </w:rPr>
        <w:t>largest vehicle producer, a status recognised by the European Automobile Manufacturers Association (Grand View Research, 2025). The sector encompasses passenger vehicles, commercial vehicles, two</w:t>
      </w:r>
      <w:r w:rsidR="005A0E57">
        <w:t xml:space="preserve"> </w:t>
      </w:r>
      <w:r>
        <w:rPr>
          <w:rFonts w:ascii="Arial" w:eastAsia="Arial" w:hAnsi="Arial" w:cs="Arial"/>
          <w:sz w:val="24"/>
          <w:szCs w:val="24"/>
        </w:rPr>
        <w:t>wheelers, three</w:t>
      </w:r>
      <w:r w:rsidR="005A0E57">
        <w:t xml:space="preserve"> </w:t>
      </w:r>
      <w:r>
        <w:rPr>
          <w:rFonts w:ascii="Arial" w:eastAsia="Arial" w:hAnsi="Arial" w:cs="Arial"/>
          <w:sz w:val="24"/>
          <w:szCs w:val="24"/>
        </w:rPr>
        <w:t>wheelers, and an increasingly prominent electric vehicle (EV) segment, making it one of the most diversified automotive markets in the world.</w:t>
      </w:r>
    </w:p>
    <w:p w14:paraId="13EC57A2" w14:textId="77777777" w:rsidR="00C75175" w:rsidRDefault="00C75175"/>
    <w:p w14:paraId="6CEA9CAB" w14:textId="5DC16B22" w:rsidR="00C75175" w:rsidRDefault="00000000">
      <w:pPr>
        <w:spacing w:before="80" w:after="80" w:line="360" w:lineRule="auto"/>
        <w:jc w:val="both"/>
      </w:pPr>
      <w:r>
        <w:rPr>
          <w:rFonts w:ascii="Arial" w:eastAsia="Arial" w:hAnsi="Arial" w:cs="Arial"/>
          <w:sz w:val="24"/>
          <w:szCs w:val="24"/>
        </w:rPr>
        <w:t>The liberalisation of 1991 was a watershed moment for the industry. The removal of protectionist barriers, relaxation of foreign investment rules, and the subsequent inflow of foreign capital and technology fundamentally transformed India's automotive landscape. Today, India not only serves its vast domestic market but has also established itself as a meaningful export hub. In the fiscal year 2024-25, the automotive sector recorded a turnover of USD 240 billion, with exports exceeding 5.3 million units across all categories, including 770,000 passenger vehicles (Invest India, 2025).</w:t>
      </w:r>
    </w:p>
    <w:p w14:paraId="7F893C83" w14:textId="77777777" w:rsidR="00C75175" w:rsidRDefault="00C75175"/>
    <w:p w14:paraId="4EE3591D" w14:textId="77777777" w:rsidR="00C75175" w:rsidRDefault="00000000">
      <w:pPr>
        <w:pStyle w:val="Heading2"/>
      </w:pPr>
      <w:r>
        <w:rPr>
          <w:rFonts w:ascii="Arial" w:eastAsia="Arial" w:hAnsi="Arial" w:cs="Arial"/>
          <w:b/>
          <w:bCs/>
          <w:color w:val="2E75B6"/>
          <w:sz w:val="26"/>
          <w:szCs w:val="26"/>
        </w:rPr>
        <w:t>2.2 Size, Scope, and Economic Importance</w:t>
      </w:r>
    </w:p>
    <w:p w14:paraId="02DE7A31" w14:textId="33AE9A78" w:rsidR="00C75175" w:rsidRDefault="00000000">
      <w:pPr>
        <w:spacing w:before="80" w:after="80" w:line="360" w:lineRule="auto"/>
        <w:jc w:val="both"/>
      </w:pPr>
      <w:r>
        <w:rPr>
          <w:rFonts w:ascii="Arial" w:eastAsia="Arial" w:hAnsi="Arial" w:cs="Arial"/>
          <w:sz w:val="24"/>
          <w:szCs w:val="24"/>
        </w:rPr>
        <w:t>The economic significance of India's automotive industry is extraordinary. According to Custom Market Insights (2026), the market was valued at approximately USD 121.5 billion in 2024 and is projected to reach USD 247.4 billion by 2033, growing at a compound annual growth rate (CAGR) of 7.13%. The sector contributes approximately 45% of the country's manufacturing gross domestic product (GDP) and over 7.1% of India's total GDP (Custom Market Insights, 2026). It directly and indirectly employs approximately 32 million people, positioning it as one of the largest formal</w:t>
      </w:r>
      <w:r w:rsidR="006646B2">
        <w:t xml:space="preserve"> </w:t>
      </w:r>
      <w:r>
        <w:rPr>
          <w:rFonts w:ascii="Arial" w:eastAsia="Arial" w:hAnsi="Arial" w:cs="Arial"/>
          <w:sz w:val="24"/>
          <w:szCs w:val="24"/>
        </w:rPr>
        <w:t>sector employers in the economy. The Indian government has set an ambitious policy target to increase the sector's GDP contribution to 12% by 2026, potentially generating 65 million jobs and tripling the industry's overall turnover (Custom Market Insights, 2026).</w:t>
      </w:r>
    </w:p>
    <w:p w14:paraId="2C02564F" w14:textId="77777777" w:rsidR="00C75175" w:rsidRDefault="00C75175"/>
    <w:p w14:paraId="70B5EA7E" w14:textId="0C8CD579" w:rsidR="00C75175" w:rsidRDefault="00000000">
      <w:pPr>
        <w:spacing w:before="80" w:after="80" w:line="360" w:lineRule="auto"/>
        <w:jc w:val="both"/>
      </w:pPr>
      <w:r>
        <w:rPr>
          <w:rFonts w:ascii="Arial" w:eastAsia="Arial" w:hAnsi="Arial" w:cs="Arial"/>
          <w:sz w:val="24"/>
          <w:szCs w:val="24"/>
        </w:rPr>
        <w:t xml:space="preserve">Passenger vehicle sales crossed 5.156 million units in 2024 and are expected to grow at a CAGR of 7.3% through 2030 (Grand View Research, 2025). The wider automotive </w:t>
      </w:r>
      <w:proofErr w:type="gramStart"/>
      <w:r>
        <w:rPr>
          <w:rFonts w:ascii="Arial" w:eastAsia="Arial" w:hAnsi="Arial" w:cs="Arial"/>
          <w:sz w:val="24"/>
          <w:szCs w:val="24"/>
        </w:rPr>
        <w:t>market  encompassing</w:t>
      </w:r>
      <w:proofErr w:type="gramEnd"/>
      <w:r>
        <w:rPr>
          <w:rFonts w:ascii="Arial" w:eastAsia="Arial" w:hAnsi="Arial" w:cs="Arial"/>
          <w:sz w:val="24"/>
          <w:szCs w:val="24"/>
        </w:rPr>
        <w:t xml:space="preserve"> all vehicle </w:t>
      </w:r>
      <w:proofErr w:type="gramStart"/>
      <w:r>
        <w:rPr>
          <w:rFonts w:ascii="Arial" w:eastAsia="Arial" w:hAnsi="Arial" w:cs="Arial"/>
          <w:sz w:val="24"/>
          <w:szCs w:val="24"/>
        </w:rPr>
        <w:t>categories  recorded</w:t>
      </w:r>
      <w:proofErr w:type="gramEnd"/>
      <w:r>
        <w:rPr>
          <w:rFonts w:ascii="Arial" w:eastAsia="Arial" w:hAnsi="Arial" w:cs="Arial"/>
          <w:sz w:val="24"/>
          <w:szCs w:val="24"/>
        </w:rPr>
        <w:t xml:space="preserve"> sales of over </w:t>
      </w:r>
      <w:r>
        <w:rPr>
          <w:rFonts w:ascii="Arial" w:eastAsia="Arial" w:hAnsi="Arial" w:cs="Arial"/>
          <w:sz w:val="24"/>
          <w:szCs w:val="24"/>
        </w:rPr>
        <w:lastRenderedPageBreak/>
        <w:t>25 million units in FY 2024-25 (Invest India, 2025). The sports utility vehicle (SUV) sub</w:t>
      </w:r>
      <w:r w:rsidR="004F68E6">
        <w:rPr>
          <w:rFonts w:ascii="Arial" w:eastAsia="Arial" w:hAnsi="Arial" w:cs="Arial"/>
          <w:sz w:val="24"/>
          <w:szCs w:val="24"/>
        </w:rPr>
        <w:t xml:space="preserve"> </w:t>
      </w:r>
      <w:r>
        <w:rPr>
          <w:rFonts w:ascii="Arial" w:eastAsia="Arial" w:hAnsi="Arial" w:cs="Arial"/>
          <w:sz w:val="24"/>
          <w:szCs w:val="24"/>
        </w:rPr>
        <w:t>segment has been the dominant growth engine, with its share of the passenger vehicle market rising dramatically from 40.1% in 2022 to over 50.4% in FY2024, reflecting a structural shift in consumer preferences toward larger, feature</w:t>
      </w:r>
      <w:r w:rsidR="006646B2">
        <w:t xml:space="preserve"> </w:t>
      </w:r>
      <w:r>
        <w:rPr>
          <w:rFonts w:ascii="Arial" w:eastAsia="Arial" w:hAnsi="Arial" w:cs="Arial"/>
          <w:sz w:val="24"/>
          <w:szCs w:val="24"/>
        </w:rPr>
        <w:t>rich vehicles (</w:t>
      </w:r>
      <w:proofErr w:type="spellStart"/>
      <w:r>
        <w:rPr>
          <w:rFonts w:ascii="Arial" w:eastAsia="Arial" w:hAnsi="Arial" w:cs="Arial"/>
          <w:sz w:val="24"/>
          <w:szCs w:val="24"/>
        </w:rPr>
        <w:t>NextMSC</w:t>
      </w:r>
      <w:proofErr w:type="spellEnd"/>
      <w:r>
        <w:rPr>
          <w:rFonts w:ascii="Arial" w:eastAsia="Arial" w:hAnsi="Arial" w:cs="Arial"/>
          <w:sz w:val="24"/>
          <w:szCs w:val="24"/>
        </w:rPr>
        <w:t>, 2025</w:t>
      </w:r>
      <w:r w:rsidR="00E13F21">
        <w:t>).</w:t>
      </w:r>
      <w:r>
        <w:rPr>
          <w:rFonts w:ascii="Arial" w:eastAsia="Arial" w:hAnsi="Arial" w:cs="Arial"/>
          <w:sz w:val="24"/>
          <w:szCs w:val="24"/>
        </w:rPr>
        <w:t xml:space="preserve"> </w:t>
      </w:r>
    </w:p>
    <w:p w14:paraId="0DF1D3CB" w14:textId="77777777" w:rsidR="00C75175" w:rsidRDefault="00C75175"/>
    <w:p w14:paraId="1156DB81" w14:textId="77777777" w:rsidR="00C75175" w:rsidRDefault="00000000">
      <w:pPr>
        <w:pStyle w:val="Heading2"/>
      </w:pPr>
      <w:r>
        <w:rPr>
          <w:rFonts w:ascii="Arial" w:eastAsia="Arial" w:hAnsi="Arial" w:cs="Arial"/>
          <w:b/>
          <w:bCs/>
          <w:color w:val="2E75B6"/>
          <w:sz w:val="26"/>
          <w:szCs w:val="26"/>
        </w:rPr>
        <w:t>2.3 Major Domestic and Multinational Firms: Competitive Positioning</w:t>
      </w:r>
    </w:p>
    <w:p w14:paraId="4C2FA5A6" w14:textId="3DA3776F" w:rsidR="00C75175" w:rsidRDefault="00000000">
      <w:pPr>
        <w:spacing w:before="80" w:after="80" w:line="360" w:lineRule="auto"/>
        <w:jc w:val="both"/>
      </w:pPr>
      <w:r>
        <w:rPr>
          <w:rFonts w:ascii="Arial" w:eastAsia="Arial" w:hAnsi="Arial" w:cs="Arial"/>
          <w:sz w:val="24"/>
          <w:szCs w:val="24"/>
        </w:rPr>
        <w:t>India's automotive competitive landscape is characterised by intense multi</w:t>
      </w:r>
      <w:r w:rsidR="006646B2">
        <w:t xml:space="preserve"> </w:t>
      </w:r>
      <w:r>
        <w:rPr>
          <w:rFonts w:ascii="Arial" w:eastAsia="Arial" w:hAnsi="Arial" w:cs="Arial"/>
          <w:sz w:val="24"/>
          <w:szCs w:val="24"/>
        </w:rPr>
        <w:t xml:space="preserve">player rivalry among domestic champions and foreign MNCs. </w:t>
      </w:r>
    </w:p>
    <w:p w14:paraId="2D5F9C4D" w14:textId="4329BF08" w:rsidR="00C75175" w:rsidRDefault="00C75175">
      <w:pPr>
        <w:spacing w:before="80" w:after="140"/>
      </w:pP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506"/>
        <w:gridCol w:w="1760"/>
        <w:gridCol w:w="4760"/>
      </w:tblGrid>
      <w:tr w:rsidR="00C75175" w14:paraId="101DDD3F"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1F4E79"/>
            <w:tcMar>
              <w:top w:w="80" w:type="dxa"/>
              <w:left w:w="140" w:type="dxa"/>
              <w:bottom w:w="80" w:type="dxa"/>
              <w:right w:w="140" w:type="dxa"/>
            </w:tcMar>
            <w:vAlign w:val="center"/>
          </w:tcPr>
          <w:p w14:paraId="47FBFF07" w14:textId="77777777" w:rsidR="00C75175" w:rsidRDefault="00000000">
            <w:r>
              <w:rPr>
                <w:rFonts w:ascii="Arial" w:eastAsia="Arial" w:hAnsi="Arial" w:cs="Arial"/>
                <w:b/>
                <w:bCs/>
                <w:color w:val="FFFFFF"/>
                <w:sz w:val="20"/>
                <w:szCs w:val="20"/>
              </w:rPr>
              <w:t>Company</w:t>
            </w:r>
          </w:p>
        </w:tc>
        <w:tc>
          <w:tcPr>
            <w:tcW w:w="17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40" w:type="dxa"/>
              <w:bottom w:w="80" w:type="dxa"/>
              <w:right w:w="140" w:type="dxa"/>
            </w:tcMar>
            <w:vAlign w:val="center"/>
          </w:tcPr>
          <w:p w14:paraId="29738D34" w14:textId="77777777" w:rsidR="00C75175" w:rsidRDefault="00000000">
            <w:r>
              <w:rPr>
                <w:rFonts w:ascii="Arial" w:eastAsia="Arial" w:hAnsi="Arial" w:cs="Arial"/>
                <w:b/>
                <w:bCs/>
                <w:color w:val="FFFFFF"/>
                <w:sz w:val="20"/>
                <w:szCs w:val="20"/>
              </w:rPr>
              <w:t>Market Share (%)</w:t>
            </w:r>
          </w:p>
        </w:tc>
        <w:tc>
          <w:tcPr>
            <w:tcW w:w="4760" w:type="dxa"/>
            <w:tcBorders>
              <w:top w:val="single" w:sz="4" w:space="0" w:color="2E75B6"/>
              <w:left w:val="single" w:sz="4" w:space="0" w:color="2E75B6"/>
              <w:bottom w:val="single" w:sz="4" w:space="0" w:color="2E75B6"/>
              <w:right w:val="single" w:sz="4" w:space="0" w:color="2E75B6"/>
            </w:tcBorders>
            <w:shd w:val="clear" w:color="auto" w:fill="1F4E79"/>
            <w:tcMar>
              <w:top w:w="80" w:type="dxa"/>
              <w:left w:w="140" w:type="dxa"/>
              <w:bottom w:w="80" w:type="dxa"/>
              <w:right w:w="140" w:type="dxa"/>
            </w:tcMar>
            <w:vAlign w:val="center"/>
          </w:tcPr>
          <w:p w14:paraId="50FCDFAD" w14:textId="77777777" w:rsidR="00C75175" w:rsidRDefault="00000000">
            <w:r>
              <w:rPr>
                <w:rFonts w:ascii="Arial" w:eastAsia="Arial" w:hAnsi="Arial" w:cs="Arial"/>
                <w:b/>
                <w:bCs/>
                <w:color w:val="FFFFFF"/>
                <w:sz w:val="20"/>
                <w:szCs w:val="20"/>
              </w:rPr>
              <w:t>Primary Competitive Strategy</w:t>
            </w:r>
          </w:p>
        </w:tc>
      </w:tr>
      <w:tr w:rsidR="00C75175" w14:paraId="14C75AB2"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64BD74DA" w14:textId="77777777" w:rsidR="00C75175" w:rsidRDefault="00000000">
            <w:r>
              <w:rPr>
                <w:rFonts w:ascii="Arial" w:eastAsia="Arial" w:hAnsi="Arial" w:cs="Arial"/>
                <w:color w:val="000000"/>
                <w:sz w:val="20"/>
                <w:szCs w:val="20"/>
              </w:rPr>
              <w:t>Maruti Suzuki India</w:t>
            </w:r>
          </w:p>
        </w:tc>
        <w:tc>
          <w:tcPr>
            <w:tcW w:w="1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5338CD86" w14:textId="77777777" w:rsidR="00C75175" w:rsidRDefault="00000000">
            <w:r>
              <w:rPr>
                <w:rFonts w:ascii="Arial" w:eastAsia="Arial" w:hAnsi="Arial" w:cs="Arial"/>
                <w:color w:val="000000"/>
                <w:sz w:val="20"/>
                <w:szCs w:val="20"/>
              </w:rPr>
              <w:t>~40–41%</w:t>
            </w:r>
          </w:p>
        </w:tc>
        <w:tc>
          <w:tcPr>
            <w:tcW w:w="4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453170F6" w14:textId="77777777" w:rsidR="00C75175" w:rsidRDefault="00000000">
            <w:r>
              <w:rPr>
                <w:rFonts w:ascii="Arial" w:eastAsia="Arial" w:hAnsi="Arial" w:cs="Arial"/>
                <w:color w:val="000000"/>
                <w:sz w:val="20"/>
                <w:szCs w:val="20"/>
              </w:rPr>
              <w:t>Mass-market hatchbacks, CNG vehicles, distribution scale</w:t>
            </w:r>
          </w:p>
        </w:tc>
      </w:tr>
      <w:tr w:rsidR="00C75175" w14:paraId="77D9656B"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3EEF2386" w14:textId="77777777" w:rsidR="00C75175" w:rsidRDefault="00000000">
            <w:r>
              <w:rPr>
                <w:rFonts w:ascii="Arial" w:eastAsia="Arial" w:hAnsi="Arial" w:cs="Arial"/>
                <w:color w:val="000000"/>
                <w:sz w:val="20"/>
                <w:szCs w:val="20"/>
              </w:rPr>
              <w:t>Mahindra &amp; Mahindra</w:t>
            </w:r>
          </w:p>
        </w:tc>
        <w:tc>
          <w:tcPr>
            <w:tcW w:w="1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7732A2BE" w14:textId="77777777" w:rsidR="00C75175" w:rsidRDefault="00000000">
            <w:r>
              <w:rPr>
                <w:rFonts w:ascii="Arial" w:eastAsia="Arial" w:hAnsi="Arial" w:cs="Arial"/>
                <w:color w:val="000000"/>
                <w:sz w:val="20"/>
                <w:szCs w:val="20"/>
              </w:rPr>
              <w:t>~14–15%</w:t>
            </w:r>
          </w:p>
        </w:tc>
        <w:tc>
          <w:tcPr>
            <w:tcW w:w="4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6C9A55C5" w14:textId="77777777" w:rsidR="00C75175" w:rsidRDefault="00000000">
            <w:r>
              <w:rPr>
                <w:rFonts w:ascii="Arial" w:eastAsia="Arial" w:hAnsi="Arial" w:cs="Arial"/>
                <w:color w:val="000000"/>
                <w:sz w:val="20"/>
                <w:szCs w:val="20"/>
              </w:rPr>
              <w:t>SUV-focused portfolio, growing BEV range, rural strength</w:t>
            </w:r>
          </w:p>
        </w:tc>
      </w:tr>
      <w:tr w:rsidR="00C75175" w14:paraId="1E8E0DFC"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6A14A7A4" w14:textId="77777777" w:rsidR="00C75175" w:rsidRDefault="00000000">
            <w:r>
              <w:rPr>
                <w:rFonts w:ascii="Arial" w:eastAsia="Arial" w:hAnsi="Arial" w:cs="Arial"/>
                <w:color w:val="000000"/>
                <w:sz w:val="20"/>
                <w:szCs w:val="20"/>
              </w:rPr>
              <w:t>Tata Motors</w:t>
            </w:r>
          </w:p>
        </w:tc>
        <w:tc>
          <w:tcPr>
            <w:tcW w:w="1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35701C77" w14:textId="77777777" w:rsidR="00C75175" w:rsidRDefault="00000000">
            <w:r>
              <w:rPr>
                <w:rFonts w:ascii="Arial" w:eastAsia="Arial" w:hAnsi="Arial" w:cs="Arial"/>
                <w:color w:val="000000"/>
                <w:sz w:val="20"/>
                <w:szCs w:val="20"/>
              </w:rPr>
              <w:t>~12–13%</w:t>
            </w:r>
          </w:p>
        </w:tc>
        <w:tc>
          <w:tcPr>
            <w:tcW w:w="4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2900CB90" w14:textId="77777777" w:rsidR="00C75175" w:rsidRDefault="00000000">
            <w:r>
              <w:rPr>
                <w:rFonts w:ascii="Arial" w:eastAsia="Arial" w:hAnsi="Arial" w:cs="Arial"/>
                <w:color w:val="000000"/>
                <w:sz w:val="20"/>
                <w:szCs w:val="20"/>
              </w:rPr>
              <w:t>EV market leader, safety-first brand, urban youth appeal</w:t>
            </w:r>
          </w:p>
        </w:tc>
      </w:tr>
      <w:tr w:rsidR="00C75175" w14:paraId="6193E309"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4ABB38A4" w14:textId="77777777" w:rsidR="00C75175" w:rsidRDefault="00000000">
            <w:r>
              <w:rPr>
                <w:rFonts w:ascii="Arial" w:eastAsia="Arial" w:hAnsi="Arial" w:cs="Arial"/>
                <w:color w:val="000000"/>
                <w:sz w:val="20"/>
                <w:szCs w:val="20"/>
              </w:rPr>
              <w:t>Hyundai Motor India</w:t>
            </w:r>
          </w:p>
        </w:tc>
        <w:tc>
          <w:tcPr>
            <w:tcW w:w="1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0B78B8FC" w14:textId="77777777" w:rsidR="00C75175" w:rsidRDefault="00000000">
            <w:r>
              <w:rPr>
                <w:rFonts w:ascii="Arial" w:eastAsia="Arial" w:hAnsi="Arial" w:cs="Arial"/>
                <w:color w:val="000000"/>
                <w:sz w:val="20"/>
                <w:szCs w:val="20"/>
              </w:rPr>
              <w:t>~12–14%</w:t>
            </w:r>
          </w:p>
        </w:tc>
        <w:tc>
          <w:tcPr>
            <w:tcW w:w="4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315D4103" w14:textId="77777777" w:rsidR="00C75175" w:rsidRDefault="00000000">
            <w:r>
              <w:rPr>
                <w:rFonts w:ascii="Arial" w:eastAsia="Arial" w:hAnsi="Arial" w:cs="Arial"/>
                <w:color w:val="000000"/>
                <w:sz w:val="20"/>
                <w:szCs w:val="20"/>
              </w:rPr>
              <w:t>Feature-rich SUVs, technology, expanding EV portfolio</w:t>
            </w:r>
          </w:p>
        </w:tc>
      </w:tr>
      <w:tr w:rsidR="00C75175" w14:paraId="7027B18E"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0179AD09" w14:textId="77777777" w:rsidR="00C75175" w:rsidRDefault="00000000">
            <w:r>
              <w:rPr>
                <w:rFonts w:ascii="Arial" w:eastAsia="Arial" w:hAnsi="Arial" w:cs="Arial"/>
                <w:color w:val="000000"/>
                <w:sz w:val="20"/>
                <w:szCs w:val="20"/>
              </w:rPr>
              <w:t>Kia India</w:t>
            </w:r>
          </w:p>
        </w:tc>
        <w:tc>
          <w:tcPr>
            <w:tcW w:w="1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33EFE0CD" w14:textId="77777777" w:rsidR="00C75175" w:rsidRDefault="00000000">
            <w:r>
              <w:rPr>
                <w:rFonts w:ascii="Arial" w:eastAsia="Arial" w:hAnsi="Arial" w:cs="Arial"/>
                <w:color w:val="000000"/>
                <w:sz w:val="20"/>
                <w:szCs w:val="20"/>
              </w:rPr>
              <w:t>~6–7%</w:t>
            </w:r>
          </w:p>
        </w:tc>
        <w:tc>
          <w:tcPr>
            <w:tcW w:w="4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148FEA99" w14:textId="77777777" w:rsidR="00C75175" w:rsidRDefault="00000000">
            <w:r>
              <w:rPr>
                <w:rFonts w:ascii="Arial" w:eastAsia="Arial" w:hAnsi="Arial" w:cs="Arial"/>
                <w:color w:val="000000"/>
                <w:sz w:val="20"/>
                <w:szCs w:val="20"/>
              </w:rPr>
              <w:t>Design-led premium SUVs, connected car features</w:t>
            </w:r>
          </w:p>
        </w:tc>
      </w:tr>
      <w:tr w:rsidR="00C75175" w14:paraId="2E6175F1" w14:textId="77777777">
        <w:tblPrEx>
          <w:tblCellMar>
            <w:top w:w="0" w:type="dxa"/>
            <w:bottom w:w="0" w:type="dxa"/>
          </w:tblCellMar>
        </w:tblPrEx>
        <w:tc>
          <w:tcPr>
            <w:tcW w:w="2506"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3DD37F19" w14:textId="77777777" w:rsidR="00C75175" w:rsidRDefault="00000000">
            <w:r>
              <w:rPr>
                <w:rFonts w:ascii="Arial" w:eastAsia="Arial" w:hAnsi="Arial" w:cs="Arial"/>
                <w:color w:val="000000"/>
                <w:sz w:val="20"/>
                <w:szCs w:val="20"/>
              </w:rPr>
              <w:t>Toyota Kirloskar Motor</w:t>
            </w:r>
          </w:p>
        </w:tc>
        <w:tc>
          <w:tcPr>
            <w:tcW w:w="1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75BFB087" w14:textId="77777777" w:rsidR="00C75175" w:rsidRDefault="00000000">
            <w:r>
              <w:rPr>
                <w:rFonts w:ascii="Arial" w:eastAsia="Arial" w:hAnsi="Arial" w:cs="Arial"/>
                <w:color w:val="000000"/>
                <w:sz w:val="20"/>
                <w:szCs w:val="20"/>
              </w:rPr>
              <w:t>~5–6%</w:t>
            </w:r>
          </w:p>
        </w:tc>
        <w:tc>
          <w:tcPr>
            <w:tcW w:w="4760" w:type="dxa"/>
            <w:tcBorders>
              <w:top w:val="single" w:sz="4" w:space="0" w:color="2E75B6"/>
              <w:left w:val="single" w:sz="4" w:space="0" w:color="2E75B6"/>
              <w:bottom w:val="single" w:sz="4" w:space="0" w:color="2E75B6"/>
              <w:right w:val="single" w:sz="4" w:space="0" w:color="2E75B6"/>
            </w:tcBorders>
            <w:shd w:val="clear" w:color="auto" w:fill="F5F8FF"/>
            <w:tcMar>
              <w:top w:w="80" w:type="dxa"/>
              <w:left w:w="140" w:type="dxa"/>
              <w:bottom w:w="80" w:type="dxa"/>
              <w:right w:w="140" w:type="dxa"/>
            </w:tcMar>
            <w:vAlign w:val="center"/>
          </w:tcPr>
          <w:p w14:paraId="55E43210" w14:textId="77777777" w:rsidR="00C75175" w:rsidRDefault="00000000">
            <w:r>
              <w:rPr>
                <w:rFonts w:ascii="Arial" w:eastAsia="Arial" w:hAnsi="Arial" w:cs="Arial"/>
                <w:color w:val="000000"/>
                <w:sz w:val="20"/>
                <w:szCs w:val="20"/>
              </w:rPr>
              <w:t>Hybrid technology, reliability, strong after-sales</w:t>
            </w:r>
          </w:p>
        </w:tc>
      </w:tr>
    </w:tbl>
    <w:p w14:paraId="6BF66821" w14:textId="44B8A1E6" w:rsidR="00C75175" w:rsidRDefault="00000000">
      <w:pPr>
        <w:spacing w:before="80" w:after="140"/>
      </w:pPr>
      <w:r>
        <w:rPr>
          <w:rFonts w:ascii="Arial" w:eastAsia="Arial" w:hAnsi="Arial" w:cs="Arial"/>
          <w:i/>
          <w:iCs/>
          <w:color w:val="555555"/>
          <w:sz w:val="20"/>
          <w:szCs w:val="20"/>
        </w:rPr>
        <w:t xml:space="preserve">Source: </w:t>
      </w:r>
      <w:proofErr w:type="spellStart"/>
      <w:r>
        <w:rPr>
          <w:rFonts w:ascii="Arial" w:eastAsia="Arial" w:hAnsi="Arial" w:cs="Arial"/>
          <w:i/>
          <w:iCs/>
          <w:color w:val="555555"/>
          <w:sz w:val="20"/>
          <w:szCs w:val="20"/>
        </w:rPr>
        <w:t>FactoData</w:t>
      </w:r>
      <w:proofErr w:type="spellEnd"/>
      <w:r>
        <w:rPr>
          <w:rFonts w:ascii="Arial" w:eastAsia="Arial" w:hAnsi="Arial" w:cs="Arial"/>
          <w:i/>
          <w:iCs/>
          <w:color w:val="555555"/>
          <w:sz w:val="20"/>
          <w:szCs w:val="20"/>
        </w:rPr>
        <w:t xml:space="preserve"> (2025</w:t>
      </w:r>
      <w:r w:rsidR="006646B2">
        <w:rPr>
          <w:i/>
          <w:iCs/>
          <w:color w:val="555555"/>
          <w:sz w:val="20"/>
          <w:szCs w:val="20"/>
        </w:rPr>
        <w:t>)</w:t>
      </w:r>
    </w:p>
    <w:p w14:paraId="6705A210" w14:textId="77777777" w:rsidR="00C75175" w:rsidRDefault="00C75175"/>
    <w:p w14:paraId="5E272530" w14:textId="1A5A2869" w:rsidR="00C75175" w:rsidRDefault="00000000">
      <w:pPr>
        <w:spacing w:before="80" w:after="80" w:line="360" w:lineRule="auto"/>
        <w:jc w:val="both"/>
      </w:pPr>
      <w:r>
        <w:rPr>
          <w:rFonts w:ascii="Arial" w:eastAsia="Arial" w:hAnsi="Arial" w:cs="Arial"/>
          <w:sz w:val="24"/>
          <w:szCs w:val="24"/>
        </w:rPr>
        <w:t xml:space="preserve">Maruti Suzuki India Limited, a subsidiary of Japan's Suzuki Motor Corporation, has been the undisputed market leader for decades. However, its market share has declined markedly, from 51.2% in FY2018-19 to approximately 40.9% in FY2024-25 (Outlook Business, 2025). This decline reflects the structural shift in consumer demand toward SUVs a segment where Maruti historically underperformed. Despite this, Maruti retains powerful advantages in distribution breadth, brand trust, </w:t>
      </w:r>
      <w:r>
        <w:rPr>
          <w:rFonts w:ascii="Arial" w:eastAsia="Arial" w:hAnsi="Arial" w:cs="Arial"/>
          <w:sz w:val="24"/>
          <w:szCs w:val="24"/>
        </w:rPr>
        <w:lastRenderedPageBreak/>
        <w:t>fuel</w:t>
      </w:r>
      <w:r w:rsidR="006646B2">
        <w:t xml:space="preserve"> </w:t>
      </w:r>
      <w:r>
        <w:rPr>
          <w:rFonts w:ascii="Arial" w:eastAsia="Arial" w:hAnsi="Arial" w:cs="Arial"/>
          <w:sz w:val="24"/>
          <w:szCs w:val="24"/>
        </w:rPr>
        <w:t>efficient CNG vehicles, and entry</w:t>
      </w:r>
      <w:r w:rsidR="006646B2">
        <w:t xml:space="preserve"> </w:t>
      </w:r>
      <w:r>
        <w:rPr>
          <w:rFonts w:ascii="Arial" w:eastAsia="Arial" w:hAnsi="Arial" w:cs="Arial"/>
          <w:sz w:val="24"/>
          <w:szCs w:val="24"/>
        </w:rPr>
        <w:t xml:space="preserve">level pricing. Its parent Suzuki Motor Corporation acknowledged a need to 'rethink strategy' in its </w:t>
      </w:r>
      <w:proofErr w:type="spellStart"/>
      <w:r>
        <w:rPr>
          <w:rFonts w:ascii="Arial" w:eastAsia="Arial" w:hAnsi="Arial" w:cs="Arial"/>
          <w:sz w:val="24"/>
          <w:szCs w:val="24"/>
        </w:rPr>
        <w:t>mid</w:t>
      </w:r>
      <w:r w:rsidR="006646B2">
        <w:t xml:space="preserve"> </w:t>
      </w:r>
      <w:r>
        <w:rPr>
          <w:rFonts w:ascii="Arial" w:eastAsia="Arial" w:hAnsi="Arial" w:cs="Arial"/>
          <w:sz w:val="24"/>
          <w:szCs w:val="24"/>
        </w:rPr>
        <w:t>term</w:t>
      </w:r>
      <w:proofErr w:type="spellEnd"/>
      <w:r>
        <w:rPr>
          <w:rFonts w:ascii="Arial" w:eastAsia="Arial" w:hAnsi="Arial" w:cs="Arial"/>
          <w:sz w:val="24"/>
          <w:szCs w:val="24"/>
        </w:rPr>
        <w:t xml:space="preserve"> management plan (2024-2030) in light of intensifying EV competition (Outlook Business, 2025).</w:t>
      </w:r>
    </w:p>
    <w:p w14:paraId="1ECA996D" w14:textId="77777777" w:rsidR="00C75175" w:rsidRDefault="00C75175"/>
    <w:p w14:paraId="5D6CAF28" w14:textId="6C31BCD7" w:rsidR="00C75175" w:rsidRDefault="00000000">
      <w:pPr>
        <w:spacing w:before="80" w:after="80" w:line="360" w:lineRule="auto"/>
        <w:jc w:val="both"/>
      </w:pPr>
      <w:r>
        <w:rPr>
          <w:rFonts w:ascii="Arial" w:eastAsia="Arial" w:hAnsi="Arial" w:cs="Arial"/>
          <w:sz w:val="24"/>
          <w:szCs w:val="24"/>
        </w:rPr>
        <w:t>Tata Motors has repositioned itself as one of India's most dynamic automotive players, primarily by pioneering the country's EV revolution. With a dominant EV portfolio including the Nexon EV, Tiago EV, Punch EV, and the newly launched Sierra EV Tata held over 53% of the electric passenger vehicle market in FY2024-25</w:t>
      </w:r>
      <w:r w:rsidR="006646B2">
        <w:t>.</w:t>
      </w:r>
    </w:p>
    <w:p w14:paraId="226B9834" w14:textId="77777777" w:rsidR="00C75175" w:rsidRDefault="00C75175"/>
    <w:p w14:paraId="14BAD158" w14:textId="4E576578" w:rsidR="00C75175" w:rsidRDefault="00000000">
      <w:pPr>
        <w:spacing w:before="80" w:after="80" w:line="360" w:lineRule="auto"/>
        <w:jc w:val="both"/>
      </w:pPr>
      <w:r>
        <w:rPr>
          <w:rFonts w:ascii="Arial" w:eastAsia="Arial" w:hAnsi="Arial" w:cs="Arial"/>
          <w:sz w:val="24"/>
          <w:szCs w:val="24"/>
        </w:rPr>
        <w:t>Hyundai Motor India Limited (HMIL), established in 1996 and now a listed company following its landmark 2024 IPO, has consistently held the position of India's second</w:t>
      </w:r>
      <w:r w:rsidR="00FF44EB">
        <w:t xml:space="preserve"> </w:t>
      </w:r>
      <w:r>
        <w:rPr>
          <w:rFonts w:ascii="Arial" w:eastAsia="Arial" w:hAnsi="Arial" w:cs="Arial"/>
          <w:sz w:val="24"/>
          <w:szCs w:val="24"/>
        </w:rPr>
        <w:t xml:space="preserve">largest passenger vehicle manufacturer. As a South Korean MNC, HMIL differentiates itself through product technology, feature richness, design sophistication, and a </w:t>
      </w:r>
      <w:proofErr w:type="spellStart"/>
      <w:proofErr w:type="gramStart"/>
      <w:r>
        <w:rPr>
          <w:rFonts w:ascii="Arial" w:eastAsia="Arial" w:hAnsi="Arial" w:cs="Arial"/>
          <w:sz w:val="24"/>
          <w:szCs w:val="24"/>
        </w:rPr>
        <w:t>well</w:t>
      </w:r>
      <w:r w:rsidR="00FF44EB">
        <w:t xml:space="preserve"> </w:t>
      </w:r>
      <w:r>
        <w:rPr>
          <w:rFonts w:ascii="Arial" w:eastAsia="Arial" w:hAnsi="Arial" w:cs="Arial"/>
          <w:sz w:val="24"/>
          <w:szCs w:val="24"/>
        </w:rPr>
        <w:t>established</w:t>
      </w:r>
      <w:proofErr w:type="spellEnd"/>
      <w:proofErr w:type="gramEnd"/>
      <w:r>
        <w:rPr>
          <w:rFonts w:ascii="Arial" w:eastAsia="Arial" w:hAnsi="Arial" w:cs="Arial"/>
          <w:sz w:val="24"/>
          <w:szCs w:val="24"/>
        </w:rPr>
        <w:t xml:space="preserve"> dealership and service network spanning over 950 cities with close to 1,300 sales outlets (Kotak Neo, 2025). Its Creta SUV has been one of India's consistent top</w:t>
      </w:r>
      <w:r w:rsidR="00FF44EB">
        <w:t xml:space="preserve"> </w:t>
      </w:r>
      <w:r>
        <w:rPr>
          <w:rFonts w:ascii="Arial" w:eastAsia="Arial" w:hAnsi="Arial" w:cs="Arial"/>
          <w:sz w:val="24"/>
          <w:szCs w:val="24"/>
        </w:rPr>
        <w:t>selling models, and together with its sister company Kia India, the Hyundai Motor Group commanded over 20% of the Indian passenger vehicle market in 2024 (Hyundai Motor Group, 2025). The combined group's total production capacity in India is set to reach 1.5 million units annually upon completion of the Pune (Talegaon) plant.</w:t>
      </w:r>
    </w:p>
    <w:p w14:paraId="5DFDD743" w14:textId="77777777" w:rsidR="00C75175" w:rsidRDefault="00C75175"/>
    <w:p w14:paraId="6E380B51" w14:textId="77777777" w:rsidR="00C75175" w:rsidRDefault="00000000">
      <w:pPr>
        <w:pStyle w:val="Heading1"/>
      </w:pPr>
      <w:r>
        <w:rPr>
          <w:rFonts w:ascii="Arial" w:eastAsia="Arial" w:hAnsi="Arial" w:cs="Arial"/>
          <w:b/>
          <w:bCs/>
          <w:color w:val="1F4E79"/>
          <w:sz w:val="32"/>
          <w:szCs w:val="32"/>
        </w:rPr>
        <w:t>3.0 Porter's Diamond Model: Global Competitiveness of India's Automotive Industry</w:t>
      </w:r>
    </w:p>
    <w:p w14:paraId="7717046E" w14:textId="6348955A" w:rsidR="00C75175" w:rsidRDefault="00000000">
      <w:pPr>
        <w:spacing w:before="80" w:after="80" w:line="360" w:lineRule="auto"/>
        <w:jc w:val="both"/>
      </w:pPr>
      <w:r>
        <w:rPr>
          <w:rFonts w:ascii="Arial" w:eastAsia="Arial" w:hAnsi="Arial" w:cs="Arial"/>
          <w:sz w:val="24"/>
          <w:szCs w:val="24"/>
        </w:rPr>
        <w:t>Porter's (1990) Diamond Model of National Advantage is one of the most influential frameworks in international business for understanding why specific industries in particular nations achieve international competitive success. The model identifies four interlocking determinants: factor conditions, demand conditions, related and supporting industries, and firm strategy, structure, and rivalry. Two external variables government and chance also influence the system. Applying this framework to India's automotive industry reveals a nuanced and evolving pattern of genuine competitive strengths alongside persistent structural constraints.</w:t>
      </w:r>
    </w:p>
    <w:p w14:paraId="4911E047" w14:textId="77777777" w:rsidR="00C75175" w:rsidRDefault="00C75175"/>
    <w:p w14:paraId="4DD5E86C" w14:textId="77777777" w:rsidR="00C75175" w:rsidRDefault="00000000">
      <w:pPr>
        <w:pStyle w:val="Heading2"/>
      </w:pPr>
      <w:r>
        <w:rPr>
          <w:rFonts w:ascii="Arial" w:eastAsia="Arial" w:hAnsi="Arial" w:cs="Arial"/>
          <w:b/>
          <w:bCs/>
          <w:color w:val="2E75B6"/>
          <w:sz w:val="26"/>
          <w:szCs w:val="26"/>
        </w:rPr>
        <w:t>3.1 Factor Conditions</w:t>
      </w:r>
    </w:p>
    <w:p w14:paraId="22424EE7" w14:textId="51E10935" w:rsidR="00C75175" w:rsidRDefault="00000000">
      <w:pPr>
        <w:spacing w:before="80" w:after="80" w:line="360" w:lineRule="auto"/>
        <w:jc w:val="both"/>
      </w:pPr>
      <w:r>
        <w:rPr>
          <w:rFonts w:ascii="Arial" w:eastAsia="Arial" w:hAnsi="Arial" w:cs="Arial"/>
          <w:sz w:val="24"/>
          <w:szCs w:val="24"/>
        </w:rPr>
        <w:t>Porter (1990) distinguishes between basic factor conditions natural resources, unskilled labour, and geography and advanced factor conditions, such as highly skilled labour, sophisticated capital markets, and advanced technological infrastructure. It is the latter that drive sustainable competitive advantage in technology</w:t>
      </w:r>
      <w:r w:rsidR="00FF44EB">
        <w:t xml:space="preserve"> </w:t>
      </w:r>
      <w:r>
        <w:rPr>
          <w:rFonts w:ascii="Arial" w:eastAsia="Arial" w:hAnsi="Arial" w:cs="Arial"/>
          <w:sz w:val="24"/>
          <w:szCs w:val="24"/>
        </w:rPr>
        <w:t>intensive industries like automotive manufacturing. India's automotive industry benefits from several significant factor advantages, most notably a large, cost</w:t>
      </w:r>
      <w:r w:rsidR="00FF44EB">
        <w:t xml:space="preserve"> </w:t>
      </w:r>
      <w:r>
        <w:rPr>
          <w:rFonts w:ascii="Arial" w:eastAsia="Arial" w:hAnsi="Arial" w:cs="Arial"/>
          <w:sz w:val="24"/>
          <w:szCs w:val="24"/>
        </w:rPr>
        <w:t>competitive labour pool. Manufacturing labour costs in India remain substantially lower than in established automotive markets such as Germany, Japan, or South Korea, making India an attractive base for cost-efficient production and export (Dixit and Joshi, 2011).</w:t>
      </w:r>
    </w:p>
    <w:p w14:paraId="64D9BB53" w14:textId="77777777" w:rsidR="00C75175" w:rsidRDefault="00C75175"/>
    <w:p w14:paraId="0FF43CF7" w14:textId="4C064FF1" w:rsidR="00C75175" w:rsidRDefault="00000000">
      <w:pPr>
        <w:spacing w:before="80" w:after="80" w:line="360" w:lineRule="auto"/>
        <w:jc w:val="both"/>
      </w:pPr>
      <w:r>
        <w:rPr>
          <w:rFonts w:ascii="Arial" w:eastAsia="Arial" w:hAnsi="Arial" w:cs="Arial"/>
          <w:sz w:val="24"/>
          <w:szCs w:val="24"/>
        </w:rPr>
        <w:t>India has invested substantially in engineering education, producing a large pool of automotive engineers, designers, and skilled technicians through the Indian Institutes of Technology (IITs) and a nationwide network of engineering colleges. Hyundai Motor Group's establishment of the Hyundai Innovation Centre in partnership with IIT Delhi, IIT Bombay, and IIT Madras investing approximately KRW 10 billion over five years beginning in 2025 in battery technology, software</w:t>
      </w:r>
      <w:r w:rsidR="00FF44EB">
        <w:t xml:space="preserve"> </w:t>
      </w:r>
      <w:r>
        <w:rPr>
          <w:rFonts w:ascii="Arial" w:eastAsia="Arial" w:hAnsi="Arial" w:cs="Arial"/>
          <w:sz w:val="24"/>
          <w:szCs w:val="24"/>
        </w:rPr>
        <w:t>defined vehicle research, and hydrogen fuel cell systems the depth and quality of India's advanced engineering talent (Hyundai Motor Group, 2025</w:t>
      </w:r>
      <w:r w:rsidR="00E13F21">
        <w:t>.</w:t>
      </w:r>
    </w:p>
    <w:p w14:paraId="27D39318" w14:textId="77777777" w:rsidR="00C75175" w:rsidRDefault="00C75175"/>
    <w:p w14:paraId="7ABEBE81" w14:textId="29359DA7" w:rsidR="00C75175" w:rsidRDefault="00000000">
      <w:pPr>
        <w:spacing w:before="80" w:after="80" w:line="360" w:lineRule="auto"/>
        <w:jc w:val="both"/>
      </w:pPr>
      <w:r>
        <w:rPr>
          <w:rFonts w:ascii="Arial" w:eastAsia="Arial" w:hAnsi="Arial" w:cs="Arial"/>
          <w:sz w:val="24"/>
          <w:szCs w:val="24"/>
        </w:rPr>
        <w:t xml:space="preserve">Critical limitations in factor conditions persist, however. India's physical infrastructure particularly road quality, port efficiency, and domestic logistics networks </w:t>
      </w:r>
      <w:proofErr w:type="gramStart"/>
      <w:r>
        <w:rPr>
          <w:rFonts w:ascii="Arial" w:eastAsia="Arial" w:hAnsi="Arial" w:cs="Arial"/>
          <w:sz w:val="24"/>
          <w:szCs w:val="24"/>
        </w:rPr>
        <w:t>remains</w:t>
      </w:r>
      <w:proofErr w:type="gramEnd"/>
      <w:r>
        <w:rPr>
          <w:rFonts w:ascii="Arial" w:eastAsia="Arial" w:hAnsi="Arial" w:cs="Arial"/>
          <w:sz w:val="24"/>
          <w:szCs w:val="24"/>
        </w:rPr>
        <w:t xml:space="preserve"> uneven, generating supply chain inefficiencies that add cost and complexity for manufacturers. The country's capital markets, while improving following reforms and the successful listing of major automotive firms including HMIL, still impose relatively higher financing costs on domestic manufacturers compared to well</w:t>
      </w:r>
      <w:r w:rsidR="00FF44EB">
        <w:t xml:space="preserve"> </w:t>
      </w:r>
      <w:r>
        <w:rPr>
          <w:rFonts w:ascii="Arial" w:eastAsia="Arial" w:hAnsi="Arial" w:cs="Arial"/>
          <w:sz w:val="24"/>
          <w:szCs w:val="24"/>
        </w:rPr>
        <w:t xml:space="preserve">capitalised global peers. Research and development intensity in the Indian automotive sector, while growing, historically lags behind Germany and Japan (Dixit and Joshi, 2011). </w:t>
      </w:r>
    </w:p>
    <w:p w14:paraId="029F6350" w14:textId="77777777" w:rsidR="00C75175" w:rsidRDefault="00C75175"/>
    <w:p w14:paraId="37B19EB3" w14:textId="77777777" w:rsidR="00C75175" w:rsidRDefault="00000000">
      <w:pPr>
        <w:pStyle w:val="Heading2"/>
      </w:pPr>
      <w:r>
        <w:rPr>
          <w:rFonts w:ascii="Arial" w:eastAsia="Arial" w:hAnsi="Arial" w:cs="Arial"/>
          <w:b/>
          <w:bCs/>
          <w:color w:val="2E75B6"/>
          <w:sz w:val="26"/>
          <w:szCs w:val="26"/>
        </w:rPr>
        <w:lastRenderedPageBreak/>
        <w:t>3.2 Demand Conditions</w:t>
      </w:r>
    </w:p>
    <w:p w14:paraId="3421FA12" w14:textId="2FEBFCD1" w:rsidR="00C75175" w:rsidRDefault="00000000">
      <w:pPr>
        <w:spacing w:before="80" w:after="80" w:line="360" w:lineRule="auto"/>
        <w:jc w:val="both"/>
      </w:pPr>
      <w:r>
        <w:rPr>
          <w:rFonts w:ascii="Arial" w:eastAsia="Arial" w:hAnsi="Arial" w:cs="Arial"/>
          <w:sz w:val="24"/>
          <w:szCs w:val="24"/>
        </w:rPr>
        <w:t>Porter (1990) argues that sophisticated and demanding home</w:t>
      </w:r>
      <w:r w:rsidR="00FF44EB">
        <w:t xml:space="preserve"> </w:t>
      </w:r>
      <w:r>
        <w:rPr>
          <w:rFonts w:ascii="Arial" w:eastAsia="Arial" w:hAnsi="Arial" w:cs="Arial"/>
          <w:sz w:val="24"/>
          <w:szCs w:val="24"/>
        </w:rPr>
        <w:t>market customers exert competitive pressure that forces firms to innovate continuously, ultimately creating capabilities that are transferable to international markets. India's domestic demand conditions are arguably among the most favourable in the world for automotive development. The scale is extraordinary: over 25 million vehicles were sold across all categories in FY2024-25 (Invest India, 2025), and passenger vehicle sales are projected to grow from 4.1 million units in 2023 to 6.0 million units in 2030, at a CAGR of 5.6% (</w:t>
      </w:r>
      <w:proofErr w:type="spellStart"/>
      <w:r>
        <w:rPr>
          <w:rFonts w:ascii="Arial" w:eastAsia="Arial" w:hAnsi="Arial" w:cs="Arial"/>
          <w:sz w:val="24"/>
          <w:szCs w:val="24"/>
        </w:rPr>
        <w:t>Marketsandmarkets</w:t>
      </w:r>
      <w:proofErr w:type="spellEnd"/>
      <w:r>
        <w:rPr>
          <w:rFonts w:ascii="Arial" w:eastAsia="Arial" w:hAnsi="Arial" w:cs="Arial"/>
          <w:sz w:val="24"/>
          <w:szCs w:val="24"/>
        </w:rPr>
        <w:t>, 2025). India's passenger vehicle market is expected to exceed 7 million units per annum by 2030 (Autocar Professional, 2024).</w:t>
      </w:r>
    </w:p>
    <w:p w14:paraId="16834222" w14:textId="77777777" w:rsidR="00C75175" w:rsidRDefault="00C75175"/>
    <w:p w14:paraId="448CD1AB" w14:textId="299CD7FA" w:rsidR="00C75175" w:rsidRDefault="00000000">
      <w:pPr>
        <w:spacing w:before="80" w:after="80" w:line="360" w:lineRule="auto"/>
        <w:jc w:val="both"/>
      </w:pPr>
      <w:r>
        <w:rPr>
          <w:rFonts w:ascii="Arial" w:eastAsia="Arial" w:hAnsi="Arial" w:cs="Arial"/>
          <w:sz w:val="24"/>
          <w:szCs w:val="24"/>
        </w:rPr>
        <w:t>Qualitatively, Indian consumers are increasingly sophisticated and aspirational. The dramatic shift toward SUVs whose share of the passenger vehicle market surpassed 50% by FY2024 reflects a consumer base that prioritises space, design, safety features, connected technology, and social signalling (</w:t>
      </w:r>
      <w:proofErr w:type="spellStart"/>
      <w:r>
        <w:rPr>
          <w:rFonts w:ascii="Arial" w:eastAsia="Arial" w:hAnsi="Arial" w:cs="Arial"/>
          <w:sz w:val="24"/>
          <w:szCs w:val="24"/>
        </w:rPr>
        <w:t>NextMSC</w:t>
      </w:r>
      <w:proofErr w:type="spellEnd"/>
      <w:r>
        <w:rPr>
          <w:rFonts w:ascii="Arial" w:eastAsia="Arial" w:hAnsi="Arial" w:cs="Arial"/>
          <w:sz w:val="24"/>
          <w:szCs w:val="24"/>
        </w:rPr>
        <w:t>, 2025). Growing demand for ADAS features, over-the</w:t>
      </w:r>
      <w:r w:rsidR="00FF44EB">
        <w:t>-</w:t>
      </w:r>
      <w:r>
        <w:rPr>
          <w:rFonts w:ascii="Arial" w:eastAsia="Arial" w:hAnsi="Arial" w:cs="Arial"/>
          <w:sz w:val="24"/>
          <w:szCs w:val="24"/>
        </w:rPr>
        <w:t>air software updates, hybrid powertrains, and fully electric vehicles indicates an evolving demand sophistication that continuously pushes manufacturers to upgrade their product offerings. As Technavio (2026) observes, India is experiencing a definitive pivot from basic utility transportation to feature-rich, technology</w:t>
      </w:r>
      <w:r w:rsidR="00E13F21">
        <w:t xml:space="preserve"> </w:t>
      </w:r>
      <w:r>
        <w:rPr>
          <w:rFonts w:ascii="Arial" w:eastAsia="Arial" w:hAnsi="Arial" w:cs="Arial"/>
          <w:sz w:val="24"/>
          <w:szCs w:val="24"/>
        </w:rPr>
        <w:t>enabled vehicles precisely the kind of demanding home</w:t>
      </w:r>
      <w:r w:rsidR="00FF44EB">
        <w:t xml:space="preserve"> </w:t>
      </w:r>
      <w:r>
        <w:rPr>
          <w:rFonts w:ascii="Arial" w:eastAsia="Arial" w:hAnsi="Arial" w:cs="Arial"/>
          <w:sz w:val="24"/>
          <w:szCs w:val="24"/>
        </w:rPr>
        <w:t>market dynamic that Porter identifies as a driver of international competitive advantage.</w:t>
      </w:r>
    </w:p>
    <w:p w14:paraId="69545340" w14:textId="77777777" w:rsidR="00C75175" w:rsidRDefault="00C75175"/>
    <w:p w14:paraId="630ABF0D" w14:textId="77777777" w:rsidR="00C75175" w:rsidRDefault="00000000">
      <w:pPr>
        <w:pStyle w:val="Heading2"/>
      </w:pPr>
      <w:r>
        <w:rPr>
          <w:rFonts w:ascii="Arial" w:eastAsia="Arial" w:hAnsi="Arial" w:cs="Arial"/>
          <w:b/>
          <w:bCs/>
          <w:color w:val="2E75B6"/>
          <w:sz w:val="26"/>
          <w:szCs w:val="26"/>
        </w:rPr>
        <w:t>3.3 Related and Supporting Industries</w:t>
      </w:r>
    </w:p>
    <w:p w14:paraId="2E5038C7" w14:textId="77777777" w:rsidR="00C75175" w:rsidRDefault="00000000">
      <w:pPr>
        <w:spacing w:before="80" w:after="80" w:line="360" w:lineRule="auto"/>
        <w:jc w:val="both"/>
      </w:pPr>
      <w:r>
        <w:rPr>
          <w:rFonts w:ascii="Arial" w:eastAsia="Arial" w:hAnsi="Arial" w:cs="Arial"/>
          <w:sz w:val="24"/>
          <w:szCs w:val="24"/>
        </w:rPr>
        <w:t>A deep ecosystem of related and supporting industries is critical to the competitive advantage of any major manufacturing sector in Porter's (1990) framework. India's automotive sector benefits from an increasingly robust ecosystem of component manufacturers, steel and aluminium producers, electronics and semiconductor suppliers, IT and software development firms, and logistics providers. The country's auto component industry is itself a globally competitive sector, contributing significantly to India's export portfolio and supporting tight supplier integration with OEMs.</w:t>
      </w:r>
    </w:p>
    <w:p w14:paraId="569F0914" w14:textId="77777777" w:rsidR="00C75175" w:rsidRDefault="00C75175"/>
    <w:p w14:paraId="2E2C157D" w14:textId="314DA7B2" w:rsidR="00C75175" w:rsidRDefault="00000000">
      <w:pPr>
        <w:spacing w:before="80" w:after="80" w:line="360" w:lineRule="auto"/>
        <w:jc w:val="both"/>
      </w:pPr>
      <w:r>
        <w:rPr>
          <w:rFonts w:ascii="Arial" w:eastAsia="Arial" w:hAnsi="Arial" w:cs="Arial"/>
          <w:sz w:val="24"/>
          <w:szCs w:val="24"/>
        </w:rPr>
        <w:t>India's globally recognised strength in information technology and software development creates a powerful and increasingly relevant synergy with the automotive sector. The development of connected vehicle platforms, software</w:t>
      </w:r>
      <w:r w:rsidR="00FF44EB">
        <w:t xml:space="preserve"> </w:t>
      </w:r>
      <w:r>
        <w:rPr>
          <w:rFonts w:ascii="Arial" w:eastAsia="Arial" w:hAnsi="Arial" w:cs="Arial"/>
          <w:sz w:val="24"/>
          <w:szCs w:val="24"/>
        </w:rPr>
        <w:t>defined vehicle architectures, cybersecurity systems, and digital infotainment requires the same software engineering and systems integration capabilities in which India has established world</w:t>
      </w:r>
      <w:r w:rsidR="00FF44EB">
        <w:t xml:space="preserve"> </w:t>
      </w:r>
      <w:r>
        <w:rPr>
          <w:rFonts w:ascii="Arial" w:eastAsia="Arial" w:hAnsi="Arial" w:cs="Arial"/>
          <w:sz w:val="24"/>
          <w:szCs w:val="24"/>
        </w:rPr>
        <w:t xml:space="preserve">class competitiveness (Technavio, 2026). Several major global automakers have established software development and R&amp;D centres in Indian cities, reinforcing this convergence between IT and automotive manufacturing. As </w:t>
      </w:r>
      <w:proofErr w:type="spellStart"/>
      <w:r>
        <w:rPr>
          <w:rFonts w:ascii="Arial" w:eastAsia="Arial" w:hAnsi="Arial" w:cs="Arial"/>
          <w:sz w:val="24"/>
          <w:szCs w:val="24"/>
        </w:rPr>
        <w:t>Hivelr</w:t>
      </w:r>
      <w:proofErr w:type="spellEnd"/>
      <w:r>
        <w:rPr>
          <w:rFonts w:ascii="Arial" w:eastAsia="Arial" w:hAnsi="Arial" w:cs="Arial"/>
          <w:sz w:val="24"/>
          <w:szCs w:val="24"/>
        </w:rPr>
        <w:t xml:space="preserve"> (2024) notes, India's diversified ecosystem of related industries including pharmaceuticals, textiles, and electronics creates broader systemic supply chain efficiencies and knowledge transfer mechanisms that benefit the automotive sector.</w:t>
      </w:r>
    </w:p>
    <w:p w14:paraId="6C41325A" w14:textId="77777777" w:rsidR="00C75175" w:rsidRDefault="00C75175"/>
    <w:p w14:paraId="1C358DA6" w14:textId="5CB9237E" w:rsidR="00C75175" w:rsidRDefault="00000000">
      <w:pPr>
        <w:spacing w:before="80" w:after="80" w:line="360" w:lineRule="auto"/>
        <w:jc w:val="both"/>
      </w:pPr>
      <w:r>
        <w:rPr>
          <w:rFonts w:ascii="Arial" w:eastAsia="Arial" w:hAnsi="Arial" w:cs="Arial"/>
          <w:sz w:val="24"/>
          <w:szCs w:val="24"/>
        </w:rPr>
        <w:t>Nevertheless, the depth of India's automotive component ecosystem still lags behind Germany or Japan in high</w:t>
      </w:r>
      <w:r w:rsidR="00FF44EB">
        <w:t xml:space="preserve"> </w:t>
      </w:r>
      <w:r>
        <w:rPr>
          <w:rFonts w:ascii="Arial" w:eastAsia="Arial" w:hAnsi="Arial" w:cs="Arial"/>
          <w:sz w:val="24"/>
          <w:szCs w:val="24"/>
        </w:rPr>
        <w:t xml:space="preserve">technology areas such as advanced power electronics, precision engineering for EVs, and domestic battery cell manufacturing. The government's initiatives to localise battery chemistry cell production as a strategic priority, supported by the recent discovery of lithium deposits in Jammu &amp; Kashmir, represent important steps toward deepening this ecosystem (Invest India, 2025). </w:t>
      </w:r>
    </w:p>
    <w:p w14:paraId="4D87E2F5" w14:textId="77777777" w:rsidR="00C75175" w:rsidRDefault="00C75175"/>
    <w:p w14:paraId="711AC00C" w14:textId="77777777" w:rsidR="00C75175" w:rsidRDefault="00000000">
      <w:pPr>
        <w:pStyle w:val="Heading2"/>
      </w:pPr>
      <w:r>
        <w:rPr>
          <w:rFonts w:ascii="Arial" w:eastAsia="Arial" w:hAnsi="Arial" w:cs="Arial"/>
          <w:b/>
          <w:bCs/>
          <w:color w:val="2E75B6"/>
          <w:sz w:val="26"/>
          <w:szCs w:val="26"/>
        </w:rPr>
        <w:t>3.4 Firm Strategy, Structure, and Rivalry</w:t>
      </w:r>
    </w:p>
    <w:p w14:paraId="2A466D8B" w14:textId="6208BB5A" w:rsidR="00C75175" w:rsidRDefault="00000000">
      <w:pPr>
        <w:spacing w:before="80" w:after="80" w:line="360" w:lineRule="auto"/>
        <w:jc w:val="both"/>
      </w:pPr>
      <w:r>
        <w:rPr>
          <w:rFonts w:ascii="Arial" w:eastAsia="Arial" w:hAnsi="Arial" w:cs="Arial"/>
          <w:sz w:val="24"/>
          <w:szCs w:val="24"/>
        </w:rPr>
        <w:t>Porter (1990) identifies intense domestic rivalry as one of the most powerful drivers of competitive innovation and ultimately international competitiveness. On this dimension, India's automotive industry presents a highly dynamic case. The market is characterised by fierce multi</w:t>
      </w:r>
      <w:r w:rsidR="00FF44EB">
        <w:t xml:space="preserve"> </w:t>
      </w:r>
      <w:r>
        <w:rPr>
          <w:rFonts w:ascii="Arial" w:eastAsia="Arial" w:hAnsi="Arial" w:cs="Arial"/>
          <w:sz w:val="24"/>
          <w:szCs w:val="24"/>
        </w:rPr>
        <w:t>player competition spanning domestic firms and foreign MNCs, with frequent shifts in competitive position creating sustained pressure to innovate, reduce costs, and improve product quality. The dramatic rise of Tata Motors and Mahindra &amp; Mahindra at the expense of the long</w:t>
      </w:r>
      <w:r w:rsidR="00FF44EB">
        <w:t xml:space="preserve"> </w:t>
      </w:r>
      <w:r>
        <w:rPr>
          <w:rFonts w:ascii="Arial" w:eastAsia="Arial" w:hAnsi="Arial" w:cs="Arial"/>
          <w:sz w:val="24"/>
          <w:szCs w:val="24"/>
        </w:rPr>
        <w:t>dominant Maruti Suzuki, and now Hyundai's own competitive pressures from these domestic challengers, exemplifies the relentless rivalry Porter would identify as a catalyst for internationally transferable competitive capabilities (Outlook Business, 2025).</w:t>
      </w:r>
    </w:p>
    <w:p w14:paraId="6AE53799" w14:textId="77777777" w:rsidR="00C75175" w:rsidRDefault="00C75175"/>
    <w:p w14:paraId="7692DB12" w14:textId="11F53E35" w:rsidR="00C75175" w:rsidRDefault="00000000">
      <w:pPr>
        <w:spacing w:before="80" w:after="80" w:line="360" w:lineRule="auto"/>
        <w:jc w:val="both"/>
      </w:pPr>
      <w:r>
        <w:rPr>
          <w:rFonts w:ascii="Arial" w:eastAsia="Arial" w:hAnsi="Arial" w:cs="Arial"/>
          <w:sz w:val="24"/>
          <w:szCs w:val="24"/>
        </w:rPr>
        <w:t>The EV transition has generated particularly intense competitive dynamics that are reshaping industry structure. Tata Motors' early</w:t>
      </w:r>
      <w:r w:rsidR="00FF44EB">
        <w:t xml:space="preserve"> </w:t>
      </w:r>
      <w:r>
        <w:rPr>
          <w:rFonts w:ascii="Arial" w:eastAsia="Arial" w:hAnsi="Arial" w:cs="Arial"/>
          <w:sz w:val="24"/>
          <w:szCs w:val="24"/>
        </w:rPr>
        <w:t>mover EV advantage is being rapidly eroded by Mahindra's aggressive BEV launches, Maruti Suzuki's market entry with the e-Vitara, and international entrants including BYD and Vietnam's VinFast (</w:t>
      </w:r>
      <w:proofErr w:type="spellStart"/>
      <w:r>
        <w:rPr>
          <w:rFonts w:ascii="Arial" w:eastAsia="Arial" w:hAnsi="Arial" w:cs="Arial"/>
          <w:sz w:val="24"/>
          <w:szCs w:val="24"/>
        </w:rPr>
        <w:t>Whalesbook</w:t>
      </w:r>
      <w:proofErr w:type="spellEnd"/>
      <w:r>
        <w:rPr>
          <w:rFonts w:ascii="Arial" w:eastAsia="Arial" w:hAnsi="Arial" w:cs="Arial"/>
          <w:sz w:val="24"/>
          <w:szCs w:val="24"/>
        </w:rPr>
        <w:t>, 2026). India's EV passenger vehicle market grew 88% year-on-year in FY2025-26, with registrations reaching 191,000 units (</w:t>
      </w:r>
      <w:proofErr w:type="spellStart"/>
      <w:r>
        <w:rPr>
          <w:rFonts w:ascii="Arial" w:eastAsia="Arial" w:hAnsi="Arial" w:cs="Arial"/>
          <w:sz w:val="24"/>
          <w:szCs w:val="24"/>
        </w:rPr>
        <w:t>Whalesbook</w:t>
      </w:r>
      <w:proofErr w:type="spellEnd"/>
      <w:r>
        <w:rPr>
          <w:rFonts w:ascii="Arial" w:eastAsia="Arial" w:hAnsi="Arial" w:cs="Arial"/>
          <w:sz w:val="24"/>
          <w:szCs w:val="24"/>
        </w:rPr>
        <w:t>, 2026). This competitive intensity, while challenging for individual incumbents, creates the conditions that Porter identifies as most conducive to the development of genuine national competitive advantage. The strategies of India's leading firms from Mahindra's focused SUV-EV platform approach to Hyundai's deep localisation and innovation partnerships reflect a level of strategic sophistication increasingly consistent with genuine international competitiveness.</w:t>
      </w:r>
    </w:p>
    <w:p w14:paraId="5B095A5D" w14:textId="77777777" w:rsidR="00C75175" w:rsidRDefault="00C75175"/>
    <w:p w14:paraId="10DC8F09" w14:textId="77777777" w:rsidR="00C75175" w:rsidRDefault="00000000">
      <w:pPr>
        <w:pStyle w:val="Heading1"/>
      </w:pPr>
      <w:r>
        <w:rPr>
          <w:rFonts w:ascii="Arial" w:eastAsia="Arial" w:hAnsi="Arial" w:cs="Arial"/>
          <w:b/>
          <w:bCs/>
          <w:color w:val="1F4E79"/>
          <w:sz w:val="32"/>
          <w:szCs w:val="32"/>
        </w:rPr>
        <w:t>4.0 Critical Evaluation of Hyundai Motor India: Factors Impacting Operational Success</w:t>
      </w:r>
    </w:p>
    <w:p w14:paraId="7867F94C" w14:textId="5A17C194" w:rsidR="00C75175" w:rsidRDefault="00000000">
      <w:pPr>
        <w:spacing w:before="80" w:after="80" w:line="360" w:lineRule="auto"/>
        <w:jc w:val="both"/>
      </w:pPr>
      <w:r>
        <w:rPr>
          <w:rFonts w:ascii="Arial" w:eastAsia="Arial" w:hAnsi="Arial" w:cs="Arial"/>
          <w:sz w:val="24"/>
          <w:szCs w:val="24"/>
        </w:rPr>
        <w:t>Hyundai Motor India Limited (HMIL) represents one of the most instructive and well</w:t>
      </w:r>
      <w:r w:rsidR="00BB37F7">
        <w:t xml:space="preserve"> </w:t>
      </w:r>
      <w:r>
        <w:rPr>
          <w:rFonts w:ascii="Arial" w:eastAsia="Arial" w:hAnsi="Arial" w:cs="Arial"/>
          <w:sz w:val="24"/>
          <w:szCs w:val="24"/>
        </w:rPr>
        <w:t>documented case studies of MNC strategy in an emerging market. Established in 1996 and commencing local manufacturing in 1998 with the launch of the now</w:t>
      </w:r>
      <w:r w:rsidR="00BB37F7">
        <w:t xml:space="preserve"> </w:t>
      </w:r>
      <w:r>
        <w:rPr>
          <w:rFonts w:ascii="Arial" w:eastAsia="Arial" w:hAnsi="Arial" w:cs="Arial"/>
          <w:sz w:val="24"/>
          <w:szCs w:val="24"/>
        </w:rPr>
        <w:t xml:space="preserve">iconic </w:t>
      </w:r>
      <w:proofErr w:type="spellStart"/>
      <w:r>
        <w:rPr>
          <w:rFonts w:ascii="Arial" w:eastAsia="Arial" w:hAnsi="Arial" w:cs="Arial"/>
          <w:sz w:val="24"/>
          <w:szCs w:val="24"/>
        </w:rPr>
        <w:t>Santro</w:t>
      </w:r>
      <w:proofErr w:type="spellEnd"/>
      <w:r>
        <w:rPr>
          <w:rFonts w:ascii="Arial" w:eastAsia="Arial" w:hAnsi="Arial" w:cs="Arial"/>
          <w:sz w:val="24"/>
          <w:szCs w:val="24"/>
        </w:rPr>
        <w:t xml:space="preserve"> hatchback, HMIL has built a formidable presence over nearly three decades as India's consistent second</w:t>
      </w:r>
      <w:r w:rsidR="00BB37F7">
        <w:t xml:space="preserve"> </w:t>
      </w:r>
      <w:r>
        <w:rPr>
          <w:rFonts w:ascii="Arial" w:eastAsia="Arial" w:hAnsi="Arial" w:cs="Arial"/>
          <w:sz w:val="24"/>
          <w:szCs w:val="24"/>
        </w:rPr>
        <w:t>largest passenger vehicle manufacturer (Kotak Neo, 2025). Understanding the factors that have shaped and continue to shape HMIL's operational success in India requires a systematic analysis of the macro</w:t>
      </w:r>
      <w:r w:rsidR="00BB37F7">
        <w:t xml:space="preserve"> </w:t>
      </w:r>
      <w:r>
        <w:rPr>
          <w:rFonts w:ascii="Arial" w:eastAsia="Arial" w:hAnsi="Arial" w:cs="Arial"/>
          <w:sz w:val="24"/>
          <w:szCs w:val="24"/>
        </w:rPr>
        <w:t>environmental context through the PESTLE framework, integrated with established international business theories.</w:t>
      </w:r>
    </w:p>
    <w:p w14:paraId="47D3DF2E" w14:textId="77777777" w:rsidR="00C75175" w:rsidRDefault="00C75175"/>
    <w:p w14:paraId="2625CA3E" w14:textId="77777777" w:rsidR="00C75175" w:rsidRDefault="00000000">
      <w:pPr>
        <w:pStyle w:val="Heading2"/>
      </w:pPr>
      <w:r>
        <w:rPr>
          <w:rFonts w:ascii="Arial" w:eastAsia="Arial" w:hAnsi="Arial" w:cs="Arial"/>
          <w:b/>
          <w:bCs/>
          <w:color w:val="2E75B6"/>
          <w:sz w:val="26"/>
          <w:szCs w:val="26"/>
        </w:rPr>
        <w:t>4.1 Political Factors</w:t>
      </w:r>
    </w:p>
    <w:p w14:paraId="12CC80E5" w14:textId="70ABED3A" w:rsidR="00C75175" w:rsidRDefault="00000000">
      <w:pPr>
        <w:spacing w:before="80" w:after="80" w:line="360" w:lineRule="auto"/>
        <w:jc w:val="both"/>
      </w:pPr>
      <w:r>
        <w:rPr>
          <w:rFonts w:ascii="Arial" w:eastAsia="Arial" w:hAnsi="Arial" w:cs="Arial"/>
          <w:sz w:val="24"/>
          <w:szCs w:val="24"/>
        </w:rPr>
        <w:t>The political environment in India presents both substantial opportunities and manageable risks for Hyundai. India's democratic system, characterised by competitive federal and state</w:t>
      </w:r>
      <w:r w:rsidR="00BB37F7">
        <w:t xml:space="preserve"> </w:t>
      </w:r>
      <w:r>
        <w:rPr>
          <w:rFonts w:ascii="Arial" w:eastAsia="Arial" w:hAnsi="Arial" w:cs="Arial"/>
          <w:sz w:val="24"/>
          <w:szCs w:val="24"/>
        </w:rPr>
        <w:t xml:space="preserve">level electoral cycles, can introduce policy uncertainty around taxation, industrial policy, and regulatory standards. However, successive Indian governments have maintained a broadly consistent and favourable policy </w:t>
      </w:r>
      <w:r>
        <w:rPr>
          <w:rFonts w:ascii="Arial" w:eastAsia="Arial" w:hAnsi="Arial" w:cs="Arial"/>
          <w:sz w:val="24"/>
          <w:szCs w:val="24"/>
        </w:rPr>
        <w:lastRenderedPageBreak/>
        <w:t>toward FDI in the automotive sector, with 100% FDI permitted under the automatic route, removing significant barriers to investment decision-making (Invest India, 2025). This policy stability has been foundational to HMIL's ability to sustain and grow its Indian manufacturing footprint over three decades.</w:t>
      </w:r>
    </w:p>
    <w:p w14:paraId="4A7998E6" w14:textId="77777777" w:rsidR="00C75175" w:rsidRDefault="00C75175"/>
    <w:p w14:paraId="35EB82E0" w14:textId="35CF0243" w:rsidR="00C75175" w:rsidRDefault="00000000">
      <w:pPr>
        <w:spacing w:before="80" w:after="80" w:line="360" w:lineRule="auto"/>
        <w:jc w:val="both"/>
      </w:pPr>
      <w:r>
        <w:rPr>
          <w:rFonts w:ascii="Arial" w:eastAsia="Arial" w:hAnsi="Arial" w:cs="Arial"/>
          <w:sz w:val="24"/>
          <w:szCs w:val="24"/>
        </w:rPr>
        <w:t>A landmark political</w:t>
      </w:r>
      <w:r w:rsidR="00BB37F7">
        <w:t xml:space="preserve"> </w:t>
      </w:r>
      <w:r>
        <w:rPr>
          <w:rFonts w:ascii="Arial" w:eastAsia="Arial" w:hAnsi="Arial" w:cs="Arial"/>
          <w:sz w:val="24"/>
          <w:szCs w:val="24"/>
        </w:rPr>
        <w:t xml:space="preserve">financial development was HMIL's IPO in October 2024, which raised a record INR 27,870 crore (approximately USD 3.26 </w:t>
      </w:r>
      <w:proofErr w:type="gramStart"/>
      <w:r>
        <w:rPr>
          <w:rFonts w:ascii="Arial" w:eastAsia="Arial" w:hAnsi="Arial" w:cs="Arial"/>
          <w:sz w:val="24"/>
          <w:szCs w:val="24"/>
        </w:rPr>
        <w:t>billion)  India's</w:t>
      </w:r>
      <w:proofErr w:type="gramEnd"/>
      <w:r>
        <w:rPr>
          <w:rFonts w:ascii="Arial" w:eastAsia="Arial" w:hAnsi="Arial" w:cs="Arial"/>
          <w:sz w:val="24"/>
          <w:szCs w:val="24"/>
        </w:rPr>
        <w:t xml:space="preserve"> largest</w:t>
      </w:r>
      <w:r w:rsidR="00BB37F7">
        <w:t xml:space="preserve"> </w:t>
      </w:r>
      <w:r>
        <w:rPr>
          <w:rFonts w:ascii="Arial" w:eastAsia="Arial" w:hAnsi="Arial" w:cs="Arial"/>
          <w:sz w:val="24"/>
          <w:szCs w:val="24"/>
        </w:rPr>
        <w:t>ever IPO at the time (IBEF, 2025). This listing on Indian stock exchanges represents a deepening alignment of HMIL's interests with the Indian public and capital markets, creating a form of institutional commitment and accountability that strengthens its political goodwill and social licence to operate. The IPO also introduced SEBI regulatory oversight, adding a layer of governance discipline that both protects minority shareholders and signals corporate maturity to government and business partners.</w:t>
      </w:r>
    </w:p>
    <w:p w14:paraId="2708A49E" w14:textId="77777777" w:rsidR="00C75175" w:rsidRDefault="00C75175"/>
    <w:p w14:paraId="11A001B1" w14:textId="65D1A8B5" w:rsidR="00C75175" w:rsidRDefault="00000000">
      <w:pPr>
        <w:spacing w:before="80" w:after="80" w:line="360" w:lineRule="auto"/>
        <w:jc w:val="both"/>
      </w:pPr>
      <w:r>
        <w:rPr>
          <w:rFonts w:ascii="Arial" w:eastAsia="Arial" w:hAnsi="Arial" w:cs="Arial"/>
          <w:sz w:val="24"/>
          <w:szCs w:val="24"/>
        </w:rPr>
        <w:t xml:space="preserve">Trade policy and geopolitical dynamics are important political considerations for any Korean MNC operating in India. India's use of protective import tariffs on fully </w:t>
      </w:r>
      <w:proofErr w:type="gramStart"/>
      <w:r>
        <w:rPr>
          <w:rFonts w:ascii="Arial" w:eastAsia="Arial" w:hAnsi="Arial" w:cs="Arial"/>
          <w:sz w:val="24"/>
          <w:szCs w:val="24"/>
        </w:rPr>
        <w:t>built</w:t>
      </w:r>
      <w:r w:rsidR="00BB37F7">
        <w:t xml:space="preserve"> </w:t>
      </w:r>
      <w:r>
        <w:rPr>
          <w:rFonts w:ascii="Arial" w:eastAsia="Arial" w:hAnsi="Arial" w:cs="Arial"/>
          <w:sz w:val="24"/>
          <w:szCs w:val="24"/>
        </w:rPr>
        <w:t>up</w:t>
      </w:r>
      <w:proofErr w:type="gramEnd"/>
      <w:r>
        <w:rPr>
          <w:rFonts w:ascii="Arial" w:eastAsia="Arial" w:hAnsi="Arial" w:cs="Arial"/>
          <w:sz w:val="24"/>
          <w:szCs w:val="24"/>
        </w:rPr>
        <w:t xml:space="preserve"> vehicles has historically compelled foreign manufacturers to establish local manufacturing a requirement that HMIL fulfilled decisively through its Chennai plants and now the Talegaon facility.</w:t>
      </w:r>
    </w:p>
    <w:p w14:paraId="426D90EF" w14:textId="77777777" w:rsidR="00C75175" w:rsidRDefault="00C75175"/>
    <w:p w14:paraId="005DEC0E" w14:textId="77777777" w:rsidR="00C75175" w:rsidRDefault="00000000">
      <w:pPr>
        <w:pStyle w:val="Heading2"/>
      </w:pPr>
      <w:r>
        <w:rPr>
          <w:rFonts w:ascii="Arial" w:eastAsia="Arial" w:hAnsi="Arial" w:cs="Arial"/>
          <w:b/>
          <w:bCs/>
          <w:color w:val="2E75B6"/>
          <w:sz w:val="26"/>
          <w:szCs w:val="26"/>
        </w:rPr>
        <w:t>4.2 Economic Factors</w:t>
      </w:r>
    </w:p>
    <w:p w14:paraId="2E3596A6" w14:textId="42C34AEC" w:rsidR="00C75175" w:rsidRDefault="00000000">
      <w:pPr>
        <w:spacing w:before="80" w:after="80" w:line="360" w:lineRule="auto"/>
        <w:jc w:val="both"/>
      </w:pPr>
      <w:r>
        <w:rPr>
          <w:rFonts w:ascii="Arial" w:eastAsia="Arial" w:hAnsi="Arial" w:cs="Arial"/>
          <w:sz w:val="24"/>
          <w:szCs w:val="24"/>
        </w:rPr>
        <w:t xml:space="preserve">India's macroeconomic fundamentals present a compelling investment rationale for Hyundai. India's GDP growth trajectory with IMF projections of approximately 6.8% for 2024, among the strongest of any major economy </w:t>
      </w:r>
      <w:proofErr w:type="gramStart"/>
      <w:r>
        <w:rPr>
          <w:rFonts w:ascii="Arial" w:eastAsia="Arial" w:hAnsi="Arial" w:cs="Arial"/>
          <w:sz w:val="24"/>
          <w:szCs w:val="24"/>
        </w:rPr>
        <w:t>globally  provides</w:t>
      </w:r>
      <w:proofErr w:type="gramEnd"/>
      <w:r>
        <w:rPr>
          <w:rFonts w:ascii="Arial" w:eastAsia="Arial" w:hAnsi="Arial" w:cs="Arial"/>
          <w:sz w:val="24"/>
          <w:szCs w:val="24"/>
        </w:rPr>
        <w:t xml:space="preserve"> a robust and durable engine for consumer demand expansion (</w:t>
      </w:r>
      <w:proofErr w:type="spellStart"/>
      <w:r>
        <w:rPr>
          <w:rFonts w:ascii="Arial" w:eastAsia="Arial" w:hAnsi="Arial" w:cs="Arial"/>
          <w:sz w:val="24"/>
          <w:szCs w:val="24"/>
        </w:rPr>
        <w:t>MatrixBCG</w:t>
      </w:r>
      <w:proofErr w:type="spellEnd"/>
      <w:r>
        <w:rPr>
          <w:rFonts w:ascii="Arial" w:eastAsia="Arial" w:hAnsi="Arial" w:cs="Arial"/>
          <w:sz w:val="24"/>
          <w:szCs w:val="24"/>
        </w:rPr>
        <w:t>, 2025). India's per capita net national income rose by 35.12% from INR 72,805 in FY2014-15 to INR 106,744 in FY2023-24, reflecting tangible and sustained improvement in consumer purchasing power (Invest India, 2025). This rising income trajectory underpins the growth of the automotive market and is the primary structural driver of India's automotive market expansion.</w:t>
      </w:r>
    </w:p>
    <w:p w14:paraId="58E135AC" w14:textId="77777777" w:rsidR="00C75175" w:rsidRDefault="00C75175"/>
    <w:p w14:paraId="52D4E7C4" w14:textId="541DEE54" w:rsidR="00C75175" w:rsidRDefault="00000000">
      <w:pPr>
        <w:spacing w:before="80" w:after="80" w:line="360" w:lineRule="auto"/>
        <w:jc w:val="both"/>
      </w:pPr>
      <w:r>
        <w:rPr>
          <w:rFonts w:ascii="Arial" w:eastAsia="Arial" w:hAnsi="Arial" w:cs="Arial"/>
          <w:sz w:val="24"/>
          <w:szCs w:val="24"/>
        </w:rPr>
        <w:lastRenderedPageBreak/>
        <w:t xml:space="preserve">The rapidly expanding middle class is HMIL's primary target demographic. As incomes rise, a natural consumption transition </w:t>
      </w:r>
      <w:proofErr w:type="gramStart"/>
      <w:r>
        <w:rPr>
          <w:rFonts w:ascii="Arial" w:eastAsia="Arial" w:hAnsi="Arial" w:cs="Arial"/>
          <w:sz w:val="24"/>
          <w:szCs w:val="24"/>
        </w:rPr>
        <w:t>occurs  from</w:t>
      </w:r>
      <w:proofErr w:type="gramEnd"/>
      <w:r>
        <w:rPr>
          <w:rFonts w:ascii="Arial" w:eastAsia="Arial" w:hAnsi="Arial" w:cs="Arial"/>
          <w:sz w:val="24"/>
          <w:szCs w:val="24"/>
        </w:rPr>
        <w:t xml:space="preserve"> two</w:t>
      </w:r>
      <w:r w:rsidR="00BB37F7">
        <w:t xml:space="preserve"> </w:t>
      </w:r>
      <w:r>
        <w:rPr>
          <w:rFonts w:ascii="Arial" w:eastAsia="Arial" w:hAnsi="Arial" w:cs="Arial"/>
          <w:sz w:val="24"/>
          <w:szCs w:val="24"/>
        </w:rPr>
        <w:t>wheelers to entry</w:t>
      </w:r>
      <w:r w:rsidR="00BB37F7">
        <w:t xml:space="preserve"> </w:t>
      </w:r>
      <w:r>
        <w:rPr>
          <w:rFonts w:ascii="Arial" w:eastAsia="Arial" w:hAnsi="Arial" w:cs="Arial"/>
          <w:sz w:val="24"/>
          <w:szCs w:val="24"/>
        </w:rPr>
        <w:t xml:space="preserve">level cars, and subsequently from economy vehicles to feature-rich compact </w:t>
      </w:r>
      <w:proofErr w:type="gramStart"/>
      <w:r>
        <w:rPr>
          <w:rFonts w:ascii="Arial" w:eastAsia="Arial" w:hAnsi="Arial" w:cs="Arial"/>
          <w:sz w:val="24"/>
          <w:szCs w:val="24"/>
        </w:rPr>
        <w:t>SUVs  precisely</w:t>
      </w:r>
      <w:proofErr w:type="gramEnd"/>
      <w:r>
        <w:rPr>
          <w:rFonts w:ascii="Arial" w:eastAsia="Arial" w:hAnsi="Arial" w:cs="Arial"/>
          <w:sz w:val="24"/>
          <w:szCs w:val="24"/>
        </w:rPr>
        <w:t xml:space="preserve"> the segments anchored by Hyundai's Grand i10, Venue, and Creta models. India's deepening retail banking and vehicle financing infrastructure, with competitive interest rates and increasingly accessible credit, further enables vehicle purchases among aspirational </w:t>
      </w:r>
      <w:proofErr w:type="gramStart"/>
      <w:r>
        <w:rPr>
          <w:rFonts w:ascii="Arial" w:eastAsia="Arial" w:hAnsi="Arial" w:cs="Arial"/>
          <w:sz w:val="24"/>
          <w:szCs w:val="24"/>
        </w:rPr>
        <w:t>first</w:t>
      </w:r>
      <w:r w:rsidR="00BB37F7">
        <w:t xml:space="preserve"> </w:t>
      </w:r>
      <w:r>
        <w:rPr>
          <w:rFonts w:ascii="Arial" w:eastAsia="Arial" w:hAnsi="Arial" w:cs="Arial"/>
          <w:sz w:val="24"/>
          <w:szCs w:val="24"/>
        </w:rPr>
        <w:t>time</w:t>
      </w:r>
      <w:proofErr w:type="gramEnd"/>
      <w:r>
        <w:rPr>
          <w:rFonts w:ascii="Arial" w:eastAsia="Arial" w:hAnsi="Arial" w:cs="Arial"/>
          <w:sz w:val="24"/>
          <w:szCs w:val="24"/>
        </w:rPr>
        <w:t xml:space="preserve"> buyers. India's vehicle penetration rate expected to reach 72 vehicles per 1,000 people by 2025, up from historically very low levels indicates substantial market headroom for growth (Invest India, 2025).</w:t>
      </w:r>
    </w:p>
    <w:p w14:paraId="4CCC33B4" w14:textId="77777777" w:rsidR="00C75175" w:rsidRDefault="00C75175"/>
    <w:p w14:paraId="50E850A3" w14:textId="59B0C920" w:rsidR="00C75175" w:rsidRDefault="00000000">
      <w:pPr>
        <w:spacing w:before="80" w:after="80" w:line="360" w:lineRule="auto"/>
        <w:jc w:val="both"/>
      </w:pPr>
      <w:r>
        <w:rPr>
          <w:rFonts w:ascii="Arial" w:eastAsia="Arial" w:hAnsi="Arial" w:cs="Arial"/>
          <w:sz w:val="24"/>
          <w:szCs w:val="24"/>
        </w:rPr>
        <w:t>HMIL's</w:t>
      </w:r>
      <w:r w:rsidR="00687DF2" w:rsidRPr="00687DF2">
        <w:t xml:space="preserve"> </w:t>
      </w:r>
      <w:r w:rsidR="00687DF2">
        <w:t>(</w:t>
      </w:r>
      <w:r w:rsidR="00687DF2" w:rsidRPr="00687DF2">
        <w:t>Hyundai Motor India Limited</w:t>
      </w:r>
      <w:r w:rsidR="00687DF2">
        <w:t>)</w:t>
      </w:r>
      <w:r>
        <w:rPr>
          <w:rFonts w:ascii="Arial" w:eastAsia="Arial" w:hAnsi="Arial" w:cs="Arial"/>
          <w:sz w:val="24"/>
          <w:szCs w:val="24"/>
        </w:rPr>
        <w:t xml:space="preserve"> financial performance reflects this favourable economic environment. In CY2024, the company recorded its best</w:t>
      </w:r>
      <w:r w:rsidR="00BB37F7">
        <w:t xml:space="preserve"> </w:t>
      </w:r>
      <w:r>
        <w:rPr>
          <w:rFonts w:ascii="Arial" w:eastAsia="Arial" w:hAnsi="Arial" w:cs="Arial"/>
          <w:sz w:val="24"/>
          <w:szCs w:val="24"/>
        </w:rPr>
        <w:t xml:space="preserve">ever annual wholesales of 605,429 units, with India accounting for 14.61% of Hyundai Motor Company's global passenger vehicle </w:t>
      </w:r>
      <w:proofErr w:type="gramStart"/>
      <w:r>
        <w:rPr>
          <w:rFonts w:ascii="Arial" w:eastAsia="Arial" w:hAnsi="Arial" w:cs="Arial"/>
          <w:sz w:val="24"/>
          <w:szCs w:val="24"/>
        </w:rPr>
        <w:t>sales  its</w:t>
      </w:r>
      <w:proofErr w:type="gramEnd"/>
      <w:r>
        <w:rPr>
          <w:rFonts w:ascii="Arial" w:eastAsia="Arial" w:hAnsi="Arial" w:cs="Arial"/>
          <w:sz w:val="24"/>
          <w:szCs w:val="24"/>
        </w:rPr>
        <w:t xml:space="preserve"> </w:t>
      </w:r>
      <w:proofErr w:type="spellStart"/>
      <w:r>
        <w:rPr>
          <w:rFonts w:ascii="Arial" w:eastAsia="Arial" w:hAnsi="Arial" w:cs="Arial"/>
          <w:sz w:val="24"/>
          <w:szCs w:val="24"/>
        </w:rPr>
        <w:t>highes</w:t>
      </w:r>
      <w:proofErr w:type="spellEnd"/>
      <w:r w:rsidR="00BB37F7">
        <w:t xml:space="preserve"> </w:t>
      </w:r>
      <w:r>
        <w:rPr>
          <w:rFonts w:ascii="Arial" w:eastAsia="Arial" w:hAnsi="Arial" w:cs="Arial"/>
          <w:sz w:val="24"/>
          <w:szCs w:val="24"/>
        </w:rPr>
        <w:t>-ever contribution confirming India as the second-best performing global market for the Hyundai Motor Group after South Korea (Autocar Professional, 2025). The company's net profit increased 62.3% year-on-year in FY2023 to INR 4,709 crore, with revenues crossing the INR 60,000 crore milestone (Kotak Neo, 2025). The acquisition of the former General Motors plant in Talegaon, Maharashtra, in January 2024, combined with Hyundai's commitment to invest INR 26,000 crore in Tamil Nadu over a decade and INR 6,000 crore in upgrading the Talegaon plant, signals exceptional confidence in India's long-term economic growth trajectory (Autocar Professional, 2024).</w:t>
      </w:r>
    </w:p>
    <w:p w14:paraId="6DADFCDF" w14:textId="77777777" w:rsidR="00C75175" w:rsidRDefault="00C75175"/>
    <w:p w14:paraId="46CAE681" w14:textId="77777777" w:rsidR="00C75175" w:rsidRDefault="00000000">
      <w:pPr>
        <w:pStyle w:val="Heading2"/>
      </w:pPr>
      <w:r>
        <w:rPr>
          <w:rFonts w:ascii="Arial" w:eastAsia="Arial" w:hAnsi="Arial" w:cs="Arial"/>
          <w:b/>
          <w:bCs/>
          <w:color w:val="2E75B6"/>
          <w:sz w:val="26"/>
          <w:szCs w:val="26"/>
        </w:rPr>
        <w:t>4.3 Social and Cultural Factors</w:t>
      </w:r>
    </w:p>
    <w:p w14:paraId="70F9C77D" w14:textId="7797191F" w:rsidR="00C75175" w:rsidRDefault="00000000">
      <w:pPr>
        <w:spacing w:before="80" w:after="80" w:line="360" w:lineRule="auto"/>
        <w:jc w:val="both"/>
      </w:pPr>
      <w:r>
        <w:rPr>
          <w:rFonts w:ascii="Arial" w:eastAsia="Arial" w:hAnsi="Arial" w:cs="Arial"/>
          <w:sz w:val="24"/>
          <w:szCs w:val="24"/>
        </w:rPr>
        <w:t>Cultural intelligence and localisation represent perhaps the most critical and underappreciated dimensions of HMIL's long</w:t>
      </w:r>
      <w:r w:rsidR="00BB37F7">
        <w:t xml:space="preserve"> </w:t>
      </w:r>
      <w:r>
        <w:rPr>
          <w:rFonts w:ascii="Arial" w:eastAsia="Arial" w:hAnsi="Arial" w:cs="Arial"/>
          <w:sz w:val="24"/>
          <w:szCs w:val="24"/>
        </w:rPr>
        <w:t xml:space="preserve">term competitive success in India. Hofstede's (1980) cultural dimensions framework identifies India as a society characterised by high power distance, moderate collectivism, and a strong preference for </w:t>
      </w:r>
      <w:proofErr w:type="gramStart"/>
      <w:r>
        <w:rPr>
          <w:rFonts w:ascii="Arial" w:eastAsia="Arial" w:hAnsi="Arial" w:cs="Arial"/>
          <w:sz w:val="24"/>
          <w:szCs w:val="24"/>
        </w:rPr>
        <w:t>relationship</w:t>
      </w:r>
      <w:r w:rsidR="00BB37F7">
        <w:t xml:space="preserve"> </w:t>
      </w:r>
      <w:r>
        <w:rPr>
          <w:rFonts w:ascii="Arial" w:eastAsia="Arial" w:hAnsi="Arial" w:cs="Arial"/>
          <w:sz w:val="24"/>
          <w:szCs w:val="24"/>
        </w:rPr>
        <w:t>based</w:t>
      </w:r>
      <w:proofErr w:type="gramEnd"/>
      <w:r>
        <w:rPr>
          <w:rFonts w:ascii="Arial" w:eastAsia="Arial" w:hAnsi="Arial" w:cs="Arial"/>
          <w:sz w:val="24"/>
          <w:szCs w:val="24"/>
        </w:rPr>
        <w:t xml:space="preserve"> trust factors with direct implications for consumer behaviour, dealer network management, and corporate</w:t>
      </w:r>
      <w:r w:rsidR="00687DF2">
        <w:t xml:space="preserve"> </w:t>
      </w:r>
      <w:r>
        <w:rPr>
          <w:rFonts w:ascii="Arial" w:eastAsia="Arial" w:hAnsi="Arial" w:cs="Arial"/>
          <w:sz w:val="24"/>
          <w:szCs w:val="24"/>
        </w:rPr>
        <w:t xml:space="preserve">government relations. Indian consumers' purchasing decisions are frequently influenced by family </w:t>
      </w:r>
      <w:r>
        <w:rPr>
          <w:rFonts w:ascii="Arial" w:eastAsia="Arial" w:hAnsi="Arial" w:cs="Arial"/>
          <w:sz w:val="24"/>
          <w:szCs w:val="24"/>
        </w:rPr>
        <w:lastRenderedPageBreak/>
        <w:t>consensus, peer social signalling, and aspirational identity formation, which necessitates marketing and product strategies that resonate at the level of values and aspirations, not just functional utility.</w:t>
      </w:r>
    </w:p>
    <w:p w14:paraId="39670471" w14:textId="77777777" w:rsidR="00C75175" w:rsidRDefault="00C75175"/>
    <w:p w14:paraId="40222A9C" w14:textId="2870C0BD" w:rsidR="00C75175" w:rsidRDefault="00000000">
      <w:pPr>
        <w:spacing w:before="80" w:after="80" w:line="360" w:lineRule="auto"/>
        <w:jc w:val="both"/>
      </w:pPr>
      <w:r>
        <w:rPr>
          <w:rFonts w:ascii="Arial" w:eastAsia="Arial" w:hAnsi="Arial" w:cs="Arial"/>
          <w:sz w:val="24"/>
          <w:szCs w:val="24"/>
        </w:rPr>
        <w:t xml:space="preserve">HMIL's most consequential cultural contribution has been its product localisation strategy. Rather than transplanting vehicles designed for Korean or European markets, HMIL has systematically developed India-specific features and model variants. The Creta's success driven by its spacious rear seating (reflecting the importance of </w:t>
      </w:r>
      <w:proofErr w:type="spellStart"/>
      <w:r>
        <w:rPr>
          <w:rFonts w:ascii="Arial" w:eastAsia="Arial" w:hAnsi="Arial" w:cs="Arial"/>
          <w:sz w:val="24"/>
          <w:szCs w:val="24"/>
        </w:rPr>
        <w:t>multi</w:t>
      </w:r>
      <w:r w:rsidR="00687DF2">
        <w:t xml:space="preserve"> </w:t>
      </w:r>
      <w:r>
        <w:rPr>
          <w:rFonts w:ascii="Arial" w:eastAsia="Arial" w:hAnsi="Arial" w:cs="Arial"/>
          <w:sz w:val="24"/>
          <w:szCs w:val="24"/>
        </w:rPr>
        <w:t>generational</w:t>
      </w:r>
      <w:proofErr w:type="spellEnd"/>
      <w:r>
        <w:rPr>
          <w:rFonts w:ascii="Arial" w:eastAsia="Arial" w:hAnsi="Arial" w:cs="Arial"/>
          <w:sz w:val="24"/>
          <w:szCs w:val="24"/>
        </w:rPr>
        <w:t xml:space="preserve"> family transportation), high ground clearance (accommodating Indian road conditions), and connectivity features aligned with India's smartphon</w:t>
      </w:r>
      <w:r w:rsidR="00BB37F7">
        <w:t xml:space="preserve">e </w:t>
      </w:r>
      <w:r>
        <w:rPr>
          <w:rFonts w:ascii="Arial" w:eastAsia="Arial" w:hAnsi="Arial" w:cs="Arial"/>
          <w:sz w:val="24"/>
          <w:szCs w:val="24"/>
        </w:rPr>
        <w:t>first consumer culture</w:t>
      </w:r>
      <w:r w:rsidR="00BB37F7">
        <w:t xml:space="preserve"> </w:t>
      </w:r>
      <w:r>
        <w:rPr>
          <w:rFonts w:ascii="Arial" w:eastAsia="Arial" w:hAnsi="Arial" w:cs="Arial"/>
          <w:sz w:val="24"/>
          <w:szCs w:val="24"/>
        </w:rPr>
        <w:t>exemplifies successful cultural embedding in product development. The Exter, HMIL's entry</w:t>
      </w:r>
      <w:r w:rsidR="00BB37F7">
        <w:t xml:space="preserve"> </w:t>
      </w:r>
      <w:r>
        <w:rPr>
          <w:rFonts w:ascii="Arial" w:eastAsia="Arial" w:hAnsi="Arial" w:cs="Arial"/>
          <w:sz w:val="24"/>
          <w:szCs w:val="24"/>
        </w:rPr>
        <w:t>level SUV, won the Indian Car of the Year (ICOTY) award in 2024 and sold over 47,000 units within its first six months of launch, demonstrating the commercial premium generated by culturally attuned product development (Hyundai Motor Group, 2025).</w:t>
      </w:r>
    </w:p>
    <w:p w14:paraId="79C9680D" w14:textId="77777777" w:rsidR="00C75175" w:rsidRDefault="00C75175"/>
    <w:p w14:paraId="3EA9C291" w14:textId="461D0279" w:rsidR="00C75175" w:rsidRDefault="00000000">
      <w:pPr>
        <w:spacing w:before="80" w:after="80" w:line="360" w:lineRule="auto"/>
        <w:jc w:val="both"/>
      </w:pPr>
      <w:r>
        <w:rPr>
          <w:rFonts w:ascii="Arial" w:eastAsia="Arial" w:hAnsi="Arial" w:cs="Arial"/>
          <w:sz w:val="24"/>
          <w:szCs w:val="24"/>
        </w:rPr>
        <w:t xml:space="preserve">The strategic appointment of Tarun </w:t>
      </w:r>
      <w:proofErr w:type="gramStart"/>
      <w:r>
        <w:rPr>
          <w:rFonts w:ascii="Arial" w:eastAsia="Arial" w:hAnsi="Arial" w:cs="Arial"/>
          <w:sz w:val="24"/>
          <w:szCs w:val="24"/>
        </w:rPr>
        <w:t>Garg  HMIL's</w:t>
      </w:r>
      <w:proofErr w:type="gramEnd"/>
      <w:r>
        <w:rPr>
          <w:rFonts w:ascii="Arial" w:eastAsia="Arial" w:hAnsi="Arial" w:cs="Arial"/>
          <w:sz w:val="24"/>
          <w:szCs w:val="24"/>
        </w:rPr>
        <w:t xml:space="preserve"> Chief Operating </w:t>
      </w:r>
      <w:proofErr w:type="gramStart"/>
      <w:r>
        <w:rPr>
          <w:rFonts w:ascii="Arial" w:eastAsia="Arial" w:hAnsi="Arial" w:cs="Arial"/>
          <w:sz w:val="24"/>
          <w:szCs w:val="24"/>
        </w:rPr>
        <w:t>Officer  as</w:t>
      </w:r>
      <w:proofErr w:type="gramEnd"/>
      <w:r>
        <w:rPr>
          <w:rFonts w:ascii="Arial" w:eastAsia="Arial" w:hAnsi="Arial" w:cs="Arial"/>
          <w:sz w:val="24"/>
          <w:szCs w:val="24"/>
        </w:rPr>
        <w:t xml:space="preserve"> the company's first Indian CEO from January 2026 is a pivotal cultural and governance statement (Korea Herald, 2025). The Korea Herald (2025) notes that this reflects Hyundai's recognition that deeper localisation from model development to production strategy to </w:t>
      </w:r>
      <w:proofErr w:type="gramStart"/>
      <w:r>
        <w:rPr>
          <w:rFonts w:ascii="Arial" w:eastAsia="Arial" w:hAnsi="Arial" w:cs="Arial"/>
          <w:sz w:val="24"/>
          <w:szCs w:val="24"/>
        </w:rPr>
        <w:t>leadership  is</w:t>
      </w:r>
      <w:proofErr w:type="gramEnd"/>
      <w:r>
        <w:rPr>
          <w:rFonts w:ascii="Arial" w:eastAsia="Arial" w:hAnsi="Arial" w:cs="Arial"/>
          <w:sz w:val="24"/>
          <w:szCs w:val="24"/>
        </w:rPr>
        <w:t xml:space="preserve"> essential to sustaining competitive relevance as Indian domestic rivals intensify. Local leadership strengthens relationships with government bodies, dealer networks, and communities, and accelerates India</w:t>
      </w:r>
      <w:r w:rsidR="00687DF2">
        <w:t xml:space="preserve"> </w:t>
      </w:r>
      <w:r>
        <w:rPr>
          <w:rFonts w:ascii="Arial" w:eastAsia="Arial" w:hAnsi="Arial" w:cs="Arial"/>
          <w:sz w:val="24"/>
          <w:szCs w:val="24"/>
        </w:rPr>
        <w:t>specific innovation cycles.</w:t>
      </w:r>
    </w:p>
    <w:p w14:paraId="119A1AA8" w14:textId="77777777" w:rsidR="00C75175" w:rsidRDefault="00C75175"/>
    <w:p w14:paraId="158C68CE" w14:textId="77777777" w:rsidR="00C75175" w:rsidRDefault="00C75175"/>
    <w:p w14:paraId="469D6507" w14:textId="77777777" w:rsidR="00C75175" w:rsidRDefault="00000000">
      <w:pPr>
        <w:pStyle w:val="Heading2"/>
      </w:pPr>
      <w:r>
        <w:rPr>
          <w:rFonts w:ascii="Arial" w:eastAsia="Arial" w:hAnsi="Arial" w:cs="Arial"/>
          <w:b/>
          <w:bCs/>
          <w:color w:val="2E75B6"/>
          <w:sz w:val="26"/>
          <w:szCs w:val="26"/>
        </w:rPr>
        <w:t>4.4 Technological Factors</w:t>
      </w:r>
    </w:p>
    <w:p w14:paraId="1F398E3E" w14:textId="02E9908E" w:rsidR="00C75175" w:rsidRDefault="00000000">
      <w:pPr>
        <w:spacing w:before="80" w:after="80" w:line="360" w:lineRule="auto"/>
        <w:jc w:val="both"/>
      </w:pPr>
      <w:r>
        <w:rPr>
          <w:rFonts w:ascii="Arial" w:eastAsia="Arial" w:hAnsi="Arial" w:cs="Arial"/>
          <w:sz w:val="24"/>
          <w:szCs w:val="24"/>
        </w:rPr>
        <w:t>The technological dimension of HMIL's operating environment is characterised by both transformative opportunity and accelerating competitive disruption. The global transition toward electric mobility, software</w:t>
      </w:r>
      <w:r w:rsidR="00687DF2">
        <w:t xml:space="preserve"> </w:t>
      </w:r>
      <w:r>
        <w:rPr>
          <w:rFonts w:ascii="Arial" w:eastAsia="Arial" w:hAnsi="Arial" w:cs="Arial"/>
          <w:sz w:val="24"/>
          <w:szCs w:val="24"/>
        </w:rPr>
        <w:t xml:space="preserve">defined vehicles, and connected car platforms is reshaping the competitive basis of the automotive industry worldwide, and India is fully engaged in this transition. The Indian government's target of 30% </w:t>
      </w:r>
      <w:r>
        <w:rPr>
          <w:rFonts w:ascii="Arial" w:eastAsia="Arial" w:hAnsi="Arial" w:cs="Arial"/>
          <w:sz w:val="24"/>
          <w:szCs w:val="24"/>
        </w:rPr>
        <w:lastRenderedPageBreak/>
        <w:t>EV penetration by 2030 and the multiplicity of EV incentive programmes create both a strong commercial pull and a regulatory imperative for HMIL to invest in and scale its EV product portfolio (Market Research Future, 2025).</w:t>
      </w:r>
    </w:p>
    <w:p w14:paraId="7E12AC0C" w14:textId="77777777" w:rsidR="00C75175" w:rsidRDefault="00C75175"/>
    <w:p w14:paraId="2D5F4C29" w14:textId="3F148121" w:rsidR="00C75175" w:rsidRDefault="00000000">
      <w:pPr>
        <w:spacing w:before="80" w:after="80" w:line="360" w:lineRule="auto"/>
        <w:jc w:val="both"/>
      </w:pPr>
      <w:r>
        <w:rPr>
          <w:rFonts w:ascii="Arial" w:eastAsia="Arial" w:hAnsi="Arial" w:cs="Arial"/>
          <w:sz w:val="24"/>
          <w:szCs w:val="24"/>
        </w:rPr>
        <w:t>HMIL has made significant and credible progress in this direction. The launch of the Creta Electric in January 2025, unveiled at the Bharat Mobility Global Expo, marks a critical product milestone, positioning Hyundai at the forefront of the nascent mass</w:t>
      </w:r>
      <w:r w:rsidR="00687DF2">
        <w:t xml:space="preserve"> </w:t>
      </w:r>
      <w:r>
        <w:rPr>
          <w:rFonts w:ascii="Arial" w:eastAsia="Arial" w:hAnsi="Arial" w:cs="Arial"/>
          <w:sz w:val="24"/>
          <w:szCs w:val="24"/>
        </w:rPr>
        <w:t>market EV segment in India (Autocar Professional, 2024). HMIL has committed to launching four EVs for the Indian market in the near term. The Hyundai Innovation Centre, established through research partnerships with IIT Delhi, IIT Bombay, and IIT Madras, will serve as a hub for collaborative research into battery technology, software-defined vehicles, and hydrogen fuel cell systems, with an investment of approximately KRW 10 billion over five years beginning in 2025 (Hyundai Motor Group, 2025). The Talegaon plant's first product a highly localised petrol-hybrid SUV will leverage HMIL's global hybrid technology experience while reflecting the hybrid powertrain preferences of Indian consumers who are not yet ready for full electrification.</w:t>
      </w:r>
    </w:p>
    <w:p w14:paraId="44FF9A09" w14:textId="77777777" w:rsidR="00C75175" w:rsidRDefault="00C75175"/>
    <w:p w14:paraId="1CC52E41" w14:textId="77777777" w:rsidR="00C75175" w:rsidRDefault="00000000">
      <w:pPr>
        <w:pStyle w:val="Heading2"/>
      </w:pPr>
      <w:r>
        <w:rPr>
          <w:rFonts w:ascii="Arial" w:eastAsia="Arial" w:hAnsi="Arial" w:cs="Arial"/>
          <w:b/>
          <w:bCs/>
          <w:color w:val="2E75B6"/>
          <w:sz w:val="26"/>
          <w:szCs w:val="26"/>
        </w:rPr>
        <w:t>4.5 Legal and Regulatory Factors</w:t>
      </w:r>
    </w:p>
    <w:p w14:paraId="538C2511" w14:textId="484E6C92" w:rsidR="00C75175" w:rsidRDefault="00000000">
      <w:pPr>
        <w:spacing w:before="80" w:after="80" w:line="360" w:lineRule="auto"/>
        <w:jc w:val="both"/>
      </w:pPr>
      <w:r>
        <w:rPr>
          <w:rFonts w:ascii="Arial" w:eastAsia="Arial" w:hAnsi="Arial" w:cs="Arial"/>
          <w:sz w:val="24"/>
          <w:szCs w:val="24"/>
        </w:rPr>
        <w:t xml:space="preserve">The legal and regulatory environment in India is characterised by a layered complexity that presents both operational challenges and, for </w:t>
      </w:r>
      <w:proofErr w:type="spellStart"/>
      <w:r>
        <w:rPr>
          <w:rFonts w:ascii="Arial" w:eastAsia="Arial" w:hAnsi="Arial" w:cs="Arial"/>
          <w:sz w:val="24"/>
          <w:szCs w:val="24"/>
        </w:rPr>
        <w:t>well</w:t>
      </w:r>
      <w:r w:rsidR="00407284">
        <w:t xml:space="preserve"> </w:t>
      </w:r>
      <w:r>
        <w:rPr>
          <w:rFonts w:ascii="Arial" w:eastAsia="Arial" w:hAnsi="Arial" w:cs="Arial"/>
          <w:sz w:val="24"/>
          <w:szCs w:val="24"/>
        </w:rPr>
        <w:t>established</w:t>
      </w:r>
      <w:proofErr w:type="spellEnd"/>
      <w:r>
        <w:rPr>
          <w:rFonts w:ascii="Arial" w:eastAsia="Arial" w:hAnsi="Arial" w:cs="Arial"/>
          <w:sz w:val="24"/>
          <w:szCs w:val="24"/>
        </w:rPr>
        <w:t xml:space="preserve"> incumbents like HMIL, meaningful barriers to new competition. India's regulatory framework for the automotive sector encompasses multiple dimensions: emission standards (Bharat Stage VI, equivalent to Euro 6), vehicle safety regulations enforced through the Central Motor Vehicles Rules and Automotive Industry Standards, consumer protection law, competition regulation, intellectual property rights, and a growing body of EV</w:t>
      </w:r>
      <w:r w:rsidR="00407284">
        <w:t xml:space="preserve"> </w:t>
      </w:r>
      <w:r>
        <w:rPr>
          <w:rFonts w:ascii="Arial" w:eastAsia="Arial" w:hAnsi="Arial" w:cs="Arial"/>
          <w:sz w:val="24"/>
          <w:szCs w:val="24"/>
        </w:rPr>
        <w:t>specific regulation governing charging infrastructure, battery safety certification, and subsidy eligibility.</w:t>
      </w:r>
    </w:p>
    <w:p w14:paraId="4276D285" w14:textId="77777777" w:rsidR="00C75175" w:rsidRDefault="00C75175"/>
    <w:p w14:paraId="63770DE2" w14:textId="3EF83ECC" w:rsidR="00C75175" w:rsidRDefault="00000000">
      <w:pPr>
        <w:spacing w:before="80" w:after="80" w:line="360" w:lineRule="auto"/>
        <w:jc w:val="both"/>
      </w:pPr>
      <w:r>
        <w:rPr>
          <w:rFonts w:ascii="Arial" w:eastAsia="Arial" w:hAnsi="Arial" w:cs="Arial"/>
          <w:sz w:val="24"/>
          <w:szCs w:val="24"/>
        </w:rPr>
        <w:t>The CAFE (Corporate Average Fuel Economy) norms represent an increasingly significant compliance dimension. CAFE-II norms, currently in force, require manufacturers to achieve stringent fleet</w:t>
      </w:r>
      <w:r w:rsidR="00407284">
        <w:t xml:space="preserve"> </w:t>
      </w:r>
      <w:r>
        <w:rPr>
          <w:rFonts w:ascii="Arial" w:eastAsia="Arial" w:hAnsi="Arial" w:cs="Arial"/>
          <w:sz w:val="24"/>
          <w:szCs w:val="24"/>
        </w:rPr>
        <w:t xml:space="preserve">average fuel economy and CO2 emissions </w:t>
      </w:r>
      <w:r>
        <w:rPr>
          <w:rFonts w:ascii="Arial" w:eastAsia="Arial" w:hAnsi="Arial" w:cs="Arial"/>
          <w:sz w:val="24"/>
          <w:szCs w:val="24"/>
        </w:rPr>
        <w:lastRenderedPageBreak/>
        <w:t>targets. HMIL's achievement of 3.7% below its CAFE-II target demonstrates effective regulatory navigation through a product mix that increasingly includes CNG variants and the Creta Electric (Outlook Business, 2025). The anticipated tightening of CAFE-III norms will require sustained investment in electrified powertrains and hybrid technologies. India's broader legal landscape including the Companies Act 2013, SEBI regulations (now directly applicable to HMIL as a listed entity), the Prevention of Corruption Act, and the Goods and Services Tax (GST) framework adds to compliance complexity. The GST framework, while streamlining India's previously fragmented indirect tax system, retains higher rates for vehicles compared to many other consumer goods, creating a tax drag on consumer demand that manufacturers must factor into pricing strategy.</w:t>
      </w:r>
    </w:p>
    <w:p w14:paraId="695C8193" w14:textId="77777777" w:rsidR="00C75175" w:rsidRDefault="00C75175"/>
    <w:p w14:paraId="68A9FAD2" w14:textId="77777777" w:rsidR="00C75175" w:rsidRDefault="00C75175"/>
    <w:p w14:paraId="5C084552" w14:textId="77777777" w:rsidR="00C75175" w:rsidRDefault="00000000">
      <w:pPr>
        <w:pStyle w:val="Heading2"/>
      </w:pPr>
      <w:r>
        <w:rPr>
          <w:rFonts w:ascii="Arial" w:eastAsia="Arial" w:hAnsi="Arial" w:cs="Arial"/>
          <w:b/>
          <w:bCs/>
          <w:color w:val="2E75B6"/>
          <w:sz w:val="26"/>
          <w:szCs w:val="26"/>
        </w:rPr>
        <w:t>4.6 Overall Market Attractiveness and Strategic Outlook</w:t>
      </w:r>
    </w:p>
    <w:p w14:paraId="44583E5E" w14:textId="1698A6B2" w:rsidR="00C75175" w:rsidRDefault="00000000">
      <w:pPr>
        <w:spacing w:before="80" w:after="80" w:line="360" w:lineRule="auto"/>
        <w:jc w:val="both"/>
      </w:pPr>
      <w:r>
        <w:rPr>
          <w:rFonts w:ascii="Arial" w:eastAsia="Arial" w:hAnsi="Arial" w:cs="Arial"/>
          <w:sz w:val="24"/>
          <w:szCs w:val="24"/>
        </w:rPr>
        <w:t>Synthesising the preceding PESTLE analysis alongside Dunning's (1980) OLI eclectic paradigm provides a comprehensive assessment of India's market attractiveness and HMIL's strategic rationale. In Dunning's framework, HMIL's India operations are justified by a powerful convergence of all three advantage types. Ownership advantages include HMIL's globally recognised brand, proprietary product and EV technology, advanced manufacturing capabilities, and a portfolio of differentiated products deeply tailored to Indian consumer preferences. Location advantages are compelling: India's large and growing market, cost</w:t>
      </w:r>
      <w:r w:rsidR="00407284">
        <w:t xml:space="preserve"> </w:t>
      </w:r>
      <w:r>
        <w:rPr>
          <w:rFonts w:ascii="Arial" w:eastAsia="Arial" w:hAnsi="Arial" w:cs="Arial"/>
          <w:sz w:val="24"/>
          <w:szCs w:val="24"/>
        </w:rPr>
        <w:t>competitive manufacturing environment, deep engineering talent, accessible supply chain ecosystem, and policy support create a uniquely attractive investment proposition. Internalisation advantages the benefits of direct investment over licensing are clear given regulatory requirements for local manufacturing, the strategic importance of supply chain control, and the deep market knowledge accumulated over nearly three decades of local operations.</w:t>
      </w:r>
    </w:p>
    <w:p w14:paraId="085D855A" w14:textId="77777777" w:rsidR="00C75175" w:rsidRDefault="00C75175"/>
    <w:p w14:paraId="06D18213" w14:textId="1F697A51" w:rsidR="00C75175" w:rsidRDefault="00000000">
      <w:pPr>
        <w:spacing w:before="80" w:after="80" w:line="360" w:lineRule="auto"/>
        <w:jc w:val="both"/>
      </w:pPr>
      <w:r>
        <w:rPr>
          <w:rFonts w:ascii="Arial" w:eastAsia="Arial" w:hAnsi="Arial" w:cs="Arial"/>
          <w:sz w:val="24"/>
          <w:szCs w:val="24"/>
        </w:rPr>
        <w:t xml:space="preserve">The Korea Herald (2025) characterises India as Hyundai's 'most important battleground,' a framing that captures both the market's extraordinary strategic significance and the intensity of the competitive challenge. HMIL's capacity </w:t>
      </w:r>
      <w:proofErr w:type="gramStart"/>
      <w:r>
        <w:rPr>
          <w:rFonts w:ascii="Arial" w:eastAsia="Arial" w:hAnsi="Arial" w:cs="Arial"/>
          <w:sz w:val="24"/>
          <w:szCs w:val="24"/>
        </w:rPr>
        <w:t>expansion  with</w:t>
      </w:r>
      <w:proofErr w:type="gramEnd"/>
      <w:r>
        <w:rPr>
          <w:rFonts w:ascii="Arial" w:eastAsia="Arial" w:hAnsi="Arial" w:cs="Arial"/>
          <w:sz w:val="24"/>
          <w:szCs w:val="24"/>
        </w:rPr>
        <w:t xml:space="preserve"> Hyundai Motor Group's combined Indian production capacity set </w:t>
      </w:r>
      <w:r>
        <w:rPr>
          <w:rFonts w:ascii="Arial" w:eastAsia="Arial" w:hAnsi="Arial" w:cs="Arial"/>
          <w:sz w:val="24"/>
          <w:szCs w:val="24"/>
        </w:rPr>
        <w:lastRenderedPageBreak/>
        <w:t>to reach 1.5 million units per annum upon completion of the Pune plant (Hyundai Motor Group, 2025</w:t>
      </w:r>
      <w:proofErr w:type="gramStart"/>
      <w:r>
        <w:rPr>
          <w:rFonts w:ascii="Arial" w:eastAsia="Arial" w:hAnsi="Arial" w:cs="Arial"/>
          <w:sz w:val="24"/>
          <w:szCs w:val="24"/>
        </w:rPr>
        <w:t>)  and</w:t>
      </w:r>
      <w:proofErr w:type="gramEnd"/>
      <w:r>
        <w:rPr>
          <w:rFonts w:ascii="Arial" w:eastAsia="Arial" w:hAnsi="Arial" w:cs="Arial"/>
          <w:sz w:val="24"/>
          <w:szCs w:val="24"/>
        </w:rPr>
        <w:t xml:space="preserve"> its market capitalisation of approximately INR 1.77 trillion as of early 2026, representing a 24.60% year-on-year increase (</w:t>
      </w:r>
      <w:proofErr w:type="spellStart"/>
      <w:r>
        <w:rPr>
          <w:rFonts w:ascii="Arial" w:eastAsia="Arial" w:hAnsi="Arial" w:cs="Arial"/>
          <w:sz w:val="24"/>
          <w:szCs w:val="24"/>
        </w:rPr>
        <w:t>StockAnalysis</w:t>
      </w:r>
      <w:proofErr w:type="spellEnd"/>
      <w:r>
        <w:rPr>
          <w:rFonts w:ascii="Arial" w:eastAsia="Arial" w:hAnsi="Arial" w:cs="Arial"/>
          <w:sz w:val="24"/>
          <w:szCs w:val="24"/>
        </w:rPr>
        <w:t>, 2026), reflect a deep and growing investor confidence in HMIL's India strategy. The appointment of India's first local CEO, the INR 26,000 crore Tamil Nadu investment, and the four planned EV launches together constitute a strategic response that positions HMIL for sustained leadership in the world's most dynamic automotive market.</w:t>
      </w:r>
    </w:p>
    <w:p w14:paraId="2E77C51B" w14:textId="77777777" w:rsidR="00C75175" w:rsidRDefault="00C75175"/>
    <w:p w14:paraId="43D16B1C" w14:textId="77777777" w:rsidR="00C75175" w:rsidRDefault="00000000">
      <w:pPr>
        <w:pStyle w:val="Heading1"/>
      </w:pPr>
      <w:r>
        <w:rPr>
          <w:rFonts w:ascii="Arial" w:eastAsia="Arial" w:hAnsi="Arial" w:cs="Arial"/>
          <w:b/>
          <w:bCs/>
          <w:color w:val="1F4E79"/>
          <w:sz w:val="32"/>
          <w:szCs w:val="32"/>
        </w:rPr>
        <w:t>5.0 Conclusion</w:t>
      </w:r>
    </w:p>
    <w:p w14:paraId="5406E3E4" w14:textId="2D7489D9" w:rsidR="00C75175" w:rsidRDefault="00000000">
      <w:pPr>
        <w:spacing w:before="80" w:after="80" w:line="360" w:lineRule="auto"/>
        <w:jc w:val="both"/>
      </w:pPr>
      <w:r>
        <w:rPr>
          <w:rFonts w:ascii="Arial" w:eastAsia="Arial" w:hAnsi="Arial" w:cs="Arial"/>
          <w:sz w:val="24"/>
          <w:szCs w:val="24"/>
        </w:rPr>
        <w:t>This report has demonstrated that India's automotive industry occupies a position of growing strategic significance in the global automotive order. Through the lens of Porter's (1990) Diamond Model, the analysis reveals an industry with meaningful and evolving competitive advantages in labour</w:t>
      </w:r>
      <w:r w:rsidR="00407284">
        <w:t xml:space="preserve"> </w:t>
      </w:r>
      <w:r>
        <w:rPr>
          <w:rFonts w:ascii="Arial" w:eastAsia="Arial" w:hAnsi="Arial" w:cs="Arial"/>
          <w:sz w:val="24"/>
          <w:szCs w:val="24"/>
        </w:rPr>
        <w:t>cost factor conditions, sophisticated and demanding domestic demand, growing supplier ecosystem depth, and intense domestic rivalry all of which create the conditions for internationally transferable competitive capabilities. Constraints persist in infrastructure quality, R&amp;D intensity, and supply chain sophistication relative to the world's most advanced automotive nations, but government policy is actively addressing these gaps through the PLI scheme, the Automotive Mission Plan, and the emerging semiconductor and battery manufacturing ecosystem.</w:t>
      </w:r>
    </w:p>
    <w:p w14:paraId="2761900D" w14:textId="77777777" w:rsidR="00C75175" w:rsidRDefault="00C75175"/>
    <w:p w14:paraId="64DFFD9D" w14:textId="31EB2C83" w:rsidR="00C75175" w:rsidRDefault="00000000">
      <w:pPr>
        <w:spacing w:before="80" w:after="80" w:line="360" w:lineRule="auto"/>
        <w:jc w:val="both"/>
      </w:pPr>
      <w:r>
        <w:rPr>
          <w:rFonts w:ascii="Arial" w:eastAsia="Arial" w:hAnsi="Arial" w:cs="Arial"/>
          <w:sz w:val="24"/>
          <w:szCs w:val="24"/>
        </w:rPr>
        <w:t xml:space="preserve">Hyundai Motor India Limited's nearly </w:t>
      </w:r>
      <w:proofErr w:type="gramStart"/>
      <w:r>
        <w:rPr>
          <w:rFonts w:ascii="Arial" w:eastAsia="Arial" w:hAnsi="Arial" w:cs="Arial"/>
          <w:sz w:val="24"/>
          <w:szCs w:val="24"/>
        </w:rPr>
        <w:t>three</w:t>
      </w:r>
      <w:r w:rsidR="00407284">
        <w:t xml:space="preserve"> </w:t>
      </w:r>
      <w:r>
        <w:rPr>
          <w:rFonts w:ascii="Arial" w:eastAsia="Arial" w:hAnsi="Arial" w:cs="Arial"/>
          <w:sz w:val="24"/>
          <w:szCs w:val="24"/>
        </w:rPr>
        <w:t>decade</w:t>
      </w:r>
      <w:proofErr w:type="gramEnd"/>
      <w:r>
        <w:rPr>
          <w:rFonts w:ascii="Arial" w:eastAsia="Arial" w:hAnsi="Arial" w:cs="Arial"/>
          <w:sz w:val="24"/>
          <w:szCs w:val="24"/>
        </w:rPr>
        <w:t xml:space="preserve"> journey in India illustrates best practice in emerging market MNC strategy. Its success rests on a coherent integration of product localisation, manufacturing investment, cultural intelligence, regulatory compliance, and enduring strategic commitment. The PESTLE analysis confirms a broadly favourable macro</w:t>
      </w:r>
      <w:r w:rsidR="00407284">
        <w:t xml:space="preserve"> </w:t>
      </w:r>
      <w:r>
        <w:rPr>
          <w:rFonts w:ascii="Arial" w:eastAsia="Arial" w:hAnsi="Arial" w:cs="Arial"/>
          <w:sz w:val="24"/>
          <w:szCs w:val="24"/>
        </w:rPr>
        <w:t>environment for HMIL, underpinned by India's robust economic growth, pro</w:t>
      </w:r>
      <w:r w:rsidR="00407284">
        <w:t xml:space="preserve"> </w:t>
      </w:r>
      <w:r>
        <w:rPr>
          <w:rFonts w:ascii="Arial" w:eastAsia="Arial" w:hAnsi="Arial" w:cs="Arial"/>
          <w:sz w:val="24"/>
          <w:szCs w:val="24"/>
        </w:rPr>
        <w:t>investment government policy, a rising middle class, and accelerating technology adoption. The concept of the liability of foreignness (Zaheer, 1995) provides a particularly useful theoretical lens: HMIL has systematically and successfully reduced its foreignness penalty through decades of embedding itself within Indian business, society, and culture.</w:t>
      </w:r>
    </w:p>
    <w:p w14:paraId="00116766" w14:textId="77777777" w:rsidR="00C75175" w:rsidRDefault="00C75175"/>
    <w:p w14:paraId="5D70E6AC" w14:textId="77777777" w:rsidR="00C75175" w:rsidRDefault="00C75175"/>
    <w:p w14:paraId="4AFB34CC" w14:textId="77777777" w:rsidR="00407284" w:rsidRDefault="00407284"/>
    <w:p w14:paraId="0A3A08D1" w14:textId="77777777" w:rsidR="00407284" w:rsidRDefault="00407284"/>
    <w:p w14:paraId="5D07FACB" w14:textId="77777777" w:rsidR="00407284" w:rsidRDefault="00407284"/>
    <w:p w14:paraId="04C15E6C" w14:textId="6B2E4113" w:rsidR="00C75175" w:rsidRDefault="00000000" w:rsidP="00407284">
      <w:pPr>
        <w:spacing w:after="0"/>
      </w:pPr>
      <w:r>
        <w:rPr>
          <w:rFonts w:ascii="Arial" w:eastAsia="Arial" w:hAnsi="Arial" w:cs="Arial"/>
          <w:b/>
          <w:bCs/>
          <w:color w:val="1F4E79"/>
          <w:sz w:val="30"/>
          <w:szCs w:val="30"/>
        </w:rPr>
        <w:t>SECTION 2: REFLECTIVE ACCOUNT</w:t>
      </w:r>
    </w:p>
    <w:p w14:paraId="09501A9F" w14:textId="77777777" w:rsidR="00C75175" w:rsidRDefault="00000000">
      <w:pPr>
        <w:pStyle w:val="Heading1"/>
      </w:pPr>
      <w:r>
        <w:rPr>
          <w:rFonts w:ascii="Arial" w:eastAsia="Arial" w:hAnsi="Arial" w:cs="Arial"/>
          <w:b/>
          <w:bCs/>
          <w:color w:val="1F4E79"/>
          <w:sz w:val="32"/>
          <w:szCs w:val="32"/>
        </w:rPr>
        <w:t>6.0 Reflective Account Using Gibbs' Reflective Cycle</w:t>
      </w:r>
    </w:p>
    <w:p w14:paraId="611A00E1" w14:textId="35D4622B" w:rsidR="00C75175" w:rsidRDefault="00000000">
      <w:pPr>
        <w:spacing w:before="80" w:after="80" w:line="360" w:lineRule="auto"/>
        <w:jc w:val="both"/>
      </w:pPr>
      <w:r>
        <w:rPr>
          <w:rFonts w:ascii="Arial" w:eastAsia="Arial" w:hAnsi="Arial" w:cs="Arial"/>
          <w:sz w:val="24"/>
          <w:szCs w:val="24"/>
        </w:rPr>
        <w:t>The following reflection applies Gibbs' (1988) Reflective Cycle, which structures learning through six sequential stages: Description, Feelings, Evaluation, Analysis, Conclusion, and Action Plan. This framework was selected because of its explicit attention to both affective and analytical dimensions of learning</w:t>
      </w:r>
      <w:r w:rsidR="00407284">
        <w:t>.</w:t>
      </w:r>
    </w:p>
    <w:p w14:paraId="6B51A283" w14:textId="77777777" w:rsidR="00407284" w:rsidRDefault="00407284">
      <w:pPr>
        <w:spacing w:before="80" w:after="80" w:line="360" w:lineRule="auto"/>
        <w:jc w:val="both"/>
      </w:pPr>
    </w:p>
    <w:p w14:paraId="3DA09DA4" w14:textId="77777777" w:rsidR="00C75175" w:rsidRDefault="00C75175"/>
    <w:p w14:paraId="55CC779D" w14:textId="77777777" w:rsidR="00C75175" w:rsidRDefault="00000000">
      <w:pPr>
        <w:pStyle w:val="Heading2"/>
      </w:pPr>
      <w:r>
        <w:rPr>
          <w:rFonts w:ascii="Arial" w:eastAsia="Arial" w:hAnsi="Arial" w:cs="Arial"/>
          <w:b/>
          <w:bCs/>
          <w:color w:val="2E75B6"/>
          <w:sz w:val="26"/>
          <w:szCs w:val="26"/>
        </w:rPr>
        <w:t>6.1 Description</w:t>
      </w:r>
    </w:p>
    <w:p w14:paraId="2015B67A" w14:textId="74FB62A1" w:rsidR="00C75175" w:rsidRDefault="00000000">
      <w:pPr>
        <w:spacing w:before="80" w:after="80" w:line="360" w:lineRule="auto"/>
        <w:jc w:val="both"/>
      </w:pPr>
      <w:r>
        <w:rPr>
          <w:rFonts w:ascii="Arial" w:eastAsia="Arial" w:hAnsi="Arial" w:cs="Arial"/>
          <w:sz w:val="24"/>
          <w:szCs w:val="24"/>
        </w:rPr>
        <w:t>The task required the production of a comprehensive international industry and business report focused on a chosen country</w:t>
      </w:r>
      <w:r w:rsidR="00407284">
        <w:t xml:space="preserve"> </w:t>
      </w:r>
      <w:r>
        <w:rPr>
          <w:rFonts w:ascii="Arial" w:eastAsia="Arial" w:hAnsi="Arial" w:cs="Arial"/>
          <w:sz w:val="24"/>
          <w:szCs w:val="24"/>
        </w:rPr>
        <w:t>industry pair and a specific foreign MNC. I selected India's automotive industry as my focus, motivated by its high global profile, the richness and accessibility of quantitative and qualitative data, and the strategic relevance of understanding MNC operations in what is simultaneously the world's most populous country and one of its fastest</w:t>
      </w:r>
      <w:r w:rsidR="001F618E">
        <w:t xml:space="preserve"> </w:t>
      </w:r>
      <w:r>
        <w:rPr>
          <w:rFonts w:ascii="Arial" w:eastAsia="Arial" w:hAnsi="Arial" w:cs="Arial"/>
          <w:sz w:val="24"/>
          <w:szCs w:val="24"/>
        </w:rPr>
        <w:t>growing consumer markets. Hyundai Motor India was selected as the focal MNC because of its long operational history in India, its landmark 2024 IPO, its simultaneous experience of competitive pressure and strategic ambition, and the analytical richness it provides for applying international business frameworks across political, economic, cultural, technological, and regulatory dimensions.</w:t>
      </w:r>
    </w:p>
    <w:p w14:paraId="7C062422" w14:textId="77777777" w:rsidR="00C75175" w:rsidRDefault="00C75175"/>
    <w:p w14:paraId="12A526F0" w14:textId="01EF8B58" w:rsidR="00C75175" w:rsidRDefault="00000000">
      <w:pPr>
        <w:spacing w:before="80" w:after="80" w:line="360" w:lineRule="auto"/>
        <w:jc w:val="both"/>
      </w:pPr>
      <w:r>
        <w:rPr>
          <w:rFonts w:ascii="Arial" w:eastAsia="Arial" w:hAnsi="Arial" w:cs="Arial"/>
          <w:sz w:val="24"/>
          <w:szCs w:val="24"/>
        </w:rPr>
        <w:t xml:space="preserve">The research process was structured and iterative, spanning academic journal databases including JSTOR and Google Scholar for foundational theoretical sources, market intelligence platforms including Grand View Research and Technavio for quantitative industry data, and primary industry sources including </w:t>
      </w:r>
      <w:r>
        <w:rPr>
          <w:rFonts w:ascii="Arial" w:eastAsia="Arial" w:hAnsi="Arial" w:cs="Arial"/>
          <w:sz w:val="24"/>
          <w:szCs w:val="24"/>
        </w:rPr>
        <w:lastRenderedPageBreak/>
        <w:t xml:space="preserve">Autocar Professional, Invest India, and Hyundai Motor Group's own corporate publications for operational and strategic detail. </w:t>
      </w:r>
    </w:p>
    <w:p w14:paraId="64D37EF5" w14:textId="77777777" w:rsidR="00C75175" w:rsidRDefault="00C75175"/>
    <w:p w14:paraId="20BA5892" w14:textId="77777777" w:rsidR="00C75175" w:rsidRDefault="00000000">
      <w:pPr>
        <w:pStyle w:val="Heading2"/>
      </w:pPr>
      <w:r>
        <w:rPr>
          <w:rFonts w:ascii="Arial" w:eastAsia="Arial" w:hAnsi="Arial" w:cs="Arial"/>
          <w:b/>
          <w:bCs/>
          <w:color w:val="2E75B6"/>
          <w:sz w:val="26"/>
          <w:szCs w:val="26"/>
        </w:rPr>
        <w:t>6.2 Feelings</w:t>
      </w:r>
    </w:p>
    <w:p w14:paraId="27E48B2B" w14:textId="6381FC6C" w:rsidR="00C75175" w:rsidRDefault="00000000">
      <w:pPr>
        <w:spacing w:before="80" w:after="80" w:line="360" w:lineRule="auto"/>
        <w:jc w:val="both"/>
      </w:pPr>
      <w:r>
        <w:rPr>
          <w:rFonts w:ascii="Arial" w:eastAsia="Arial" w:hAnsi="Arial" w:cs="Arial"/>
          <w:sz w:val="24"/>
          <w:szCs w:val="24"/>
        </w:rPr>
        <w:t xml:space="preserve">At the outset of the assignment, I experienced a mixture of intellectual curiosity and genuine apprehension. The breadth of the </w:t>
      </w:r>
      <w:proofErr w:type="gramStart"/>
      <w:r>
        <w:rPr>
          <w:rFonts w:ascii="Arial" w:eastAsia="Arial" w:hAnsi="Arial" w:cs="Arial"/>
          <w:sz w:val="24"/>
          <w:szCs w:val="24"/>
        </w:rPr>
        <w:t>task  spanning</w:t>
      </w:r>
      <w:proofErr w:type="gramEnd"/>
      <w:r>
        <w:rPr>
          <w:rFonts w:ascii="Arial" w:eastAsia="Arial" w:hAnsi="Arial" w:cs="Arial"/>
          <w:sz w:val="24"/>
          <w:szCs w:val="24"/>
        </w:rPr>
        <w:t xml:space="preserve"> macroeconomic industry analysis, national competitive advantage theory, corporate strategy, cultural analysis, regulatory assessment, and reflective </w:t>
      </w:r>
      <w:proofErr w:type="gramStart"/>
      <w:r>
        <w:rPr>
          <w:rFonts w:ascii="Arial" w:eastAsia="Arial" w:hAnsi="Arial" w:cs="Arial"/>
          <w:sz w:val="24"/>
          <w:szCs w:val="24"/>
        </w:rPr>
        <w:t>practice  .</w:t>
      </w:r>
      <w:proofErr w:type="gramEnd"/>
      <w:r>
        <w:rPr>
          <w:rFonts w:ascii="Arial" w:eastAsia="Arial" w:hAnsi="Arial" w:cs="Arial"/>
          <w:sz w:val="24"/>
          <w:szCs w:val="24"/>
        </w:rPr>
        <w:t xml:space="preserve"> My primary concern was the risk of producing a report that was broad but superficial: one that listed frameworks without critically engaging with their analytical implications or the contradictions and nuances in the evidence base. I was also conscious of the challenge of maintaining analytical coherence across such diverse sections, ensuring that the report read as an integrated analytical narrative rather than a collection of loosely connected analyses.</w:t>
      </w:r>
    </w:p>
    <w:p w14:paraId="70D97687" w14:textId="77777777" w:rsidR="00C75175" w:rsidRDefault="00C75175"/>
    <w:p w14:paraId="61A4FDD2" w14:textId="77777777" w:rsidR="00C75175" w:rsidRDefault="00000000">
      <w:pPr>
        <w:pStyle w:val="Heading2"/>
      </w:pPr>
      <w:r>
        <w:rPr>
          <w:rFonts w:ascii="Arial" w:eastAsia="Arial" w:hAnsi="Arial" w:cs="Arial"/>
          <w:b/>
          <w:bCs/>
          <w:color w:val="2E75B6"/>
          <w:sz w:val="26"/>
          <w:szCs w:val="26"/>
        </w:rPr>
        <w:t>6.3 Evaluation</w:t>
      </w:r>
    </w:p>
    <w:p w14:paraId="11AA46F8" w14:textId="46E8BE53" w:rsidR="00C75175" w:rsidRDefault="00000000">
      <w:pPr>
        <w:spacing w:before="80" w:after="80" w:line="360" w:lineRule="auto"/>
        <w:jc w:val="both"/>
      </w:pPr>
      <w:r>
        <w:rPr>
          <w:rFonts w:ascii="Arial" w:eastAsia="Arial" w:hAnsi="Arial" w:cs="Arial"/>
          <w:sz w:val="24"/>
          <w:szCs w:val="24"/>
        </w:rPr>
        <w:t>Evaluating the research process critically, a number of both strengths and areas for development are identifiable. Among the strengths, I engaged with a genuine diversity of source types peer</w:t>
      </w:r>
      <w:r w:rsidR="001F618E">
        <w:t xml:space="preserve"> </w:t>
      </w:r>
      <w:r>
        <w:rPr>
          <w:rFonts w:ascii="Arial" w:eastAsia="Arial" w:hAnsi="Arial" w:cs="Arial"/>
          <w:sz w:val="24"/>
          <w:szCs w:val="24"/>
        </w:rPr>
        <w:t>reviewed academic journals for theoretical foundations, verified market research reports for quantitative data, corporate publications for strategic detail, and quality journalism for contemporaneous competitive intelligence. This breadth enabled triangulation of evidence and produced a richer, more nuanced analysis than would have been possible from any single source category.</w:t>
      </w:r>
    </w:p>
    <w:p w14:paraId="4C715E3A" w14:textId="77777777" w:rsidR="00C75175" w:rsidRDefault="00C75175"/>
    <w:p w14:paraId="3438B183" w14:textId="1987369E" w:rsidR="00C75175" w:rsidRDefault="00000000">
      <w:pPr>
        <w:spacing w:before="80" w:after="80" w:line="360" w:lineRule="auto"/>
        <w:jc w:val="both"/>
      </w:pPr>
      <w:r>
        <w:rPr>
          <w:rFonts w:ascii="Arial" w:eastAsia="Arial" w:hAnsi="Arial" w:cs="Arial"/>
          <w:sz w:val="24"/>
          <w:szCs w:val="24"/>
        </w:rPr>
        <w:t xml:space="preserve">Areas for development were also evident. The rapidly evolving nature of India's automotive market with competitive rankings, market share data, and regulatory developments changing quickly made it challenging to ensure complete currency across all data points. Some market valuation estimates varied across different research providers, reflecting different methodological definitions and data collection periods, requiring careful triangulation and appropriate qualification in the report. I also experienced the structural challenge of maintaining the balance </w:t>
      </w:r>
      <w:r>
        <w:rPr>
          <w:rFonts w:ascii="Arial" w:eastAsia="Arial" w:hAnsi="Arial" w:cs="Arial"/>
          <w:sz w:val="24"/>
          <w:szCs w:val="24"/>
        </w:rPr>
        <w:lastRenderedPageBreak/>
        <w:t>between analytical depth and breadth within the assessment's word count constraints: several topics particularly the complexity of India's regulatory framework and the strategic dynamics of the EV transition warranted more extensive treatment than the word limit permitted.</w:t>
      </w:r>
    </w:p>
    <w:p w14:paraId="7DFEAB47" w14:textId="77777777" w:rsidR="00C75175" w:rsidRDefault="00C75175"/>
    <w:p w14:paraId="2DFDC7F1" w14:textId="77777777" w:rsidR="00C75175" w:rsidRDefault="00000000">
      <w:pPr>
        <w:pStyle w:val="Heading2"/>
      </w:pPr>
      <w:r>
        <w:rPr>
          <w:rFonts w:ascii="Arial" w:eastAsia="Arial" w:hAnsi="Arial" w:cs="Arial"/>
          <w:b/>
          <w:bCs/>
          <w:color w:val="2E75B6"/>
          <w:sz w:val="26"/>
          <w:szCs w:val="26"/>
        </w:rPr>
        <w:t>6.4 Analysis</w:t>
      </w:r>
    </w:p>
    <w:p w14:paraId="7BEC39D8" w14:textId="0C644EF3" w:rsidR="00C75175" w:rsidRDefault="00000000">
      <w:pPr>
        <w:spacing w:before="80" w:after="80" w:line="360" w:lineRule="auto"/>
        <w:jc w:val="both"/>
      </w:pPr>
      <w:r>
        <w:rPr>
          <w:rFonts w:ascii="Arial" w:eastAsia="Arial" w:hAnsi="Arial" w:cs="Arial"/>
          <w:sz w:val="24"/>
          <w:szCs w:val="24"/>
        </w:rPr>
        <w:t>Reflecting analytically on this experience, several important and interconnected learning insights emerged. First, the application of Porter's (1990) Diamond Model to a real, contemporary industry case reinforced both the framework's enduring explanatory power and its limitations. Porter's model is inherently structural and retrospective well suited to explaining established patterns of competitive advantage, but less effective at capturing the dynamics of rapid technological disruption. The automotive industry's EV transition, driven by regulatory mandates and technological change rather than organic demand evolution, challenges the model's implicit assumption of demand</w:t>
      </w:r>
      <w:r w:rsidR="001F618E">
        <w:t xml:space="preserve"> l</w:t>
      </w:r>
      <w:r>
        <w:rPr>
          <w:rFonts w:ascii="Arial" w:eastAsia="Arial" w:hAnsi="Arial" w:cs="Arial"/>
          <w:sz w:val="24"/>
          <w:szCs w:val="24"/>
        </w:rPr>
        <w:t xml:space="preserve">ed innovation. This limitation prompted me to consider how dynamic capabilities theory (Teece, Pisano and </w:t>
      </w:r>
      <w:proofErr w:type="spellStart"/>
      <w:r>
        <w:rPr>
          <w:rFonts w:ascii="Arial" w:eastAsia="Arial" w:hAnsi="Arial" w:cs="Arial"/>
          <w:sz w:val="24"/>
          <w:szCs w:val="24"/>
        </w:rPr>
        <w:t>Shuen</w:t>
      </w:r>
      <w:proofErr w:type="spellEnd"/>
      <w:r>
        <w:rPr>
          <w:rFonts w:ascii="Arial" w:eastAsia="Arial" w:hAnsi="Arial" w:cs="Arial"/>
          <w:sz w:val="24"/>
          <w:szCs w:val="24"/>
        </w:rPr>
        <w:t>, 1997) might complement Porter's static framework by capturing the strategic agility required to navigate technological discontinuities.</w:t>
      </w:r>
    </w:p>
    <w:p w14:paraId="307416BF" w14:textId="77777777" w:rsidR="00C75175" w:rsidRDefault="00C75175"/>
    <w:p w14:paraId="709959DA" w14:textId="0A1D84C7" w:rsidR="00C75175" w:rsidRDefault="001F618E">
      <w:pPr>
        <w:spacing w:before="80" w:after="80" w:line="360" w:lineRule="auto"/>
        <w:jc w:val="both"/>
      </w:pPr>
      <w:r>
        <w:t>T</w:t>
      </w:r>
      <w:r w:rsidR="00000000">
        <w:rPr>
          <w:rFonts w:ascii="Arial" w:eastAsia="Arial" w:hAnsi="Arial" w:cs="Arial"/>
          <w:sz w:val="24"/>
          <w:szCs w:val="24"/>
        </w:rPr>
        <w:t xml:space="preserve">he critical importance of cultural intelligence and localisation as determinants of sustainable MNC performance in emerging markets. Zaheer's (1995) liability of foreignness framework provided a particularly illuminating theoretical lens for interpreting HMIL's strategic trajectory in India. The company's systematic efforts to reduce foreignness through product localisation, community investment, local talent development, and the appointment of an Indian </w:t>
      </w:r>
      <w:proofErr w:type="gramStart"/>
      <w:r w:rsidR="00000000">
        <w:rPr>
          <w:rFonts w:ascii="Arial" w:eastAsia="Arial" w:hAnsi="Arial" w:cs="Arial"/>
          <w:sz w:val="24"/>
          <w:szCs w:val="24"/>
        </w:rPr>
        <w:t>CEO  represent</w:t>
      </w:r>
      <w:proofErr w:type="gramEnd"/>
      <w:r w:rsidR="00000000">
        <w:rPr>
          <w:rFonts w:ascii="Arial" w:eastAsia="Arial" w:hAnsi="Arial" w:cs="Arial"/>
          <w:sz w:val="24"/>
          <w:szCs w:val="24"/>
        </w:rPr>
        <w:t xml:space="preserve"> a textbook execution of the strategies Zaheer identifies as necessary for overcoming the structural disadvantages of being a foreign firm in a culturally and institutionally complex host market. </w:t>
      </w:r>
    </w:p>
    <w:p w14:paraId="4618F070" w14:textId="77777777" w:rsidR="00C75175" w:rsidRDefault="00C75175"/>
    <w:p w14:paraId="45CCD66C" w14:textId="77777777" w:rsidR="00C75175" w:rsidRDefault="00000000">
      <w:pPr>
        <w:pStyle w:val="Heading2"/>
      </w:pPr>
      <w:r>
        <w:rPr>
          <w:rFonts w:ascii="Arial" w:eastAsia="Arial" w:hAnsi="Arial" w:cs="Arial"/>
          <w:b/>
          <w:bCs/>
          <w:color w:val="2E75B6"/>
          <w:sz w:val="26"/>
          <w:szCs w:val="26"/>
        </w:rPr>
        <w:t>6.5 Conclusion</w:t>
      </w:r>
    </w:p>
    <w:p w14:paraId="5E4ACFFD" w14:textId="5615336E" w:rsidR="00C75175" w:rsidRDefault="00000000">
      <w:pPr>
        <w:spacing w:before="80" w:after="80" w:line="360" w:lineRule="auto"/>
        <w:jc w:val="both"/>
      </w:pPr>
      <w:r>
        <w:rPr>
          <w:rFonts w:ascii="Arial" w:eastAsia="Arial" w:hAnsi="Arial" w:cs="Arial"/>
          <w:sz w:val="24"/>
          <w:szCs w:val="24"/>
        </w:rPr>
        <w:t xml:space="preserve">This assignment has significantly deepened my understanding of the </w:t>
      </w:r>
      <w:proofErr w:type="spellStart"/>
      <w:r>
        <w:rPr>
          <w:rFonts w:ascii="Arial" w:eastAsia="Arial" w:hAnsi="Arial" w:cs="Arial"/>
          <w:sz w:val="24"/>
          <w:szCs w:val="24"/>
        </w:rPr>
        <w:t>multi</w:t>
      </w:r>
      <w:r w:rsidR="001F618E">
        <w:t xml:space="preserve"> </w:t>
      </w:r>
      <w:r>
        <w:rPr>
          <w:rFonts w:ascii="Arial" w:eastAsia="Arial" w:hAnsi="Arial" w:cs="Arial"/>
          <w:sz w:val="24"/>
          <w:szCs w:val="24"/>
        </w:rPr>
        <w:t>dimensional</w:t>
      </w:r>
      <w:proofErr w:type="spellEnd"/>
      <w:r>
        <w:rPr>
          <w:rFonts w:ascii="Arial" w:eastAsia="Arial" w:hAnsi="Arial" w:cs="Arial"/>
          <w:sz w:val="24"/>
          <w:szCs w:val="24"/>
        </w:rPr>
        <w:t xml:space="preserve"> complexity of international business strategy in emerging markets. </w:t>
      </w:r>
      <w:r>
        <w:rPr>
          <w:rFonts w:ascii="Arial" w:eastAsia="Arial" w:hAnsi="Arial" w:cs="Arial"/>
          <w:sz w:val="24"/>
          <w:szCs w:val="24"/>
        </w:rPr>
        <w:lastRenderedPageBreak/>
        <w:t xml:space="preserve">The Indian automotive industry case demonstrates how macroeconomic growth, demographic shifts, government industrial policy, technological disruption, cultural dynamics, and intense competitive rivalry interact to create simultaneously extraordinary opportunities and formidable challenges for global MNCs. </w:t>
      </w:r>
    </w:p>
    <w:p w14:paraId="771A062E" w14:textId="77777777" w:rsidR="00C75175" w:rsidRDefault="00C75175"/>
    <w:p w14:paraId="3C6C1AC8" w14:textId="5CDFC919" w:rsidR="00C75175" w:rsidRDefault="00000000">
      <w:pPr>
        <w:spacing w:before="80" w:after="80" w:line="360" w:lineRule="auto"/>
        <w:jc w:val="both"/>
      </w:pPr>
      <w:r>
        <w:rPr>
          <w:rFonts w:ascii="Arial" w:eastAsia="Arial" w:hAnsi="Arial" w:cs="Arial"/>
          <w:sz w:val="24"/>
          <w:szCs w:val="24"/>
        </w:rPr>
        <w:t xml:space="preserve">I have developed a deeper appreciation that rigorous international business analysis requires not only theoretical fluency but also the ability to synthesise diverse, sometimes contradictory evidence streams across sources of varying quality and recency into a coherent, </w:t>
      </w:r>
      <w:proofErr w:type="gramStart"/>
      <w:r>
        <w:rPr>
          <w:rFonts w:ascii="Arial" w:eastAsia="Arial" w:hAnsi="Arial" w:cs="Arial"/>
          <w:sz w:val="24"/>
          <w:szCs w:val="24"/>
        </w:rPr>
        <w:t>evidence</w:t>
      </w:r>
      <w:r w:rsidR="00E13F21">
        <w:t xml:space="preserve"> </w:t>
      </w:r>
      <w:r>
        <w:rPr>
          <w:rFonts w:ascii="Arial" w:eastAsia="Arial" w:hAnsi="Arial" w:cs="Arial"/>
          <w:sz w:val="24"/>
          <w:szCs w:val="24"/>
        </w:rPr>
        <w:t>based</w:t>
      </w:r>
      <w:proofErr w:type="gramEnd"/>
      <w:r>
        <w:rPr>
          <w:rFonts w:ascii="Arial" w:eastAsia="Arial" w:hAnsi="Arial" w:cs="Arial"/>
          <w:sz w:val="24"/>
          <w:szCs w:val="24"/>
        </w:rPr>
        <w:t xml:space="preserve"> narrative. The iterative writing process, in which later research findings prompted revisions of earlier sections, reflects the recursive and </w:t>
      </w:r>
      <w:proofErr w:type="spellStart"/>
      <w:proofErr w:type="gramStart"/>
      <w:r>
        <w:rPr>
          <w:rFonts w:ascii="Arial" w:eastAsia="Arial" w:hAnsi="Arial" w:cs="Arial"/>
          <w:sz w:val="24"/>
          <w:szCs w:val="24"/>
        </w:rPr>
        <w:t>non</w:t>
      </w:r>
      <w:r w:rsidR="00E13F21">
        <w:t xml:space="preserve"> </w:t>
      </w:r>
      <w:r>
        <w:rPr>
          <w:rFonts w:ascii="Arial" w:eastAsia="Arial" w:hAnsi="Arial" w:cs="Arial"/>
          <w:sz w:val="24"/>
          <w:szCs w:val="24"/>
        </w:rPr>
        <w:t>linear</w:t>
      </w:r>
      <w:proofErr w:type="spellEnd"/>
      <w:proofErr w:type="gramEnd"/>
      <w:r>
        <w:rPr>
          <w:rFonts w:ascii="Arial" w:eastAsia="Arial" w:hAnsi="Arial" w:cs="Arial"/>
          <w:sz w:val="24"/>
          <w:szCs w:val="24"/>
        </w:rPr>
        <w:t xml:space="preserve"> nature of genuine strategic analysis: a lesson of direct relevance to my future professional practice as a manager navigating complex, evolving business environments.</w:t>
      </w:r>
    </w:p>
    <w:p w14:paraId="1A4C3F1A" w14:textId="77777777" w:rsidR="00C75175" w:rsidRDefault="00C75175"/>
    <w:p w14:paraId="7A1D971E" w14:textId="77777777" w:rsidR="00C75175" w:rsidRDefault="00000000">
      <w:pPr>
        <w:pStyle w:val="Heading2"/>
      </w:pPr>
      <w:r>
        <w:rPr>
          <w:rFonts w:ascii="Arial" w:eastAsia="Arial" w:hAnsi="Arial" w:cs="Arial"/>
          <w:b/>
          <w:bCs/>
          <w:color w:val="2E75B6"/>
          <w:sz w:val="26"/>
          <w:szCs w:val="26"/>
        </w:rPr>
        <w:t>6.6 Action Plan</w:t>
      </w:r>
    </w:p>
    <w:p w14:paraId="5C3B4F76" w14:textId="7062309B" w:rsidR="00C75175" w:rsidRDefault="00000000">
      <w:pPr>
        <w:spacing w:before="80" w:after="80" w:line="360" w:lineRule="auto"/>
        <w:jc w:val="both"/>
      </w:pPr>
      <w:r>
        <w:rPr>
          <w:rFonts w:ascii="Arial" w:eastAsia="Arial" w:hAnsi="Arial" w:cs="Arial"/>
          <w:sz w:val="24"/>
          <w:szCs w:val="24"/>
        </w:rPr>
        <w:t>Drawing on this reflective evaluation, I identify four concrete actions for my future professional and academic development. First, I will deepen my engagement with dynamic capabilities theory to complement static competitive analysis tools like Porter's Diamond, particularly for industries undergoing rapid technological disruption. Second, I will invest in developing a more systematic approach to data triangulation and source quality assessment when working with market research data from multiple providers offering differing estimates. Third, I intend to engage more deeply with the cultural dimensions of international business strategy by undertaking focused reading of Trompenaars and Hampden</w:t>
      </w:r>
      <w:r w:rsidR="00E13F21">
        <w:t xml:space="preserve"> </w:t>
      </w:r>
      <w:r>
        <w:rPr>
          <w:rFonts w:ascii="Arial" w:eastAsia="Arial" w:hAnsi="Arial" w:cs="Arial"/>
          <w:sz w:val="24"/>
          <w:szCs w:val="24"/>
        </w:rPr>
        <w:t>Turner (1997) alongside Hofstede (1980), and by analysing case studies of Korean and Japanese MNCs' cultural adaptation strategies across other emerging markets. Fourth, I will practise the professional discipline of managing analytical scope within tight constraints delivering evidence-based, critically rigorous analysis concisely and without sacrificing depth a skill directly relevant to effective communication in senior professional roles in international business.</w:t>
      </w:r>
    </w:p>
    <w:p w14:paraId="6A643B8E" w14:textId="77777777" w:rsidR="00C75175" w:rsidRDefault="00C75175"/>
    <w:p w14:paraId="224DA0B0" w14:textId="77777777" w:rsidR="00C75175" w:rsidRDefault="00000000">
      <w:r>
        <w:br w:type="page"/>
      </w:r>
    </w:p>
    <w:p w14:paraId="171A3B35" w14:textId="77777777" w:rsidR="00C75175" w:rsidRDefault="00000000">
      <w:pPr>
        <w:pStyle w:val="Heading1"/>
      </w:pPr>
      <w:r>
        <w:rPr>
          <w:rFonts w:ascii="Arial" w:eastAsia="Arial" w:hAnsi="Arial" w:cs="Arial"/>
          <w:b/>
          <w:bCs/>
          <w:color w:val="1F4E79"/>
          <w:sz w:val="32"/>
          <w:szCs w:val="32"/>
        </w:rPr>
        <w:lastRenderedPageBreak/>
        <w:t>References</w:t>
      </w:r>
    </w:p>
    <w:p w14:paraId="645E2DBA" w14:textId="5CF175B2" w:rsidR="00C75175" w:rsidRDefault="00000000">
      <w:pPr>
        <w:spacing w:before="80" w:after="80" w:line="360" w:lineRule="auto"/>
        <w:jc w:val="both"/>
      </w:pPr>
      <w:r>
        <w:rPr>
          <w:rFonts w:ascii="Arial" w:eastAsia="Arial" w:hAnsi="Arial" w:cs="Arial"/>
          <w:sz w:val="24"/>
          <w:szCs w:val="24"/>
        </w:rPr>
        <w:t xml:space="preserve">Autocar Professional (2024) 'Hyundai Motor India share of global sales at its highest now: 15%', Autocar Professional [Online]. Available at: https://www.autocarpro.in (Accessed: </w:t>
      </w:r>
      <w:r w:rsidR="00366F19">
        <w:rPr>
          <w:rFonts w:ascii="Arial" w:eastAsia="Arial" w:hAnsi="Arial" w:cs="Arial"/>
          <w:sz w:val="24"/>
          <w:szCs w:val="24"/>
        </w:rPr>
        <w:t>10</w:t>
      </w:r>
      <w:r>
        <w:rPr>
          <w:rFonts w:ascii="Arial" w:eastAsia="Arial" w:hAnsi="Arial" w:cs="Arial"/>
          <w:sz w:val="24"/>
          <w:szCs w:val="24"/>
        </w:rPr>
        <w:t xml:space="preserve"> April 2026).</w:t>
      </w:r>
    </w:p>
    <w:p w14:paraId="0C0D31BC" w14:textId="77777777" w:rsidR="00C75175" w:rsidRDefault="00C75175"/>
    <w:p w14:paraId="7139A1C1" w14:textId="0C97E511" w:rsidR="00C75175" w:rsidRDefault="00000000">
      <w:pPr>
        <w:spacing w:before="80" w:after="80" w:line="360" w:lineRule="auto"/>
        <w:jc w:val="both"/>
      </w:pPr>
      <w:r>
        <w:rPr>
          <w:rFonts w:ascii="Arial" w:eastAsia="Arial" w:hAnsi="Arial" w:cs="Arial"/>
          <w:sz w:val="24"/>
          <w:szCs w:val="24"/>
        </w:rPr>
        <w:t xml:space="preserve">Autocar Professional (2025) 'Hyundai Motor India share of global sales jumps to 14.61% in 2024', Autocar Professional [Online]. Available at: https://www.autocarpro.in (Accessed: </w:t>
      </w:r>
      <w:r w:rsidR="00366F19">
        <w:rPr>
          <w:rFonts w:ascii="Arial" w:eastAsia="Arial" w:hAnsi="Arial" w:cs="Arial"/>
          <w:sz w:val="24"/>
          <w:szCs w:val="24"/>
        </w:rPr>
        <w:t>10</w:t>
      </w:r>
      <w:r>
        <w:rPr>
          <w:rFonts w:ascii="Arial" w:eastAsia="Arial" w:hAnsi="Arial" w:cs="Arial"/>
          <w:sz w:val="24"/>
          <w:szCs w:val="24"/>
        </w:rPr>
        <w:t xml:space="preserve"> April 2026).</w:t>
      </w:r>
    </w:p>
    <w:p w14:paraId="4AFF6C9D" w14:textId="77777777" w:rsidR="00C75175" w:rsidRDefault="00C75175"/>
    <w:p w14:paraId="43F6947B" w14:textId="6257791B" w:rsidR="00C75175" w:rsidRDefault="00000000">
      <w:pPr>
        <w:spacing w:before="80" w:after="80" w:line="360" w:lineRule="auto"/>
        <w:jc w:val="both"/>
      </w:pPr>
      <w:r>
        <w:rPr>
          <w:rFonts w:ascii="Arial" w:eastAsia="Arial" w:hAnsi="Arial" w:cs="Arial"/>
          <w:sz w:val="24"/>
          <w:szCs w:val="24"/>
        </w:rPr>
        <w:t xml:space="preserve">Custom Market Insights (2026) India Automotive Market Size, Trends, Share, Forecast 2033 [Online]. Available at: https://www.custommarketinsights.com/report/india-automotive-market/ (Accessed: </w:t>
      </w:r>
      <w:r w:rsidR="00B6397A">
        <w:rPr>
          <w:rFonts w:ascii="Arial" w:eastAsia="Arial" w:hAnsi="Arial" w:cs="Arial"/>
          <w:sz w:val="24"/>
          <w:szCs w:val="24"/>
        </w:rPr>
        <w:t>10</w:t>
      </w:r>
      <w:r>
        <w:rPr>
          <w:rFonts w:ascii="Arial" w:eastAsia="Arial" w:hAnsi="Arial" w:cs="Arial"/>
          <w:sz w:val="24"/>
          <w:szCs w:val="24"/>
        </w:rPr>
        <w:t xml:space="preserve"> April 2026).</w:t>
      </w:r>
    </w:p>
    <w:p w14:paraId="65AB1D88" w14:textId="77777777" w:rsidR="00C75175" w:rsidRDefault="00C75175"/>
    <w:p w14:paraId="7098C4FE" w14:textId="2F8EEE86" w:rsidR="00C75175" w:rsidRDefault="00000000">
      <w:pPr>
        <w:spacing w:before="80" w:after="80" w:line="360" w:lineRule="auto"/>
        <w:jc w:val="both"/>
      </w:pPr>
      <w:r>
        <w:rPr>
          <w:rFonts w:ascii="Arial" w:eastAsia="Arial" w:hAnsi="Arial" w:cs="Arial"/>
          <w:sz w:val="24"/>
          <w:szCs w:val="24"/>
        </w:rPr>
        <w:t xml:space="preserve">Dixit, S. and Joshi, M. (2011) 'Enhancing competitiveness of the Indian automobile industry: a study using Porter's Diamond Model', Management &amp; Change, 15(1&amp;2), pp. 1–18. Available at: https://ssrn.com/abstract=1977444 (Accessed: </w:t>
      </w:r>
      <w:r w:rsidR="00B6397A">
        <w:rPr>
          <w:rFonts w:ascii="Arial" w:eastAsia="Arial" w:hAnsi="Arial" w:cs="Arial"/>
          <w:sz w:val="24"/>
          <w:szCs w:val="24"/>
        </w:rPr>
        <w:t>15</w:t>
      </w:r>
      <w:r>
        <w:rPr>
          <w:rFonts w:ascii="Arial" w:eastAsia="Arial" w:hAnsi="Arial" w:cs="Arial"/>
          <w:sz w:val="24"/>
          <w:szCs w:val="24"/>
        </w:rPr>
        <w:t xml:space="preserve"> April 2026).</w:t>
      </w:r>
    </w:p>
    <w:p w14:paraId="2FCA3544" w14:textId="77777777" w:rsidR="00C75175" w:rsidRDefault="00C75175"/>
    <w:p w14:paraId="7B6A483E" w14:textId="196146B3" w:rsidR="00C75175" w:rsidRDefault="00000000">
      <w:pPr>
        <w:spacing w:before="80" w:after="80" w:line="360" w:lineRule="auto"/>
        <w:jc w:val="both"/>
      </w:pPr>
      <w:r>
        <w:rPr>
          <w:rFonts w:ascii="Arial" w:eastAsia="Arial" w:hAnsi="Arial" w:cs="Arial"/>
          <w:sz w:val="24"/>
          <w:szCs w:val="24"/>
        </w:rPr>
        <w:t>Dunning, J.H. (1980) 'Toward an eclectic theory of international production: some empirical tests', Journal of International Business Studies, 11(1), pp. 9–31. https://doi.org/10.1057/palgrave.jibs.8490593</w:t>
      </w:r>
      <w:r w:rsidR="00B6397A">
        <w:rPr>
          <w:rFonts w:ascii="Arial" w:eastAsia="Arial" w:hAnsi="Arial" w:cs="Arial"/>
          <w:sz w:val="24"/>
          <w:szCs w:val="24"/>
        </w:rPr>
        <w:t>(Accessed: 10 April 2026)</w:t>
      </w:r>
    </w:p>
    <w:p w14:paraId="37626ADC" w14:textId="77777777" w:rsidR="00C75175" w:rsidRDefault="00C75175"/>
    <w:p w14:paraId="55AA48F8" w14:textId="514509D1" w:rsidR="00C75175" w:rsidRDefault="00000000">
      <w:pPr>
        <w:spacing w:before="80" w:after="80" w:line="360" w:lineRule="auto"/>
        <w:jc w:val="both"/>
      </w:pPr>
      <w:proofErr w:type="spellStart"/>
      <w:r>
        <w:rPr>
          <w:rFonts w:ascii="Arial" w:eastAsia="Arial" w:hAnsi="Arial" w:cs="Arial"/>
          <w:sz w:val="24"/>
          <w:szCs w:val="24"/>
        </w:rPr>
        <w:t>FactoData</w:t>
      </w:r>
      <w:proofErr w:type="spellEnd"/>
      <w:r>
        <w:rPr>
          <w:rFonts w:ascii="Arial" w:eastAsia="Arial" w:hAnsi="Arial" w:cs="Arial"/>
          <w:sz w:val="24"/>
          <w:szCs w:val="24"/>
        </w:rPr>
        <w:t xml:space="preserve"> (2025) Car Market Share in India, 2025: An Overview [Online]. Available at: https://factodata.com/car-market-share-in-india-2025-an-overview/ (Accessed: 2</w:t>
      </w:r>
      <w:r w:rsidR="00B6397A">
        <w:rPr>
          <w:rFonts w:ascii="Arial" w:eastAsia="Arial" w:hAnsi="Arial" w:cs="Arial"/>
          <w:sz w:val="24"/>
          <w:szCs w:val="24"/>
        </w:rPr>
        <w:t>0</w:t>
      </w:r>
      <w:r>
        <w:rPr>
          <w:rFonts w:ascii="Arial" w:eastAsia="Arial" w:hAnsi="Arial" w:cs="Arial"/>
          <w:sz w:val="24"/>
          <w:szCs w:val="24"/>
        </w:rPr>
        <w:t xml:space="preserve"> April 2026).</w:t>
      </w:r>
    </w:p>
    <w:p w14:paraId="00BE4424" w14:textId="77777777" w:rsidR="00C75175" w:rsidRDefault="00C75175"/>
    <w:p w14:paraId="1E48B7BA" w14:textId="055A0D6C" w:rsidR="00C75175" w:rsidRDefault="00000000">
      <w:pPr>
        <w:spacing w:before="80" w:after="80" w:line="360" w:lineRule="auto"/>
        <w:jc w:val="both"/>
      </w:pPr>
      <w:r>
        <w:rPr>
          <w:rFonts w:ascii="Arial" w:eastAsia="Arial" w:hAnsi="Arial" w:cs="Arial"/>
          <w:sz w:val="24"/>
          <w:szCs w:val="24"/>
        </w:rPr>
        <w:t>Gibbs, G. (1988) Learning by Doing: A Guide to Teaching and Learning Methods. Oxford: Further Education Unit, Oxford Polytechnic.</w:t>
      </w:r>
      <w:r w:rsidR="00B6397A" w:rsidRPr="00B6397A">
        <w:rPr>
          <w:rFonts w:ascii="Arial" w:eastAsia="Arial" w:hAnsi="Arial" w:cs="Arial"/>
          <w:sz w:val="24"/>
          <w:szCs w:val="24"/>
        </w:rPr>
        <w:t xml:space="preserve"> </w:t>
      </w:r>
      <w:r w:rsidR="00B6397A">
        <w:rPr>
          <w:rFonts w:ascii="Arial" w:eastAsia="Arial" w:hAnsi="Arial" w:cs="Arial"/>
          <w:sz w:val="24"/>
          <w:szCs w:val="24"/>
        </w:rPr>
        <w:t>(Accessed: 10 April 2026)</w:t>
      </w:r>
    </w:p>
    <w:p w14:paraId="66BD1936" w14:textId="77777777" w:rsidR="00C75175" w:rsidRDefault="00C75175"/>
    <w:p w14:paraId="7F7D0C42" w14:textId="22D82BC3" w:rsidR="00C75175" w:rsidRDefault="00000000">
      <w:pPr>
        <w:spacing w:before="80" w:after="80" w:line="360" w:lineRule="auto"/>
        <w:jc w:val="both"/>
      </w:pPr>
      <w:r>
        <w:rPr>
          <w:rFonts w:ascii="Arial" w:eastAsia="Arial" w:hAnsi="Arial" w:cs="Arial"/>
          <w:sz w:val="24"/>
          <w:szCs w:val="24"/>
        </w:rPr>
        <w:lastRenderedPageBreak/>
        <w:t>Grand View Research (2025) India Automotive Market Size &amp; Share | Industry Report, 2030 [Online]. Available at: https://www.grandviewresearch.com/industry-analysis/india-automotive-market (Accessed: 2</w:t>
      </w:r>
      <w:r w:rsidR="00B6397A">
        <w:rPr>
          <w:rFonts w:ascii="Arial" w:eastAsia="Arial" w:hAnsi="Arial" w:cs="Arial"/>
          <w:sz w:val="24"/>
          <w:szCs w:val="24"/>
        </w:rPr>
        <w:t>0</w:t>
      </w:r>
      <w:r>
        <w:rPr>
          <w:rFonts w:ascii="Arial" w:eastAsia="Arial" w:hAnsi="Arial" w:cs="Arial"/>
          <w:sz w:val="24"/>
          <w:szCs w:val="24"/>
        </w:rPr>
        <w:t xml:space="preserve"> April 2026).</w:t>
      </w:r>
    </w:p>
    <w:p w14:paraId="7B4C4E30" w14:textId="77777777" w:rsidR="00C75175" w:rsidRDefault="00C75175"/>
    <w:p w14:paraId="39607E59" w14:textId="082363F2" w:rsidR="00C75175" w:rsidRDefault="00000000">
      <w:pPr>
        <w:spacing w:before="80" w:after="80" w:line="360" w:lineRule="auto"/>
        <w:jc w:val="both"/>
      </w:pPr>
      <w:proofErr w:type="spellStart"/>
      <w:r>
        <w:rPr>
          <w:rFonts w:ascii="Arial" w:eastAsia="Arial" w:hAnsi="Arial" w:cs="Arial"/>
          <w:sz w:val="24"/>
          <w:szCs w:val="24"/>
        </w:rPr>
        <w:t>Hivelr</w:t>
      </w:r>
      <w:proofErr w:type="spellEnd"/>
      <w:r>
        <w:rPr>
          <w:rFonts w:ascii="Arial" w:eastAsia="Arial" w:hAnsi="Arial" w:cs="Arial"/>
          <w:sz w:val="24"/>
          <w:szCs w:val="24"/>
        </w:rPr>
        <w:t xml:space="preserve"> (2024) 'India: Porter's Diamond Model – The Competitive Advantage of Nations', </w:t>
      </w:r>
      <w:proofErr w:type="spellStart"/>
      <w:r>
        <w:rPr>
          <w:rFonts w:ascii="Arial" w:eastAsia="Arial" w:hAnsi="Arial" w:cs="Arial"/>
          <w:sz w:val="24"/>
          <w:szCs w:val="24"/>
        </w:rPr>
        <w:t>Hivelr</w:t>
      </w:r>
      <w:proofErr w:type="spellEnd"/>
      <w:r>
        <w:rPr>
          <w:rFonts w:ascii="Arial" w:eastAsia="Arial" w:hAnsi="Arial" w:cs="Arial"/>
          <w:sz w:val="24"/>
          <w:szCs w:val="24"/>
        </w:rPr>
        <w:t xml:space="preserve"> [Online]. Available at: https://www.hivelr.com/2024/02/india-porters-diamond-model-the-competitive-advantage-of-nations/ (Accessed: 2</w:t>
      </w:r>
      <w:r w:rsidR="00B6397A">
        <w:rPr>
          <w:rFonts w:ascii="Arial" w:eastAsia="Arial" w:hAnsi="Arial" w:cs="Arial"/>
          <w:sz w:val="24"/>
          <w:szCs w:val="24"/>
        </w:rPr>
        <w:t xml:space="preserve">0 </w:t>
      </w:r>
      <w:r>
        <w:rPr>
          <w:rFonts w:ascii="Arial" w:eastAsia="Arial" w:hAnsi="Arial" w:cs="Arial"/>
          <w:sz w:val="24"/>
          <w:szCs w:val="24"/>
        </w:rPr>
        <w:t>April 2026).</w:t>
      </w:r>
    </w:p>
    <w:p w14:paraId="45DC005C" w14:textId="77777777" w:rsidR="00C75175" w:rsidRDefault="00C75175"/>
    <w:p w14:paraId="6B934785" w14:textId="02766C24" w:rsidR="00B6397A" w:rsidRDefault="00000000" w:rsidP="00B6397A">
      <w:pPr>
        <w:spacing w:before="80" w:after="80" w:line="360" w:lineRule="auto"/>
        <w:jc w:val="both"/>
      </w:pPr>
      <w:r>
        <w:rPr>
          <w:rFonts w:ascii="Arial" w:eastAsia="Arial" w:hAnsi="Arial" w:cs="Arial"/>
          <w:sz w:val="24"/>
          <w:szCs w:val="24"/>
        </w:rPr>
        <w:t>Hofstede, G. (1980) Culture's Consequences: International Differences in Work-Related Values. Beverly Hills, CA: Sage Publications.</w:t>
      </w:r>
      <w:r w:rsidR="00B6397A" w:rsidRPr="00B6397A">
        <w:rPr>
          <w:rFonts w:ascii="Arial" w:eastAsia="Arial" w:hAnsi="Arial" w:cs="Arial"/>
          <w:sz w:val="24"/>
          <w:szCs w:val="24"/>
        </w:rPr>
        <w:t xml:space="preserve"> </w:t>
      </w:r>
      <w:r w:rsidR="00B6397A">
        <w:rPr>
          <w:rFonts w:ascii="Arial" w:eastAsia="Arial" w:hAnsi="Arial" w:cs="Arial"/>
          <w:sz w:val="24"/>
          <w:szCs w:val="24"/>
        </w:rPr>
        <w:t>(Accessed: 20 April 2026).</w:t>
      </w:r>
    </w:p>
    <w:p w14:paraId="2406B612" w14:textId="0C2BAC1C" w:rsidR="00C75175" w:rsidRDefault="00C75175">
      <w:pPr>
        <w:spacing w:before="80" w:after="80" w:line="360" w:lineRule="auto"/>
        <w:jc w:val="both"/>
      </w:pPr>
    </w:p>
    <w:p w14:paraId="3083928D" w14:textId="77777777" w:rsidR="00C75175" w:rsidRDefault="00C75175"/>
    <w:p w14:paraId="429A0609" w14:textId="7F6C112D" w:rsidR="00C75175" w:rsidRDefault="00000000">
      <w:pPr>
        <w:spacing w:before="80" w:after="80" w:line="360" w:lineRule="auto"/>
        <w:jc w:val="both"/>
      </w:pPr>
      <w:r>
        <w:rPr>
          <w:rFonts w:ascii="Arial" w:eastAsia="Arial" w:hAnsi="Arial" w:cs="Arial"/>
          <w:sz w:val="24"/>
          <w:szCs w:val="24"/>
        </w:rPr>
        <w:t>Hyundai Motor Group (2025) 'Hyundai Motor Group's sincere approach touches the hearts of 1.4 billion Indians' [Online]. Available at: https://www.hyundaimotorgroup.com/en/story/CONT0000000000173119 (Accessed: 2</w:t>
      </w:r>
      <w:r w:rsidR="00B6397A">
        <w:rPr>
          <w:rFonts w:ascii="Arial" w:eastAsia="Arial" w:hAnsi="Arial" w:cs="Arial"/>
          <w:sz w:val="24"/>
          <w:szCs w:val="24"/>
        </w:rPr>
        <w:t>0</w:t>
      </w:r>
      <w:r>
        <w:rPr>
          <w:rFonts w:ascii="Arial" w:eastAsia="Arial" w:hAnsi="Arial" w:cs="Arial"/>
          <w:sz w:val="24"/>
          <w:szCs w:val="24"/>
        </w:rPr>
        <w:t xml:space="preserve"> April 2026).</w:t>
      </w:r>
    </w:p>
    <w:p w14:paraId="29E666CE" w14:textId="77777777" w:rsidR="00C75175" w:rsidRDefault="00C75175"/>
    <w:p w14:paraId="0702B705" w14:textId="5ACCF544" w:rsidR="00C75175" w:rsidRDefault="00000000">
      <w:pPr>
        <w:spacing w:before="80" w:after="80" w:line="360" w:lineRule="auto"/>
        <w:jc w:val="both"/>
      </w:pPr>
      <w:r>
        <w:rPr>
          <w:rFonts w:ascii="Arial" w:eastAsia="Arial" w:hAnsi="Arial" w:cs="Arial"/>
          <w:sz w:val="24"/>
          <w:szCs w:val="24"/>
        </w:rPr>
        <w:t>India Brand Equity Foundation (IBEF) (2025) India's Automobile Industry: Growth &amp; Trends [Online]. Available at: https://www.ibef.org/industry/india-automobiles (Accessed: 2</w:t>
      </w:r>
      <w:r w:rsidR="00B6397A">
        <w:rPr>
          <w:rFonts w:ascii="Arial" w:eastAsia="Arial" w:hAnsi="Arial" w:cs="Arial"/>
          <w:sz w:val="24"/>
          <w:szCs w:val="24"/>
        </w:rPr>
        <w:t>0</w:t>
      </w:r>
      <w:r>
        <w:rPr>
          <w:rFonts w:ascii="Arial" w:eastAsia="Arial" w:hAnsi="Arial" w:cs="Arial"/>
          <w:sz w:val="24"/>
          <w:szCs w:val="24"/>
        </w:rPr>
        <w:t xml:space="preserve"> April 2026).</w:t>
      </w:r>
    </w:p>
    <w:p w14:paraId="0E33E78D" w14:textId="77777777" w:rsidR="00C75175" w:rsidRDefault="00C75175"/>
    <w:p w14:paraId="7846D08E" w14:textId="0CEB8948" w:rsidR="00C75175" w:rsidRDefault="00000000">
      <w:pPr>
        <w:spacing w:before="80" w:after="80" w:line="360" w:lineRule="auto"/>
        <w:jc w:val="both"/>
      </w:pPr>
      <w:r>
        <w:rPr>
          <w:rFonts w:ascii="Arial" w:eastAsia="Arial" w:hAnsi="Arial" w:cs="Arial"/>
          <w:sz w:val="24"/>
          <w:szCs w:val="24"/>
        </w:rPr>
        <w:t>Invest India (2025) Investment Opportunities in Automobile [Online]. Available at: https://www.investindia.gov.in/sector/automobile (Accessed: 2</w:t>
      </w:r>
      <w:r w:rsidR="00B6397A">
        <w:rPr>
          <w:rFonts w:ascii="Arial" w:eastAsia="Arial" w:hAnsi="Arial" w:cs="Arial"/>
          <w:sz w:val="24"/>
          <w:szCs w:val="24"/>
        </w:rPr>
        <w:t xml:space="preserve">0 </w:t>
      </w:r>
      <w:r>
        <w:rPr>
          <w:rFonts w:ascii="Arial" w:eastAsia="Arial" w:hAnsi="Arial" w:cs="Arial"/>
          <w:sz w:val="24"/>
          <w:szCs w:val="24"/>
        </w:rPr>
        <w:t>April 2026).</w:t>
      </w:r>
    </w:p>
    <w:p w14:paraId="4FBBCA9A" w14:textId="77777777" w:rsidR="00C75175" w:rsidRDefault="00C75175"/>
    <w:p w14:paraId="725848E3" w14:textId="3091040A" w:rsidR="00C75175" w:rsidRDefault="00000000">
      <w:pPr>
        <w:spacing w:before="80" w:after="80" w:line="360" w:lineRule="auto"/>
        <w:jc w:val="both"/>
      </w:pPr>
      <w:r>
        <w:rPr>
          <w:rFonts w:ascii="Arial" w:eastAsia="Arial" w:hAnsi="Arial" w:cs="Arial"/>
          <w:sz w:val="24"/>
          <w:szCs w:val="24"/>
        </w:rPr>
        <w:t>Korea Herald (2025) 'Why India has become Hyundai's most important battleground', The Korea Herald, 24 November [Online]. Available at: https://www.koreaherald.com/article/10622440 (Accessed: 2</w:t>
      </w:r>
      <w:r w:rsidR="00B6397A">
        <w:rPr>
          <w:rFonts w:ascii="Arial" w:eastAsia="Arial" w:hAnsi="Arial" w:cs="Arial"/>
          <w:sz w:val="24"/>
          <w:szCs w:val="24"/>
        </w:rPr>
        <w:t>0</w:t>
      </w:r>
      <w:r>
        <w:rPr>
          <w:rFonts w:ascii="Arial" w:eastAsia="Arial" w:hAnsi="Arial" w:cs="Arial"/>
          <w:sz w:val="24"/>
          <w:szCs w:val="24"/>
        </w:rPr>
        <w:t xml:space="preserve"> April 2026).</w:t>
      </w:r>
    </w:p>
    <w:p w14:paraId="3FF12F97" w14:textId="77777777" w:rsidR="00C75175" w:rsidRDefault="00C75175"/>
    <w:p w14:paraId="22BB88E7" w14:textId="3487E281" w:rsidR="00C75175" w:rsidRDefault="00000000">
      <w:pPr>
        <w:spacing w:before="80" w:after="80" w:line="360" w:lineRule="auto"/>
        <w:jc w:val="both"/>
      </w:pPr>
      <w:r>
        <w:rPr>
          <w:rFonts w:ascii="Arial" w:eastAsia="Arial" w:hAnsi="Arial" w:cs="Arial"/>
          <w:sz w:val="24"/>
          <w:szCs w:val="24"/>
        </w:rPr>
        <w:lastRenderedPageBreak/>
        <w:t xml:space="preserve">Kotak Neo (2025) 'Hyundai Motor India: Sales, History, and Future Growth Prospects', Kotak Neo [Online]. Available at: https://www.kotakneo.com/investing-guide/ipos/hyundai-motor-india-sales-history/ (Accessed: </w:t>
      </w:r>
      <w:r w:rsidR="00B6397A">
        <w:rPr>
          <w:rFonts w:ascii="Arial" w:eastAsia="Arial" w:hAnsi="Arial" w:cs="Arial"/>
          <w:sz w:val="24"/>
          <w:szCs w:val="24"/>
        </w:rPr>
        <w:t>24</w:t>
      </w:r>
      <w:r>
        <w:rPr>
          <w:rFonts w:ascii="Arial" w:eastAsia="Arial" w:hAnsi="Arial" w:cs="Arial"/>
          <w:sz w:val="24"/>
          <w:szCs w:val="24"/>
        </w:rPr>
        <w:t xml:space="preserve"> April 2026).</w:t>
      </w:r>
    </w:p>
    <w:p w14:paraId="0F7FBF9E" w14:textId="77777777" w:rsidR="00C75175" w:rsidRDefault="00C75175"/>
    <w:p w14:paraId="32E6BEA1" w14:textId="69374A15" w:rsidR="00C75175" w:rsidRDefault="00000000">
      <w:pPr>
        <w:spacing w:before="80" w:after="80" w:line="360" w:lineRule="auto"/>
        <w:jc w:val="both"/>
      </w:pPr>
      <w:r>
        <w:rPr>
          <w:rFonts w:ascii="Arial" w:eastAsia="Arial" w:hAnsi="Arial" w:cs="Arial"/>
          <w:sz w:val="24"/>
          <w:szCs w:val="24"/>
        </w:rPr>
        <w:t>Market Research Future (2025) India Automotive Industry Market Size, Research Report 2035 [Online]. Available at: https://www.marketresearchfuture.com/reports/india-automotive-industry-market-12546 (Accessed: 2</w:t>
      </w:r>
      <w:r w:rsidR="00B6397A">
        <w:rPr>
          <w:rFonts w:ascii="Arial" w:eastAsia="Arial" w:hAnsi="Arial" w:cs="Arial"/>
          <w:sz w:val="24"/>
          <w:szCs w:val="24"/>
        </w:rPr>
        <w:t>4</w:t>
      </w:r>
      <w:r>
        <w:rPr>
          <w:rFonts w:ascii="Arial" w:eastAsia="Arial" w:hAnsi="Arial" w:cs="Arial"/>
          <w:sz w:val="24"/>
          <w:szCs w:val="24"/>
        </w:rPr>
        <w:t xml:space="preserve"> April 2026).</w:t>
      </w:r>
    </w:p>
    <w:p w14:paraId="592C0319" w14:textId="77777777" w:rsidR="00C75175" w:rsidRDefault="00C75175"/>
    <w:p w14:paraId="087FC368" w14:textId="2A95EE60" w:rsidR="00C75175" w:rsidRDefault="00000000">
      <w:pPr>
        <w:spacing w:before="80" w:after="80" w:line="360" w:lineRule="auto"/>
        <w:jc w:val="both"/>
      </w:pPr>
      <w:proofErr w:type="spellStart"/>
      <w:r>
        <w:rPr>
          <w:rFonts w:ascii="Arial" w:eastAsia="Arial" w:hAnsi="Arial" w:cs="Arial"/>
          <w:sz w:val="24"/>
          <w:szCs w:val="24"/>
        </w:rPr>
        <w:t>Marketsandmarkets</w:t>
      </w:r>
      <w:proofErr w:type="spellEnd"/>
      <w:r>
        <w:rPr>
          <w:rFonts w:ascii="Arial" w:eastAsia="Arial" w:hAnsi="Arial" w:cs="Arial"/>
          <w:sz w:val="24"/>
          <w:szCs w:val="24"/>
        </w:rPr>
        <w:t xml:space="preserve"> (2025) Future of Automotive in India Report 2024-2030 [Online]. Available at: https://www.marketsandmarkets.com/Market-Reports/future-automotive-in-india-219650907.html </w:t>
      </w:r>
      <w:r w:rsidR="00B6397A">
        <w:rPr>
          <w:rFonts w:ascii="Arial" w:eastAsia="Arial" w:hAnsi="Arial" w:cs="Arial"/>
          <w:sz w:val="24"/>
          <w:szCs w:val="24"/>
        </w:rPr>
        <w:t>(Accessed: 24 April 2026)</w:t>
      </w:r>
      <w:r>
        <w:rPr>
          <w:rFonts w:ascii="Arial" w:eastAsia="Arial" w:hAnsi="Arial" w:cs="Arial"/>
          <w:sz w:val="24"/>
          <w:szCs w:val="24"/>
        </w:rPr>
        <w:t>.</w:t>
      </w:r>
    </w:p>
    <w:p w14:paraId="287820C9" w14:textId="77777777" w:rsidR="00C75175" w:rsidRDefault="00C75175"/>
    <w:p w14:paraId="238E74BF" w14:textId="745A5F4F" w:rsidR="00C75175" w:rsidRDefault="00000000">
      <w:pPr>
        <w:spacing w:before="80" w:after="80" w:line="360" w:lineRule="auto"/>
        <w:jc w:val="both"/>
      </w:pPr>
      <w:proofErr w:type="spellStart"/>
      <w:r>
        <w:rPr>
          <w:rFonts w:ascii="Arial" w:eastAsia="Arial" w:hAnsi="Arial" w:cs="Arial"/>
          <w:sz w:val="24"/>
          <w:szCs w:val="24"/>
        </w:rPr>
        <w:t>MatrixBCG</w:t>
      </w:r>
      <w:proofErr w:type="spellEnd"/>
      <w:r>
        <w:rPr>
          <w:rFonts w:ascii="Arial" w:eastAsia="Arial" w:hAnsi="Arial" w:cs="Arial"/>
          <w:sz w:val="24"/>
          <w:szCs w:val="24"/>
        </w:rPr>
        <w:t xml:space="preserve"> (2025) PESTLE Analysis of Hyundai Motor [Online]. Available at: https://matrixbcg.com/products/hyundai-pestle-analysis (Accessed: 2</w:t>
      </w:r>
      <w:r w:rsidR="00B6397A">
        <w:rPr>
          <w:rFonts w:ascii="Arial" w:eastAsia="Arial" w:hAnsi="Arial" w:cs="Arial"/>
          <w:sz w:val="24"/>
          <w:szCs w:val="24"/>
        </w:rPr>
        <w:t xml:space="preserve">4 </w:t>
      </w:r>
      <w:r>
        <w:rPr>
          <w:rFonts w:ascii="Arial" w:eastAsia="Arial" w:hAnsi="Arial" w:cs="Arial"/>
          <w:sz w:val="24"/>
          <w:szCs w:val="24"/>
        </w:rPr>
        <w:t>April 2026).</w:t>
      </w:r>
    </w:p>
    <w:p w14:paraId="2B217FEE" w14:textId="77777777" w:rsidR="00C75175" w:rsidRDefault="00C75175"/>
    <w:p w14:paraId="3F359E4F" w14:textId="16DA270D" w:rsidR="00C75175" w:rsidRDefault="00000000">
      <w:pPr>
        <w:spacing w:before="80" w:after="80" w:line="360" w:lineRule="auto"/>
        <w:jc w:val="both"/>
      </w:pPr>
      <w:proofErr w:type="spellStart"/>
      <w:r>
        <w:rPr>
          <w:rFonts w:ascii="Arial" w:eastAsia="Arial" w:hAnsi="Arial" w:cs="Arial"/>
          <w:sz w:val="24"/>
          <w:szCs w:val="24"/>
        </w:rPr>
        <w:t>NextMSC</w:t>
      </w:r>
      <w:proofErr w:type="spellEnd"/>
      <w:r>
        <w:rPr>
          <w:rFonts w:ascii="Arial" w:eastAsia="Arial" w:hAnsi="Arial" w:cs="Arial"/>
          <w:sz w:val="24"/>
          <w:szCs w:val="24"/>
        </w:rPr>
        <w:t xml:space="preserve"> (2025) India Automotive Market Size and Analysis 2024–2030 [Online]. Available at: https://www.nextmsc.com/report/indian-automotive-market (Accessed: 2</w:t>
      </w:r>
      <w:r w:rsidR="00B6397A">
        <w:rPr>
          <w:rFonts w:ascii="Arial" w:eastAsia="Arial" w:hAnsi="Arial" w:cs="Arial"/>
          <w:sz w:val="24"/>
          <w:szCs w:val="24"/>
        </w:rPr>
        <w:t>4</w:t>
      </w:r>
      <w:r>
        <w:rPr>
          <w:rFonts w:ascii="Arial" w:eastAsia="Arial" w:hAnsi="Arial" w:cs="Arial"/>
          <w:sz w:val="24"/>
          <w:szCs w:val="24"/>
        </w:rPr>
        <w:t xml:space="preserve"> April 2026).</w:t>
      </w:r>
    </w:p>
    <w:p w14:paraId="0707162B" w14:textId="77777777" w:rsidR="00C75175" w:rsidRDefault="00C75175"/>
    <w:p w14:paraId="35EA1E74" w14:textId="35498143" w:rsidR="00C75175" w:rsidRDefault="00000000">
      <w:pPr>
        <w:spacing w:before="80" w:after="80" w:line="360" w:lineRule="auto"/>
        <w:jc w:val="both"/>
      </w:pPr>
      <w:r>
        <w:rPr>
          <w:rFonts w:ascii="Arial" w:eastAsia="Arial" w:hAnsi="Arial" w:cs="Arial"/>
          <w:sz w:val="24"/>
          <w:szCs w:val="24"/>
        </w:rPr>
        <w:t>Outlook Business (2025) 'Can Maruti shake off its small-car image to win back market share from Tata, Mahindra and Kia?', Outlook Business, 30 October [Online]. Available at: https://www.outlookbusiness.com (Accessed: 2</w:t>
      </w:r>
      <w:r w:rsidR="00B6397A">
        <w:rPr>
          <w:rFonts w:ascii="Arial" w:eastAsia="Arial" w:hAnsi="Arial" w:cs="Arial"/>
          <w:sz w:val="24"/>
          <w:szCs w:val="24"/>
        </w:rPr>
        <w:t>0</w:t>
      </w:r>
      <w:r>
        <w:rPr>
          <w:rFonts w:ascii="Arial" w:eastAsia="Arial" w:hAnsi="Arial" w:cs="Arial"/>
          <w:sz w:val="24"/>
          <w:szCs w:val="24"/>
        </w:rPr>
        <w:t xml:space="preserve"> April 2026).</w:t>
      </w:r>
    </w:p>
    <w:p w14:paraId="719F0FC5" w14:textId="77777777" w:rsidR="00C75175" w:rsidRDefault="00C75175"/>
    <w:p w14:paraId="7E2CEB47" w14:textId="2E9ADCA4" w:rsidR="00C75175" w:rsidRDefault="00000000">
      <w:pPr>
        <w:spacing w:before="80" w:after="80" w:line="360" w:lineRule="auto"/>
        <w:jc w:val="both"/>
      </w:pPr>
      <w:r>
        <w:rPr>
          <w:rFonts w:ascii="Arial" w:eastAsia="Arial" w:hAnsi="Arial" w:cs="Arial"/>
          <w:sz w:val="24"/>
          <w:szCs w:val="24"/>
        </w:rPr>
        <w:t>Porter, M.E. (1990) The Competitive Advantage of Nations. New York: Free Press.</w:t>
      </w:r>
      <w:r w:rsidR="00B6397A" w:rsidRPr="00B6397A">
        <w:rPr>
          <w:rFonts w:ascii="Arial" w:eastAsia="Arial" w:hAnsi="Arial" w:cs="Arial"/>
          <w:sz w:val="24"/>
          <w:szCs w:val="24"/>
        </w:rPr>
        <w:t xml:space="preserve"> </w:t>
      </w:r>
      <w:r w:rsidR="00B6397A">
        <w:rPr>
          <w:rFonts w:ascii="Arial" w:eastAsia="Arial" w:hAnsi="Arial" w:cs="Arial"/>
          <w:sz w:val="24"/>
          <w:szCs w:val="24"/>
        </w:rPr>
        <w:t>(Accessed: 24 April 2026)</w:t>
      </w:r>
    </w:p>
    <w:p w14:paraId="1C4B0698" w14:textId="77777777" w:rsidR="00C75175" w:rsidRDefault="00C75175"/>
    <w:p w14:paraId="0548BC2E" w14:textId="119F00D2" w:rsidR="00C75175" w:rsidRDefault="00000000">
      <w:pPr>
        <w:spacing w:before="80" w:after="80" w:line="360" w:lineRule="auto"/>
        <w:jc w:val="both"/>
      </w:pPr>
      <w:r>
        <w:rPr>
          <w:rFonts w:ascii="Arial" w:eastAsia="Arial" w:hAnsi="Arial" w:cs="Arial"/>
          <w:sz w:val="24"/>
          <w:szCs w:val="24"/>
        </w:rPr>
        <w:t>PortersFiveForce.com (2025) 'What is Competitive Landscape of Mahindra &amp; Mahindra Company?' [Online]. Available at: https://portersfiveforce.com/blogs/competitors/mahindra (Accessed: 2</w:t>
      </w:r>
      <w:r w:rsidR="00B6397A">
        <w:rPr>
          <w:rFonts w:ascii="Arial" w:eastAsia="Arial" w:hAnsi="Arial" w:cs="Arial"/>
          <w:sz w:val="24"/>
          <w:szCs w:val="24"/>
        </w:rPr>
        <w:t>0</w:t>
      </w:r>
      <w:r>
        <w:rPr>
          <w:rFonts w:ascii="Arial" w:eastAsia="Arial" w:hAnsi="Arial" w:cs="Arial"/>
          <w:sz w:val="24"/>
          <w:szCs w:val="24"/>
        </w:rPr>
        <w:t xml:space="preserve"> April 2026).</w:t>
      </w:r>
    </w:p>
    <w:p w14:paraId="5267E4B6" w14:textId="77777777" w:rsidR="00C75175" w:rsidRDefault="00C75175"/>
    <w:p w14:paraId="76BDF633" w14:textId="40F33570" w:rsidR="00C75175" w:rsidRDefault="00000000">
      <w:pPr>
        <w:spacing w:before="80" w:after="80" w:line="360" w:lineRule="auto"/>
        <w:jc w:val="both"/>
      </w:pPr>
      <w:proofErr w:type="spellStart"/>
      <w:r>
        <w:rPr>
          <w:rFonts w:ascii="Arial" w:eastAsia="Arial" w:hAnsi="Arial" w:cs="Arial"/>
          <w:sz w:val="24"/>
          <w:szCs w:val="24"/>
        </w:rPr>
        <w:t>StockAnalysis</w:t>
      </w:r>
      <w:proofErr w:type="spellEnd"/>
      <w:r>
        <w:rPr>
          <w:rFonts w:ascii="Arial" w:eastAsia="Arial" w:hAnsi="Arial" w:cs="Arial"/>
          <w:sz w:val="24"/>
          <w:szCs w:val="24"/>
        </w:rPr>
        <w:t xml:space="preserve"> (2026) Hyundai Motor India (</w:t>
      </w:r>
      <w:proofErr w:type="gramStart"/>
      <w:r>
        <w:rPr>
          <w:rFonts w:ascii="Arial" w:eastAsia="Arial" w:hAnsi="Arial" w:cs="Arial"/>
          <w:sz w:val="24"/>
          <w:szCs w:val="24"/>
        </w:rPr>
        <w:t>NSE:HYUNDAI</w:t>
      </w:r>
      <w:proofErr w:type="gramEnd"/>
      <w:r>
        <w:rPr>
          <w:rFonts w:ascii="Arial" w:eastAsia="Arial" w:hAnsi="Arial" w:cs="Arial"/>
          <w:sz w:val="24"/>
          <w:szCs w:val="24"/>
        </w:rPr>
        <w:t>) Market Cap &amp; Net Worth [Online]. Available at: https://stockanalysis.com/quote/nse/HYUNDAI/market-cap/ (Accessed: 2</w:t>
      </w:r>
      <w:r w:rsidR="00B6397A">
        <w:rPr>
          <w:rFonts w:ascii="Arial" w:eastAsia="Arial" w:hAnsi="Arial" w:cs="Arial"/>
          <w:sz w:val="24"/>
          <w:szCs w:val="24"/>
        </w:rPr>
        <w:t>0</w:t>
      </w:r>
      <w:r>
        <w:rPr>
          <w:rFonts w:ascii="Arial" w:eastAsia="Arial" w:hAnsi="Arial" w:cs="Arial"/>
          <w:sz w:val="24"/>
          <w:szCs w:val="24"/>
        </w:rPr>
        <w:t xml:space="preserve"> April 2026).</w:t>
      </w:r>
    </w:p>
    <w:p w14:paraId="709B0BCB" w14:textId="77777777" w:rsidR="00C75175" w:rsidRDefault="00C75175"/>
    <w:p w14:paraId="072061F6" w14:textId="37F62C7B" w:rsidR="00C75175" w:rsidRDefault="00000000">
      <w:pPr>
        <w:spacing w:before="80" w:after="80" w:line="360" w:lineRule="auto"/>
        <w:jc w:val="both"/>
      </w:pPr>
      <w:r>
        <w:rPr>
          <w:rFonts w:ascii="Arial" w:eastAsia="Arial" w:hAnsi="Arial" w:cs="Arial"/>
          <w:sz w:val="24"/>
          <w:szCs w:val="24"/>
        </w:rPr>
        <w:t xml:space="preserve">Technavio (2026) India Automotive Market Growth Analysis – Size and Forecast 2026-2030 [Online]. Available at: https://www.technavio.com/report/india-automotive-market-industry-analysis (Accessed: </w:t>
      </w:r>
      <w:r w:rsidR="00B6397A">
        <w:rPr>
          <w:rFonts w:ascii="Arial" w:eastAsia="Arial" w:hAnsi="Arial" w:cs="Arial"/>
          <w:sz w:val="24"/>
          <w:szCs w:val="24"/>
        </w:rPr>
        <w:t>20</w:t>
      </w:r>
      <w:r>
        <w:rPr>
          <w:rFonts w:ascii="Arial" w:eastAsia="Arial" w:hAnsi="Arial" w:cs="Arial"/>
          <w:sz w:val="24"/>
          <w:szCs w:val="24"/>
        </w:rPr>
        <w:t xml:space="preserve"> April 2026).</w:t>
      </w:r>
    </w:p>
    <w:p w14:paraId="005ACD8C" w14:textId="77777777" w:rsidR="00C75175" w:rsidRDefault="00C75175"/>
    <w:p w14:paraId="368C29A9" w14:textId="1D6E34CB" w:rsidR="00C75175" w:rsidRDefault="00000000">
      <w:pPr>
        <w:spacing w:before="80" w:after="80" w:line="360" w:lineRule="auto"/>
        <w:jc w:val="both"/>
      </w:pPr>
      <w:r>
        <w:rPr>
          <w:rFonts w:ascii="Arial" w:eastAsia="Arial" w:hAnsi="Arial" w:cs="Arial"/>
          <w:sz w:val="24"/>
          <w:szCs w:val="24"/>
        </w:rPr>
        <w:t xml:space="preserve">Teece, D.J., Pisano, G. and </w:t>
      </w:r>
      <w:proofErr w:type="spellStart"/>
      <w:r>
        <w:rPr>
          <w:rFonts w:ascii="Arial" w:eastAsia="Arial" w:hAnsi="Arial" w:cs="Arial"/>
          <w:sz w:val="24"/>
          <w:szCs w:val="24"/>
        </w:rPr>
        <w:t>Shuen</w:t>
      </w:r>
      <w:proofErr w:type="spellEnd"/>
      <w:r>
        <w:rPr>
          <w:rFonts w:ascii="Arial" w:eastAsia="Arial" w:hAnsi="Arial" w:cs="Arial"/>
          <w:sz w:val="24"/>
          <w:szCs w:val="24"/>
        </w:rPr>
        <w:t>, A. (1997) 'Dynamic capabilities and strategic management', Strategic Management Journal, 18(7), pp. 509–533.</w:t>
      </w:r>
      <w:r w:rsidR="00B6397A" w:rsidRPr="00B6397A">
        <w:rPr>
          <w:rFonts w:ascii="Arial" w:eastAsia="Arial" w:hAnsi="Arial" w:cs="Arial"/>
          <w:sz w:val="24"/>
          <w:szCs w:val="24"/>
        </w:rPr>
        <w:t xml:space="preserve"> </w:t>
      </w:r>
      <w:r w:rsidR="00B6397A">
        <w:rPr>
          <w:rFonts w:ascii="Arial" w:eastAsia="Arial" w:hAnsi="Arial" w:cs="Arial"/>
          <w:sz w:val="24"/>
          <w:szCs w:val="24"/>
        </w:rPr>
        <w:t>(Accessed: 24 April 2026)</w:t>
      </w:r>
    </w:p>
    <w:p w14:paraId="3A26FBE8" w14:textId="77777777" w:rsidR="00C75175" w:rsidRDefault="00C75175"/>
    <w:p w14:paraId="049ACE66" w14:textId="77777777" w:rsidR="00C75175" w:rsidRDefault="00000000">
      <w:pPr>
        <w:spacing w:before="80" w:after="80" w:line="360" w:lineRule="auto"/>
        <w:jc w:val="both"/>
      </w:pPr>
      <w:r>
        <w:rPr>
          <w:rFonts w:ascii="Arial" w:eastAsia="Arial" w:hAnsi="Arial" w:cs="Arial"/>
          <w:sz w:val="24"/>
          <w:szCs w:val="24"/>
        </w:rPr>
        <w:t>The Hans India (2025) 'Hyundai Motor India Foundation uplifts over 2 million lives in 2024', The Hans India, 4 February [Online]. Available at: https://www.thehansindia.com (Accessed: 26 April 2026).</w:t>
      </w:r>
    </w:p>
    <w:p w14:paraId="41ECCDBC" w14:textId="77777777" w:rsidR="00C75175" w:rsidRDefault="00C75175"/>
    <w:p w14:paraId="349D855B" w14:textId="26669ACF" w:rsidR="00C75175" w:rsidRDefault="00000000">
      <w:pPr>
        <w:spacing w:before="80" w:after="80" w:line="360" w:lineRule="auto"/>
        <w:jc w:val="both"/>
      </w:pPr>
      <w:r>
        <w:rPr>
          <w:rFonts w:ascii="Arial" w:eastAsia="Arial" w:hAnsi="Arial" w:cs="Arial"/>
          <w:sz w:val="24"/>
          <w:szCs w:val="24"/>
        </w:rPr>
        <w:t xml:space="preserve">Trompenaars, F. and Hampden-Turner, C. (1997) Riding the Waves of Culture: Understanding Diversity in Global Business. 2nd </w:t>
      </w:r>
      <w:proofErr w:type="spellStart"/>
      <w:r>
        <w:rPr>
          <w:rFonts w:ascii="Arial" w:eastAsia="Arial" w:hAnsi="Arial" w:cs="Arial"/>
          <w:sz w:val="24"/>
          <w:szCs w:val="24"/>
        </w:rPr>
        <w:t>edn</w:t>
      </w:r>
      <w:proofErr w:type="spellEnd"/>
      <w:r>
        <w:rPr>
          <w:rFonts w:ascii="Arial" w:eastAsia="Arial" w:hAnsi="Arial" w:cs="Arial"/>
          <w:sz w:val="24"/>
          <w:szCs w:val="24"/>
        </w:rPr>
        <w:t>. London: Nicholas Brealey Publishing.</w:t>
      </w:r>
      <w:r w:rsidR="00B6397A" w:rsidRPr="00B6397A">
        <w:rPr>
          <w:rFonts w:ascii="Arial" w:eastAsia="Arial" w:hAnsi="Arial" w:cs="Arial"/>
          <w:sz w:val="24"/>
          <w:szCs w:val="24"/>
        </w:rPr>
        <w:t xml:space="preserve"> </w:t>
      </w:r>
      <w:r w:rsidR="00B6397A">
        <w:rPr>
          <w:rFonts w:ascii="Arial" w:eastAsia="Arial" w:hAnsi="Arial" w:cs="Arial"/>
          <w:sz w:val="24"/>
          <w:szCs w:val="24"/>
        </w:rPr>
        <w:t>(Accessed: 24 April 2026)</w:t>
      </w:r>
    </w:p>
    <w:p w14:paraId="1A11C8A8" w14:textId="77777777" w:rsidR="00C75175" w:rsidRDefault="00C75175"/>
    <w:p w14:paraId="374B8B48" w14:textId="46EC5A3D" w:rsidR="00C75175" w:rsidRDefault="00000000">
      <w:pPr>
        <w:spacing w:before="80" w:after="80" w:line="360" w:lineRule="auto"/>
        <w:jc w:val="both"/>
      </w:pPr>
      <w:proofErr w:type="spellStart"/>
      <w:r>
        <w:rPr>
          <w:rFonts w:ascii="Arial" w:eastAsia="Arial" w:hAnsi="Arial" w:cs="Arial"/>
          <w:sz w:val="24"/>
          <w:szCs w:val="24"/>
        </w:rPr>
        <w:t>Whalesbook</w:t>
      </w:r>
      <w:proofErr w:type="spellEnd"/>
      <w:r>
        <w:rPr>
          <w:rFonts w:ascii="Arial" w:eastAsia="Arial" w:hAnsi="Arial" w:cs="Arial"/>
          <w:sz w:val="24"/>
          <w:szCs w:val="24"/>
        </w:rPr>
        <w:t xml:space="preserve"> (2026) 'Tata Motors Loses Ground in India EV Market as Mahindra, Maruti Suzuki Gain', </w:t>
      </w:r>
      <w:proofErr w:type="spellStart"/>
      <w:r>
        <w:rPr>
          <w:rFonts w:ascii="Arial" w:eastAsia="Arial" w:hAnsi="Arial" w:cs="Arial"/>
          <w:sz w:val="24"/>
          <w:szCs w:val="24"/>
        </w:rPr>
        <w:t>Whalesbook</w:t>
      </w:r>
      <w:proofErr w:type="spellEnd"/>
      <w:r>
        <w:rPr>
          <w:rFonts w:ascii="Arial" w:eastAsia="Arial" w:hAnsi="Arial" w:cs="Arial"/>
          <w:sz w:val="24"/>
          <w:szCs w:val="24"/>
        </w:rPr>
        <w:t xml:space="preserve"> [Online]. Available at: https://www.whalesbook.com (Accessed: 2</w:t>
      </w:r>
      <w:r w:rsidR="00B6397A">
        <w:rPr>
          <w:rFonts w:ascii="Arial" w:eastAsia="Arial" w:hAnsi="Arial" w:cs="Arial"/>
          <w:sz w:val="24"/>
          <w:szCs w:val="24"/>
        </w:rPr>
        <w:t>4</w:t>
      </w:r>
      <w:r>
        <w:rPr>
          <w:rFonts w:ascii="Arial" w:eastAsia="Arial" w:hAnsi="Arial" w:cs="Arial"/>
          <w:sz w:val="24"/>
          <w:szCs w:val="24"/>
        </w:rPr>
        <w:t xml:space="preserve"> April 2026).</w:t>
      </w:r>
    </w:p>
    <w:p w14:paraId="682B101C" w14:textId="77777777" w:rsidR="00C75175" w:rsidRDefault="00C75175"/>
    <w:p w14:paraId="571602E6" w14:textId="744EB757" w:rsidR="00C75175" w:rsidRDefault="00000000">
      <w:pPr>
        <w:spacing w:before="80" w:after="80" w:line="360" w:lineRule="auto"/>
        <w:jc w:val="both"/>
      </w:pPr>
      <w:r>
        <w:rPr>
          <w:rFonts w:ascii="Arial" w:eastAsia="Arial" w:hAnsi="Arial" w:cs="Arial"/>
          <w:sz w:val="24"/>
          <w:szCs w:val="24"/>
        </w:rPr>
        <w:t>Zaheer, S. (1995) 'Overcoming the liability of foreignness', Academy of Management Journal, 38(2), pp. 341–363. https://doi.org/10.2307/256683</w:t>
      </w:r>
      <w:r w:rsidR="00B6397A">
        <w:rPr>
          <w:rFonts w:ascii="Arial" w:eastAsia="Arial" w:hAnsi="Arial" w:cs="Arial"/>
          <w:sz w:val="24"/>
          <w:szCs w:val="24"/>
        </w:rPr>
        <w:t>(Accessed: 24 April 2026)</w:t>
      </w:r>
    </w:p>
    <w:p w14:paraId="027A0DA5" w14:textId="77777777" w:rsidR="00C75175" w:rsidRDefault="00C75175"/>
    <w:sectPr w:rsidR="00C75175">
      <w:headerReference w:type="default" r:id="rId9"/>
      <w:footerReference w:type="default" r:id="rId10"/>
      <w:pgSz w:w="11906" w:h="16838"/>
      <w:pgMar w:top="1440" w:right="1440" w:bottom="1440" w:left="180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26DEA" w14:textId="77777777" w:rsidR="00037C3D" w:rsidRDefault="00037C3D">
      <w:pPr>
        <w:spacing w:after="0" w:line="240" w:lineRule="auto"/>
      </w:pPr>
      <w:r>
        <w:separator/>
      </w:r>
    </w:p>
  </w:endnote>
  <w:endnote w:type="continuationSeparator" w:id="0">
    <w:p w14:paraId="7171711F" w14:textId="77777777" w:rsidR="00037C3D" w:rsidRDefault="00037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B8729" w14:textId="51101D46" w:rsidR="00C75175" w:rsidRDefault="00C75175">
    <w:pPr>
      <w:pBdr>
        <w:top w:val="single" w:sz="6" w:space="0" w:color="1F4E79"/>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38E4ED" w14:textId="77777777" w:rsidR="00037C3D" w:rsidRDefault="00037C3D">
      <w:pPr>
        <w:spacing w:after="0" w:line="240" w:lineRule="auto"/>
      </w:pPr>
      <w:r>
        <w:separator/>
      </w:r>
    </w:p>
  </w:footnote>
  <w:footnote w:type="continuationSeparator" w:id="0">
    <w:p w14:paraId="229BC362" w14:textId="77777777" w:rsidR="00037C3D" w:rsidRDefault="00037C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BA3D7" w14:textId="57EB994D" w:rsidR="00C75175" w:rsidRDefault="00C75175">
    <w:pPr>
      <w:pBdr>
        <w:bottom w:val="single" w:sz="8" w:space="0" w:color="1F4E79"/>
      </w:pBdr>
      <w:spacing w:after="1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843303"/>
    <w:multiLevelType w:val="hybridMultilevel"/>
    <w:tmpl w:val="6F0EF08C"/>
    <w:lvl w:ilvl="0" w:tplc="CD608A1A">
      <w:start w:val="1"/>
      <w:numFmt w:val="bullet"/>
      <w:lvlText w:val="●"/>
      <w:lvlJc w:val="left"/>
      <w:pPr>
        <w:ind w:left="720" w:hanging="360"/>
      </w:pPr>
    </w:lvl>
    <w:lvl w:ilvl="1" w:tplc="B2723520">
      <w:start w:val="1"/>
      <w:numFmt w:val="bullet"/>
      <w:lvlText w:val="○"/>
      <w:lvlJc w:val="left"/>
      <w:pPr>
        <w:ind w:left="1440" w:hanging="360"/>
      </w:pPr>
    </w:lvl>
    <w:lvl w:ilvl="2" w:tplc="683C591E">
      <w:start w:val="1"/>
      <w:numFmt w:val="bullet"/>
      <w:lvlText w:val="■"/>
      <w:lvlJc w:val="left"/>
      <w:pPr>
        <w:ind w:left="2160" w:hanging="360"/>
      </w:pPr>
    </w:lvl>
    <w:lvl w:ilvl="3" w:tplc="613E2334">
      <w:start w:val="1"/>
      <w:numFmt w:val="bullet"/>
      <w:lvlText w:val="●"/>
      <w:lvlJc w:val="left"/>
      <w:pPr>
        <w:ind w:left="2880" w:hanging="360"/>
      </w:pPr>
    </w:lvl>
    <w:lvl w:ilvl="4" w:tplc="05B67188">
      <w:start w:val="1"/>
      <w:numFmt w:val="bullet"/>
      <w:lvlText w:val="○"/>
      <w:lvlJc w:val="left"/>
      <w:pPr>
        <w:ind w:left="3600" w:hanging="360"/>
      </w:pPr>
    </w:lvl>
    <w:lvl w:ilvl="5" w:tplc="021095BE">
      <w:start w:val="1"/>
      <w:numFmt w:val="bullet"/>
      <w:lvlText w:val="■"/>
      <w:lvlJc w:val="left"/>
      <w:pPr>
        <w:ind w:left="4320" w:hanging="360"/>
      </w:pPr>
    </w:lvl>
    <w:lvl w:ilvl="6" w:tplc="112C3F94">
      <w:start w:val="1"/>
      <w:numFmt w:val="bullet"/>
      <w:lvlText w:val="●"/>
      <w:lvlJc w:val="left"/>
      <w:pPr>
        <w:ind w:left="5040" w:hanging="360"/>
      </w:pPr>
    </w:lvl>
    <w:lvl w:ilvl="7" w:tplc="7EDA0B38">
      <w:start w:val="1"/>
      <w:numFmt w:val="bullet"/>
      <w:lvlText w:val="●"/>
      <w:lvlJc w:val="left"/>
      <w:pPr>
        <w:ind w:left="5760" w:hanging="360"/>
      </w:pPr>
    </w:lvl>
    <w:lvl w:ilvl="8" w:tplc="AD343526">
      <w:start w:val="1"/>
      <w:numFmt w:val="bullet"/>
      <w:lvlText w:val="●"/>
      <w:lvlJc w:val="left"/>
      <w:pPr>
        <w:ind w:left="6480" w:hanging="360"/>
      </w:pPr>
    </w:lvl>
  </w:abstractNum>
  <w:num w:numId="1" w16cid:durableId="20289469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5175"/>
    <w:rsid w:val="00037C3D"/>
    <w:rsid w:val="000C28B3"/>
    <w:rsid w:val="001F618E"/>
    <w:rsid w:val="00366F19"/>
    <w:rsid w:val="00407284"/>
    <w:rsid w:val="004F68E6"/>
    <w:rsid w:val="005A0E57"/>
    <w:rsid w:val="006646B2"/>
    <w:rsid w:val="00687DF2"/>
    <w:rsid w:val="0091251D"/>
    <w:rsid w:val="00B6397A"/>
    <w:rsid w:val="00BB37F7"/>
    <w:rsid w:val="00C75175"/>
    <w:rsid w:val="00E13F21"/>
    <w:rsid w:val="00FF44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2DDF7"/>
  <w15:docId w15:val="{71ACF8BA-8DCA-4245-BCF5-DA56C54C1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IN" w:eastAsia="en-IN"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F19"/>
  </w:style>
  <w:style w:type="paragraph" w:styleId="Heading1">
    <w:name w:val="heading 1"/>
    <w:basedOn w:val="Normal"/>
    <w:next w:val="Normal"/>
    <w:link w:val="Heading1Char"/>
    <w:uiPriority w:val="9"/>
    <w:qFormat/>
    <w:rsid w:val="00366F19"/>
    <w:pPr>
      <w:keepNext/>
      <w:keepLines/>
      <w:spacing w:before="360" w:after="40" w:line="240" w:lineRule="auto"/>
      <w:outlineLvl w:val="0"/>
    </w:pPr>
    <w:rPr>
      <w:rFonts w:asciiTheme="majorHAnsi" w:eastAsiaTheme="majorEastAsia" w:hAnsiTheme="majorHAnsi" w:cstheme="majorBidi"/>
      <w:color w:val="538135" w:themeColor="accent6" w:themeShade="BF"/>
      <w:sz w:val="40"/>
      <w:szCs w:val="40"/>
    </w:rPr>
  </w:style>
  <w:style w:type="paragraph" w:styleId="Heading2">
    <w:name w:val="heading 2"/>
    <w:basedOn w:val="Normal"/>
    <w:next w:val="Normal"/>
    <w:link w:val="Heading2Char"/>
    <w:uiPriority w:val="9"/>
    <w:unhideWhenUsed/>
    <w:qFormat/>
    <w:rsid w:val="00366F19"/>
    <w:pPr>
      <w:keepNext/>
      <w:keepLines/>
      <w:spacing w:before="80" w:after="0" w:line="240" w:lineRule="auto"/>
      <w:outlineLvl w:val="1"/>
    </w:pPr>
    <w:rPr>
      <w:rFonts w:asciiTheme="majorHAnsi" w:eastAsiaTheme="majorEastAsia" w:hAnsiTheme="majorHAnsi" w:cstheme="majorBidi"/>
      <w:color w:val="538135" w:themeColor="accent6" w:themeShade="BF"/>
      <w:sz w:val="28"/>
      <w:szCs w:val="28"/>
    </w:rPr>
  </w:style>
  <w:style w:type="paragraph" w:styleId="Heading3">
    <w:name w:val="heading 3"/>
    <w:basedOn w:val="Normal"/>
    <w:next w:val="Normal"/>
    <w:link w:val="Heading3Char"/>
    <w:uiPriority w:val="9"/>
    <w:semiHidden/>
    <w:unhideWhenUsed/>
    <w:qFormat/>
    <w:rsid w:val="00366F19"/>
    <w:pPr>
      <w:keepNext/>
      <w:keepLines/>
      <w:spacing w:before="80" w:after="0" w:line="240" w:lineRule="auto"/>
      <w:outlineLvl w:val="2"/>
    </w:pPr>
    <w:rPr>
      <w:rFonts w:asciiTheme="majorHAnsi" w:eastAsiaTheme="majorEastAsia" w:hAnsiTheme="majorHAnsi" w:cstheme="majorBidi"/>
      <w:color w:val="538135" w:themeColor="accent6" w:themeShade="BF"/>
      <w:sz w:val="24"/>
      <w:szCs w:val="24"/>
    </w:rPr>
  </w:style>
  <w:style w:type="paragraph" w:styleId="Heading4">
    <w:name w:val="heading 4"/>
    <w:basedOn w:val="Normal"/>
    <w:next w:val="Normal"/>
    <w:link w:val="Heading4Char"/>
    <w:uiPriority w:val="9"/>
    <w:semiHidden/>
    <w:unhideWhenUsed/>
    <w:qFormat/>
    <w:rsid w:val="00366F19"/>
    <w:pPr>
      <w:keepNext/>
      <w:keepLines/>
      <w:spacing w:before="80" w:after="0"/>
      <w:outlineLvl w:val="3"/>
    </w:pPr>
    <w:rPr>
      <w:rFonts w:asciiTheme="majorHAnsi" w:eastAsiaTheme="majorEastAsia" w:hAnsiTheme="majorHAnsi" w:cstheme="majorBidi"/>
      <w:color w:val="70AD47" w:themeColor="accent6"/>
      <w:sz w:val="22"/>
      <w:szCs w:val="22"/>
    </w:rPr>
  </w:style>
  <w:style w:type="paragraph" w:styleId="Heading5">
    <w:name w:val="heading 5"/>
    <w:basedOn w:val="Normal"/>
    <w:next w:val="Normal"/>
    <w:link w:val="Heading5Char"/>
    <w:uiPriority w:val="9"/>
    <w:semiHidden/>
    <w:unhideWhenUsed/>
    <w:qFormat/>
    <w:rsid w:val="00366F19"/>
    <w:pPr>
      <w:keepNext/>
      <w:keepLines/>
      <w:spacing w:before="40" w:after="0"/>
      <w:outlineLvl w:val="4"/>
    </w:pPr>
    <w:rPr>
      <w:rFonts w:asciiTheme="majorHAnsi" w:eastAsiaTheme="majorEastAsia" w:hAnsiTheme="majorHAnsi" w:cstheme="majorBidi"/>
      <w:i/>
      <w:iCs/>
      <w:color w:val="70AD47" w:themeColor="accent6"/>
      <w:sz w:val="22"/>
      <w:szCs w:val="22"/>
    </w:rPr>
  </w:style>
  <w:style w:type="paragraph" w:styleId="Heading6">
    <w:name w:val="heading 6"/>
    <w:basedOn w:val="Normal"/>
    <w:next w:val="Normal"/>
    <w:link w:val="Heading6Char"/>
    <w:uiPriority w:val="9"/>
    <w:semiHidden/>
    <w:unhideWhenUsed/>
    <w:qFormat/>
    <w:rsid w:val="00366F19"/>
    <w:pPr>
      <w:keepNext/>
      <w:keepLines/>
      <w:spacing w:before="40" w:after="0"/>
      <w:outlineLvl w:val="5"/>
    </w:pPr>
    <w:rPr>
      <w:rFonts w:asciiTheme="majorHAnsi" w:eastAsiaTheme="majorEastAsia" w:hAnsiTheme="majorHAnsi" w:cstheme="majorBidi"/>
      <w:color w:val="70AD47" w:themeColor="accent6"/>
    </w:rPr>
  </w:style>
  <w:style w:type="paragraph" w:styleId="Heading7">
    <w:name w:val="heading 7"/>
    <w:basedOn w:val="Normal"/>
    <w:next w:val="Normal"/>
    <w:link w:val="Heading7Char"/>
    <w:uiPriority w:val="9"/>
    <w:semiHidden/>
    <w:unhideWhenUsed/>
    <w:qFormat/>
    <w:rsid w:val="00366F19"/>
    <w:pPr>
      <w:keepNext/>
      <w:keepLines/>
      <w:spacing w:before="40" w:after="0"/>
      <w:outlineLvl w:val="6"/>
    </w:pPr>
    <w:rPr>
      <w:rFonts w:asciiTheme="majorHAnsi" w:eastAsiaTheme="majorEastAsia" w:hAnsiTheme="majorHAnsi" w:cstheme="majorBidi"/>
      <w:b/>
      <w:bCs/>
      <w:color w:val="70AD47" w:themeColor="accent6"/>
    </w:rPr>
  </w:style>
  <w:style w:type="paragraph" w:styleId="Heading8">
    <w:name w:val="heading 8"/>
    <w:basedOn w:val="Normal"/>
    <w:next w:val="Normal"/>
    <w:link w:val="Heading8Char"/>
    <w:uiPriority w:val="9"/>
    <w:semiHidden/>
    <w:unhideWhenUsed/>
    <w:qFormat/>
    <w:rsid w:val="00366F19"/>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Heading9">
    <w:name w:val="heading 9"/>
    <w:basedOn w:val="Normal"/>
    <w:next w:val="Normal"/>
    <w:link w:val="Heading9Char"/>
    <w:uiPriority w:val="9"/>
    <w:semiHidden/>
    <w:unhideWhenUsed/>
    <w:qFormat/>
    <w:rsid w:val="00366F19"/>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66F19"/>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customStyle="1" w:styleId="Strong1">
    <w:name w:val="Strong1"/>
    <w:rPr>
      <w:b/>
      <w:bCs/>
    </w:rPr>
  </w:style>
  <w:style w:type="paragraph" w:styleId="ListParagraph">
    <w:name w:val="List Paragraph"/>
    <w:uiPriority w:val="34"/>
    <w:qFormat/>
    <w:pPr>
      <w:ind w:left="720"/>
      <w:contextualSpacing/>
    </w:pPr>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5A0E57"/>
    <w:pPr>
      <w:tabs>
        <w:tab w:val="center" w:pos="4513"/>
        <w:tab w:val="right" w:pos="9026"/>
      </w:tabs>
    </w:pPr>
  </w:style>
  <w:style w:type="character" w:customStyle="1" w:styleId="HeaderChar">
    <w:name w:val="Header Char"/>
    <w:basedOn w:val="DefaultParagraphFont"/>
    <w:link w:val="Header"/>
    <w:uiPriority w:val="99"/>
    <w:rsid w:val="005A0E57"/>
  </w:style>
  <w:style w:type="paragraph" w:styleId="Footer">
    <w:name w:val="footer"/>
    <w:basedOn w:val="Normal"/>
    <w:link w:val="FooterChar"/>
    <w:uiPriority w:val="99"/>
    <w:unhideWhenUsed/>
    <w:rsid w:val="005A0E57"/>
    <w:pPr>
      <w:tabs>
        <w:tab w:val="center" w:pos="4513"/>
        <w:tab w:val="right" w:pos="9026"/>
      </w:tabs>
    </w:pPr>
  </w:style>
  <w:style w:type="character" w:customStyle="1" w:styleId="FooterChar">
    <w:name w:val="Footer Char"/>
    <w:basedOn w:val="DefaultParagraphFont"/>
    <w:link w:val="Footer"/>
    <w:uiPriority w:val="99"/>
    <w:rsid w:val="005A0E57"/>
  </w:style>
  <w:style w:type="character" w:styleId="UnresolvedMention">
    <w:name w:val="Unresolved Mention"/>
    <w:basedOn w:val="DefaultParagraphFont"/>
    <w:uiPriority w:val="99"/>
    <w:semiHidden/>
    <w:unhideWhenUsed/>
    <w:rsid w:val="00687DF2"/>
    <w:rPr>
      <w:color w:val="605E5C"/>
      <w:shd w:val="clear" w:color="auto" w:fill="E1DFDD"/>
    </w:rPr>
  </w:style>
  <w:style w:type="character" w:customStyle="1" w:styleId="Heading1Char">
    <w:name w:val="Heading 1 Char"/>
    <w:basedOn w:val="DefaultParagraphFont"/>
    <w:link w:val="Heading1"/>
    <w:uiPriority w:val="9"/>
    <w:rsid w:val="00366F19"/>
    <w:rPr>
      <w:rFonts w:asciiTheme="majorHAnsi" w:eastAsiaTheme="majorEastAsia" w:hAnsiTheme="majorHAnsi" w:cstheme="majorBidi"/>
      <w:color w:val="538135" w:themeColor="accent6" w:themeShade="BF"/>
      <w:sz w:val="40"/>
      <w:szCs w:val="40"/>
    </w:rPr>
  </w:style>
  <w:style w:type="character" w:customStyle="1" w:styleId="Heading2Char">
    <w:name w:val="Heading 2 Char"/>
    <w:basedOn w:val="DefaultParagraphFont"/>
    <w:link w:val="Heading2"/>
    <w:uiPriority w:val="9"/>
    <w:rsid w:val="00366F19"/>
    <w:rPr>
      <w:rFonts w:asciiTheme="majorHAnsi" w:eastAsiaTheme="majorEastAsia" w:hAnsiTheme="majorHAnsi" w:cstheme="majorBidi"/>
      <w:color w:val="538135" w:themeColor="accent6" w:themeShade="BF"/>
      <w:sz w:val="28"/>
      <w:szCs w:val="28"/>
    </w:rPr>
  </w:style>
  <w:style w:type="character" w:customStyle="1" w:styleId="Heading3Char">
    <w:name w:val="Heading 3 Char"/>
    <w:basedOn w:val="DefaultParagraphFont"/>
    <w:link w:val="Heading3"/>
    <w:uiPriority w:val="9"/>
    <w:semiHidden/>
    <w:rsid w:val="00366F19"/>
    <w:rPr>
      <w:rFonts w:asciiTheme="majorHAnsi" w:eastAsiaTheme="majorEastAsia" w:hAnsiTheme="majorHAnsi" w:cstheme="majorBidi"/>
      <w:color w:val="538135" w:themeColor="accent6" w:themeShade="BF"/>
      <w:sz w:val="24"/>
      <w:szCs w:val="24"/>
    </w:rPr>
  </w:style>
  <w:style w:type="character" w:customStyle="1" w:styleId="Heading4Char">
    <w:name w:val="Heading 4 Char"/>
    <w:basedOn w:val="DefaultParagraphFont"/>
    <w:link w:val="Heading4"/>
    <w:uiPriority w:val="9"/>
    <w:semiHidden/>
    <w:rsid w:val="00366F19"/>
    <w:rPr>
      <w:rFonts w:asciiTheme="majorHAnsi" w:eastAsiaTheme="majorEastAsia" w:hAnsiTheme="majorHAnsi" w:cstheme="majorBidi"/>
      <w:color w:val="70AD47" w:themeColor="accent6"/>
      <w:sz w:val="22"/>
      <w:szCs w:val="22"/>
    </w:rPr>
  </w:style>
  <w:style w:type="character" w:customStyle="1" w:styleId="Heading5Char">
    <w:name w:val="Heading 5 Char"/>
    <w:basedOn w:val="DefaultParagraphFont"/>
    <w:link w:val="Heading5"/>
    <w:uiPriority w:val="9"/>
    <w:semiHidden/>
    <w:rsid w:val="00366F19"/>
    <w:rPr>
      <w:rFonts w:asciiTheme="majorHAnsi" w:eastAsiaTheme="majorEastAsia" w:hAnsiTheme="majorHAnsi" w:cstheme="majorBidi"/>
      <w:i/>
      <w:iCs/>
      <w:color w:val="70AD47" w:themeColor="accent6"/>
      <w:sz w:val="22"/>
      <w:szCs w:val="22"/>
    </w:rPr>
  </w:style>
  <w:style w:type="character" w:customStyle="1" w:styleId="Heading6Char">
    <w:name w:val="Heading 6 Char"/>
    <w:basedOn w:val="DefaultParagraphFont"/>
    <w:link w:val="Heading6"/>
    <w:uiPriority w:val="9"/>
    <w:semiHidden/>
    <w:rsid w:val="00366F19"/>
    <w:rPr>
      <w:rFonts w:asciiTheme="majorHAnsi" w:eastAsiaTheme="majorEastAsia" w:hAnsiTheme="majorHAnsi" w:cstheme="majorBidi"/>
      <w:color w:val="70AD47" w:themeColor="accent6"/>
    </w:rPr>
  </w:style>
  <w:style w:type="character" w:customStyle="1" w:styleId="Heading7Char">
    <w:name w:val="Heading 7 Char"/>
    <w:basedOn w:val="DefaultParagraphFont"/>
    <w:link w:val="Heading7"/>
    <w:uiPriority w:val="9"/>
    <w:semiHidden/>
    <w:rsid w:val="00366F19"/>
    <w:rPr>
      <w:rFonts w:asciiTheme="majorHAnsi" w:eastAsiaTheme="majorEastAsia" w:hAnsiTheme="majorHAnsi" w:cstheme="majorBidi"/>
      <w:b/>
      <w:bCs/>
      <w:color w:val="70AD47" w:themeColor="accent6"/>
    </w:rPr>
  </w:style>
  <w:style w:type="character" w:customStyle="1" w:styleId="Heading8Char">
    <w:name w:val="Heading 8 Char"/>
    <w:basedOn w:val="DefaultParagraphFont"/>
    <w:link w:val="Heading8"/>
    <w:uiPriority w:val="9"/>
    <w:semiHidden/>
    <w:rsid w:val="00366F19"/>
    <w:rPr>
      <w:rFonts w:asciiTheme="majorHAnsi" w:eastAsiaTheme="majorEastAsia" w:hAnsiTheme="majorHAnsi" w:cstheme="majorBidi"/>
      <w:b/>
      <w:bCs/>
      <w:i/>
      <w:iCs/>
      <w:color w:val="70AD47" w:themeColor="accent6"/>
      <w:sz w:val="20"/>
      <w:szCs w:val="20"/>
    </w:rPr>
  </w:style>
  <w:style w:type="character" w:customStyle="1" w:styleId="Heading9Char">
    <w:name w:val="Heading 9 Char"/>
    <w:basedOn w:val="DefaultParagraphFont"/>
    <w:link w:val="Heading9"/>
    <w:uiPriority w:val="9"/>
    <w:semiHidden/>
    <w:rsid w:val="00366F19"/>
    <w:rPr>
      <w:rFonts w:asciiTheme="majorHAnsi" w:eastAsiaTheme="majorEastAsia" w:hAnsiTheme="majorHAnsi" w:cstheme="majorBidi"/>
      <w:i/>
      <w:iCs/>
      <w:color w:val="70AD47" w:themeColor="accent6"/>
      <w:sz w:val="20"/>
      <w:szCs w:val="20"/>
    </w:rPr>
  </w:style>
  <w:style w:type="paragraph" w:styleId="Caption">
    <w:name w:val="caption"/>
    <w:basedOn w:val="Normal"/>
    <w:next w:val="Normal"/>
    <w:uiPriority w:val="35"/>
    <w:semiHidden/>
    <w:unhideWhenUsed/>
    <w:qFormat/>
    <w:rsid w:val="00366F19"/>
    <w:pPr>
      <w:spacing w:line="240" w:lineRule="auto"/>
    </w:pPr>
    <w:rPr>
      <w:b/>
      <w:bCs/>
      <w:smallCaps/>
      <w:color w:val="595959" w:themeColor="text1" w:themeTint="A6"/>
    </w:rPr>
  </w:style>
  <w:style w:type="character" w:customStyle="1" w:styleId="TitleChar">
    <w:name w:val="Title Char"/>
    <w:basedOn w:val="DefaultParagraphFont"/>
    <w:link w:val="Title"/>
    <w:uiPriority w:val="10"/>
    <w:rsid w:val="00366F19"/>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366F19"/>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366F19"/>
    <w:rPr>
      <w:rFonts w:asciiTheme="majorHAnsi" w:eastAsiaTheme="majorEastAsia" w:hAnsiTheme="majorHAnsi" w:cstheme="majorBidi"/>
      <w:sz w:val="30"/>
      <w:szCs w:val="30"/>
    </w:rPr>
  </w:style>
  <w:style w:type="character" w:styleId="Strong">
    <w:name w:val="Strong"/>
    <w:basedOn w:val="DefaultParagraphFont"/>
    <w:uiPriority w:val="22"/>
    <w:qFormat/>
    <w:rsid w:val="00366F19"/>
    <w:rPr>
      <w:b/>
      <w:bCs/>
    </w:rPr>
  </w:style>
  <w:style w:type="character" w:styleId="Emphasis">
    <w:name w:val="Emphasis"/>
    <w:basedOn w:val="DefaultParagraphFont"/>
    <w:uiPriority w:val="20"/>
    <w:qFormat/>
    <w:rsid w:val="00366F19"/>
    <w:rPr>
      <w:i/>
      <w:iCs/>
      <w:color w:val="70AD47" w:themeColor="accent6"/>
    </w:rPr>
  </w:style>
  <w:style w:type="paragraph" w:styleId="NoSpacing">
    <w:name w:val="No Spacing"/>
    <w:uiPriority w:val="1"/>
    <w:qFormat/>
    <w:rsid w:val="00366F19"/>
    <w:pPr>
      <w:spacing w:after="0" w:line="240" w:lineRule="auto"/>
    </w:pPr>
  </w:style>
  <w:style w:type="paragraph" w:styleId="Quote">
    <w:name w:val="Quote"/>
    <w:basedOn w:val="Normal"/>
    <w:next w:val="Normal"/>
    <w:link w:val="QuoteChar"/>
    <w:uiPriority w:val="29"/>
    <w:qFormat/>
    <w:rsid w:val="00366F19"/>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366F19"/>
    <w:rPr>
      <w:i/>
      <w:iCs/>
      <w:color w:val="262626" w:themeColor="text1" w:themeTint="D9"/>
    </w:rPr>
  </w:style>
  <w:style w:type="paragraph" w:styleId="IntenseQuote">
    <w:name w:val="Intense Quote"/>
    <w:basedOn w:val="Normal"/>
    <w:next w:val="Normal"/>
    <w:link w:val="IntenseQuoteChar"/>
    <w:uiPriority w:val="30"/>
    <w:qFormat/>
    <w:rsid w:val="00366F19"/>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character" w:customStyle="1" w:styleId="IntenseQuoteChar">
    <w:name w:val="Intense Quote Char"/>
    <w:basedOn w:val="DefaultParagraphFont"/>
    <w:link w:val="IntenseQuote"/>
    <w:uiPriority w:val="30"/>
    <w:rsid w:val="00366F19"/>
    <w:rPr>
      <w:rFonts w:asciiTheme="majorHAnsi" w:eastAsiaTheme="majorEastAsia" w:hAnsiTheme="majorHAnsi" w:cstheme="majorBidi"/>
      <w:i/>
      <w:iCs/>
      <w:color w:val="70AD47" w:themeColor="accent6"/>
      <w:sz w:val="32"/>
      <w:szCs w:val="32"/>
    </w:rPr>
  </w:style>
  <w:style w:type="character" w:styleId="SubtleEmphasis">
    <w:name w:val="Subtle Emphasis"/>
    <w:basedOn w:val="DefaultParagraphFont"/>
    <w:uiPriority w:val="19"/>
    <w:qFormat/>
    <w:rsid w:val="00366F19"/>
    <w:rPr>
      <w:i/>
      <w:iCs/>
    </w:rPr>
  </w:style>
  <w:style w:type="character" w:styleId="IntenseEmphasis">
    <w:name w:val="Intense Emphasis"/>
    <w:basedOn w:val="DefaultParagraphFont"/>
    <w:uiPriority w:val="21"/>
    <w:qFormat/>
    <w:rsid w:val="00366F19"/>
    <w:rPr>
      <w:b/>
      <w:bCs/>
      <w:i/>
      <w:iCs/>
    </w:rPr>
  </w:style>
  <w:style w:type="character" w:styleId="SubtleReference">
    <w:name w:val="Subtle Reference"/>
    <w:basedOn w:val="DefaultParagraphFont"/>
    <w:uiPriority w:val="31"/>
    <w:qFormat/>
    <w:rsid w:val="00366F19"/>
    <w:rPr>
      <w:smallCaps/>
      <w:color w:val="595959" w:themeColor="text1" w:themeTint="A6"/>
    </w:rPr>
  </w:style>
  <w:style w:type="character" w:styleId="IntenseReference">
    <w:name w:val="Intense Reference"/>
    <w:basedOn w:val="DefaultParagraphFont"/>
    <w:uiPriority w:val="32"/>
    <w:qFormat/>
    <w:rsid w:val="00366F19"/>
    <w:rPr>
      <w:b/>
      <w:bCs/>
      <w:smallCaps/>
      <w:color w:val="70AD47" w:themeColor="accent6"/>
    </w:rPr>
  </w:style>
  <w:style w:type="character" w:styleId="BookTitle">
    <w:name w:val="Book Title"/>
    <w:basedOn w:val="DefaultParagraphFont"/>
    <w:uiPriority w:val="33"/>
    <w:qFormat/>
    <w:rsid w:val="00366F19"/>
    <w:rPr>
      <w:b/>
      <w:bCs/>
      <w:caps w:val="0"/>
      <w:smallCaps/>
      <w:spacing w:val="7"/>
      <w:sz w:val="21"/>
      <w:szCs w:val="21"/>
    </w:rPr>
  </w:style>
  <w:style w:type="paragraph" w:styleId="TOCHeading">
    <w:name w:val="TOC Heading"/>
    <w:basedOn w:val="Heading1"/>
    <w:next w:val="Normal"/>
    <w:uiPriority w:val="39"/>
    <w:semiHidden/>
    <w:unhideWhenUsed/>
    <w:qFormat/>
    <w:rsid w:val="00366F19"/>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20DE5-774F-4BD7-BC24-E37130485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25</Pages>
  <Words>6639</Words>
  <Characters>37848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mahendra singh</cp:lastModifiedBy>
  <cp:revision>5</cp:revision>
  <dcterms:created xsi:type="dcterms:W3CDTF">2026-04-27T00:27:00Z</dcterms:created>
  <dcterms:modified xsi:type="dcterms:W3CDTF">2026-04-27T03:35:00Z</dcterms:modified>
</cp:coreProperties>
</file>