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F7CDA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A7187">
              <w:rPr>
                <w:rFonts w:ascii="Times New Roman" w:hAnsi="Times New Roman" w:cs="Times New Roman"/>
                <w:b/>
                <w:color w:val="auto"/>
                <w:sz w:val="48"/>
              </w:rPr>
              <w:t>Nikita Weaver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44188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82787">
              <w:rPr>
                <w:rFonts w:ascii="Times New Roman" w:hAnsi="Times New Roman" w:cs="Times New Roman"/>
                <w:b/>
                <w:color w:val="auto"/>
                <w:sz w:val="48"/>
              </w:rPr>
              <w:t xml:space="preserve"> 2518427@student.uwtsd.ac.uk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EAA7418" w14:textId="0C34912B" w:rsidR="009D737A" w:rsidRPr="005D3F07" w:rsidRDefault="009D737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7B70343" w14:textId="77777777" w:rsidR="00495D4D" w:rsidRDefault="00495D4D" w:rsidP="00495D4D">
            <w:pPr>
              <w:spacing w:line="360" w:lineRule="auto"/>
              <w:jc w:val="both"/>
              <w:rPr>
                <w:color w:val="auto"/>
                <w:sz w:val="24"/>
                <w:szCs w:val="24"/>
              </w:rPr>
            </w:pPr>
            <w:r w:rsidRPr="00837F81">
              <w:rPr>
                <w:color w:val="auto"/>
                <w:sz w:val="24"/>
                <w:szCs w:val="24"/>
              </w:rPr>
              <w:t xml:space="preserve">I am a Children’s Social Worker in the South-West Wales area. Some parts of the Local Authority [LA] area are city based, with other parts rural. Issues such as poverty are noticeable throughout the LA, increasing the stress families working with services face (Elliott et al., 2024). This case will discuss Individual Five and Six and their unborn baby. Individual Five and Six are an adult, white British couple, who both speak English as their first and only language. Individual Five grew up in England and moved to Wales in their teens. Individual Six grew up in the area. My role in this case, is as the unborn baby’s social worker. I am responsible for case managing and carrying out the child protection process and procedures under the Social Services and Well-being (Wales) Act [SSW(W)A] 2014. Health and Social Services legislation is devolved, meaning the Welsh Government can create laws and policies specific to services in Wales. However, the Children Act 1989 is also crucial to safeguarding procedures in Wales. </w:t>
            </w:r>
          </w:p>
          <w:p w14:paraId="0CE484E0" w14:textId="77777777" w:rsidR="00837F81" w:rsidRPr="00837F81" w:rsidRDefault="00837F81" w:rsidP="00495D4D">
            <w:pPr>
              <w:spacing w:line="360" w:lineRule="auto"/>
              <w:jc w:val="both"/>
              <w:rPr>
                <w:color w:val="auto"/>
                <w:sz w:val="24"/>
                <w:szCs w:val="24"/>
              </w:rPr>
            </w:pPr>
          </w:p>
          <w:p w14:paraId="0304F2F1" w14:textId="77777777" w:rsidR="00495D4D" w:rsidRDefault="00495D4D" w:rsidP="00495D4D">
            <w:pPr>
              <w:spacing w:line="360" w:lineRule="auto"/>
              <w:jc w:val="both"/>
              <w:rPr>
                <w:color w:val="auto"/>
                <w:sz w:val="24"/>
                <w:szCs w:val="24"/>
              </w:rPr>
            </w:pPr>
            <w:r w:rsidRPr="00837F81">
              <w:rPr>
                <w:color w:val="auto"/>
                <w:sz w:val="24"/>
                <w:szCs w:val="24"/>
              </w:rPr>
              <w:lastRenderedPageBreak/>
              <w:t xml:space="preserve">A referral was received via the initial intake team, due to Individual Five presenting at A&amp;E with pain; a positive pregnancy test was confirmed with Individual Five being in their first trimester. The Doctor read on Individual Five’s file that they previously had a child removed at birth eight years prior. Born into Care research encourages professionals to refer expectant parents to Social Services as soon as they are aware of the pregnancy, and there has been previous safeguarding involvement (Mason et al. 2023). Under SSW(W)A 2014 Part 7 Section 130, the Doctor shared this information with Social Services as he had a legal duty to do so based on Individual’s Five’s history. Part 7 of SSW(W)A is specific to safeguarding matters. </w:t>
            </w:r>
          </w:p>
          <w:p w14:paraId="2B32E683" w14:textId="77777777" w:rsidR="00837F81" w:rsidRPr="00837F81" w:rsidRDefault="00837F81" w:rsidP="00495D4D">
            <w:pPr>
              <w:spacing w:line="360" w:lineRule="auto"/>
              <w:jc w:val="both"/>
              <w:rPr>
                <w:color w:val="auto"/>
                <w:sz w:val="24"/>
                <w:szCs w:val="24"/>
              </w:rPr>
            </w:pPr>
          </w:p>
          <w:p w14:paraId="6FE8B39B" w14:textId="77777777" w:rsidR="00495D4D" w:rsidRDefault="00495D4D" w:rsidP="00495D4D">
            <w:pPr>
              <w:spacing w:line="360" w:lineRule="auto"/>
              <w:jc w:val="both"/>
              <w:rPr>
                <w:color w:val="auto"/>
                <w:sz w:val="24"/>
                <w:szCs w:val="24"/>
              </w:rPr>
            </w:pPr>
            <w:r w:rsidRPr="00837F81">
              <w:rPr>
                <w:color w:val="auto"/>
                <w:sz w:val="24"/>
                <w:szCs w:val="24"/>
              </w:rPr>
              <w:t>Buckler (2025) considers how parents who have had children removed from their care, may experience ambiguous loss, which is described as the child not being physically with them but always in their minds. Considering grief and loss theory, I was aware that due to Individual Five’s first child subsequently being adopted, she would have experienced a significant loss, and this current pregnancy could bring a lot of those feelings to the surface, causing her to re-experience grief. Broadhurst et al. (2015) found 24% of mothers experienced repeat removals. I recognised the risk that professionals could interpret anxiety or avoidance as non-engagement, rather than considering the impact of previous trauma and loss on her ability to participate.</w:t>
            </w:r>
          </w:p>
          <w:p w14:paraId="614F6E5D" w14:textId="77777777" w:rsidR="00837F81" w:rsidRPr="00837F81" w:rsidRDefault="00837F81" w:rsidP="00495D4D">
            <w:pPr>
              <w:spacing w:line="360" w:lineRule="auto"/>
              <w:jc w:val="both"/>
              <w:rPr>
                <w:color w:val="auto"/>
                <w:sz w:val="24"/>
                <w:szCs w:val="24"/>
              </w:rPr>
            </w:pPr>
          </w:p>
          <w:p w14:paraId="4D3F3A05" w14:textId="77777777" w:rsidR="00495D4D" w:rsidRDefault="00495D4D" w:rsidP="00495D4D">
            <w:pPr>
              <w:spacing w:line="360" w:lineRule="auto"/>
              <w:jc w:val="both"/>
              <w:rPr>
                <w:color w:val="auto"/>
                <w:sz w:val="24"/>
                <w:szCs w:val="24"/>
              </w:rPr>
            </w:pPr>
            <w:r w:rsidRPr="00837F81">
              <w:rPr>
                <w:color w:val="auto"/>
                <w:sz w:val="24"/>
                <w:szCs w:val="24"/>
              </w:rPr>
              <w:t xml:space="preserve">Individual Five and Individual Six consented to a single assessment and for a professional mapping to be undertaken by a social worker. The case transferred from the initial intake team to a children’s team, and I became the allocated social worker for the unborn baby. My role was to undertake a single assessment, under Part 3, Section 21 of SSW(W)A 2014, and consider if there was any current or potential future risk to baby. </w:t>
            </w:r>
          </w:p>
          <w:p w14:paraId="0DD5B171" w14:textId="77777777" w:rsidR="00837F81" w:rsidRPr="00837F81" w:rsidRDefault="00837F81" w:rsidP="00495D4D">
            <w:pPr>
              <w:spacing w:line="360" w:lineRule="auto"/>
              <w:jc w:val="both"/>
              <w:rPr>
                <w:color w:val="auto"/>
                <w:sz w:val="24"/>
                <w:szCs w:val="24"/>
              </w:rPr>
            </w:pPr>
          </w:p>
          <w:p w14:paraId="0DA1B433" w14:textId="48D51D7A" w:rsidR="00495D4D" w:rsidRDefault="00495D4D" w:rsidP="00495D4D">
            <w:pPr>
              <w:spacing w:line="360" w:lineRule="auto"/>
              <w:jc w:val="both"/>
              <w:rPr>
                <w:color w:val="auto"/>
                <w:sz w:val="24"/>
                <w:szCs w:val="24"/>
              </w:rPr>
            </w:pPr>
            <w:r w:rsidRPr="00837F81">
              <w:rPr>
                <w:color w:val="auto"/>
                <w:sz w:val="24"/>
                <w:szCs w:val="24"/>
              </w:rPr>
              <w:t>According to SSW(W)A 2014 Part 7, Section 130 ““</w:t>
            </w:r>
            <w:r w:rsidRPr="00837F81">
              <w:rPr>
                <w:i/>
                <w:iCs/>
                <w:color w:val="auto"/>
                <w:sz w:val="24"/>
                <w:szCs w:val="24"/>
              </w:rPr>
              <w:t>a child at risk” is a child who - (a)is experiencing or is at risk of abuse, neglect or other kinds of harm, and (b)has needs for care and support (whether or not the authority is meeting any of those needs</w:t>
            </w:r>
            <w:r w:rsidRPr="00837F81">
              <w:rPr>
                <w:color w:val="auto"/>
                <w:sz w:val="24"/>
                <w:szCs w:val="24"/>
              </w:rPr>
              <w:t xml:space="preserve">).” “At risk” is defined further by the Wales Safeguarding Procedures </w:t>
            </w:r>
            <w:r w:rsidR="008C7E24">
              <w:rPr>
                <w:color w:val="auto"/>
                <w:sz w:val="24"/>
                <w:szCs w:val="24"/>
              </w:rPr>
              <w:t>(</w:t>
            </w:r>
            <w:r w:rsidR="00A91C5E">
              <w:rPr>
                <w:color w:val="auto"/>
                <w:sz w:val="24"/>
                <w:szCs w:val="24"/>
              </w:rPr>
              <w:t>SCW</w:t>
            </w:r>
            <w:r w:rsidR="008C7E24">
              <w:rPr>
                <w:color w:val="auto"/>
                <w:sz w:val="24"/>
                <w:szCs w:val="24"/>
              </w:rPr>
              <w:t xml:space="preserve">, </w:t>
            </w:r>
            <w:r w:rsidR="00A91C5E">
              <w:rPr>
                <w:color w:val="auto"/>
                <w:sz w:val="24"/>
                <w:szCs w:val="24"/>
              </w:rPr>
              <w:t>2019</w:t>
            </w:r>
            <w:r w:rsidR="008C7E24">
              <w:rPr>
                <w:color w:val="auto"/>
                <w:sz w:val="24"/>
                <w:szCs w:val="24"/>
              </w:rPr>
              <w:t>)</w:t>
            </w:r>
            <w:r w:rsidRPr="00837F81">
              <w:rPr>
                <w:color w:val="auto"/>
                <w:sz w:val="24"/>
                <w:szCs w:val="24"/>
              </w:rPr>
              <w:t>, meaning that “</w:t>
            </w:r>
            <w:r w:rsidRPr="00837F81">
              <w:rPr>
                <w:i/>
                <w:iCs/>
                <w:color w:val="auto"/>
                <w:sz w:val="24"/>
                <w:szCs w:val="24"/>
              </w:rPr>
              <w:t xml:space="preserve">actual abuse or neglect does not need to occur, rather early interventions to protect a child at risk should be </w:t>
            </w:r>
            <w:r w:rsidRPr="00837F81">
              <w:rPr>
                <w:i/>
                <w:iCs/>
                <w:color w:val="auto"/>
                <w:sz w:val="24"/>
                <w:szCs w:val="24"/>
              </w:rPr>
              <w:lastRenderedPageBreak/>
              <w:t>considered to prevent actual harm, abuse and neglect</w:t>
            </w:r>
            <w:r w:rsidRPr="00837F81">
              <w:rPr>
                <w:color w:val="auto"/>
                <w:sz w:val="24"/>
                <w:szCs w:val="24"/>
              </w:rPr>
              <w:t xml:space="preserve">”. </w:t>
            </w:r>
            <w:r w:rsidR="00A91C5E">
              <w:rPr>
                <w:color w:val="auto"/>
                <w:sz w:val="24"/>
                <w:szCs w:val="24"/>
              </w:rPr>
              <w:t>SCW (2019) WSP</w:t>
            </w:r>
            <w:r w:rsidRPr="00837F81">
              <w:rPr>
                <w:color w:val="auto"/>
                <w:sz w:val="24"/>
                <w:szCs w:val="24"/>
              </w:rPr>
              <w:t xml:space="preserve"> were created to support professionals to implement SSW(W)A 2014 in daily practice. </w:t>
            </w:r>
          </w:p>
          <w:p w14:paraId="0DDE17C2" w14:textId="77777777" w:rsidR="00837F81" w:rsidRPr="00837F81" w:rsidRDefault="00837F81" w:rsidP="00495D4D">
            <w:pPr>
              <w:spacing w:line="360" w:lineRule="auto"/>
              <w:jc w:val="both"/>
              <w:rPr>
                <w:color w:val="auto"/>
                <w:sz w:val="24"/>
                <w:szCs w:val="24"/>
              </w:rPr>
            </w:pPr>
          </w:p>
          <w:p w14:paraId="0F8ACEF7" w14:textId="77777777" w:rsidR="00495D4D" w:rsidRDefault="00495D4D" w:rsidP="00495D4D">
            <w:pPr>
              <w:spacing w:line="360" w:lineRule="auto"/>
              <w:jc w:val="both"/>
              <w:rPr>
                <w:color w:val="auto"/>
                <w:sz w:val="24"/>
                <w:szCs w:val="24"/>
              </w:rPr>
            </w:pPr>
            <w:r w:rsidRPr="00837F81">
              <w:rPr>
                <w:color w:val="auto"/>
                <w:sz w:val="24"/>
                <w:szCs w:val="24"/>
              </w:rPr>
              <w:t xml:space="preserve">According to Levenson (2020), professional’s working with vulnerable people should aim to be trauma-informed in their practice; professionals should be person-centred in their approach, and aim to build working relationships that encourage trust, respect, hope and collaboration with the service user so there is a shared power in safety planning around them. Asmussen et al. (2022) further encourages the importance of building relationships with families. I follow the signs of safety model throughout my daily practice with families, which focuses on individual’s strengths (Turnell and Edwards, 1999); trauma-informed practice and SSW(W)A 2014 compliment this model. </w:t>
            </w:r>
          </w:p>
          <w:p w14:paraId="2EC92FE5" w14:textId="77777777" w:rsidR="00837F81" w:rsidRPr="00837F81" w:rsidRDefault="00837F81" w:rsidP="00495D4D">
            <w:pPr>
              <w:spacing w:line="360" w:lineRule="auto"/>
              <w:jc w:val="both"/>
              <w:rPr>
                <w:color w:val="auto"/>
                <w:sz w:val="24"/>
                <w:szCs w:val="24"/>
              </w:rPr>
            </w:pPr>
          </w:p>
          <w:p w14:paraId="5B328350" w14:textId="77777777" w:rsidR="00495D4D" w:rsidRDefault="00495D4D" w:rsidP="00495D4D">
            <w:pPr>
              <w:spacing w:line="360" w:lineRule="auto"/>
              <w:jc w:val="both"/>
              <w:rPr>
                <w:color w:val="auto"/>
                <w:sz w:val="24"/>
                <w:szCs w:val="24"/>
              </w:rPr>
            </w:pPr>
            <w:r w:rsidRPr="00837F81">
              <w:rPr>
                <w:color w:val="auto"/>
                <w:sz w:val="24"/>
                <w:szCs w:val="24"/>
              </w:rPr>
              <w:t xml:space="preserve">I completed an initial home visit to Individual Five and Six to introduce myself and explain my role. My line manager and I decided beforehand that they would visit with me, as they were also the previous social worker for Individual Five’s older child. I wanted to use a trauma-informed approach and be open with Individual Five from the start of our working relationship, about who my line manager was. Taking into account trauma-informed theory, I was wary of the previous social worker’s name being on future documents, such as the approved single assessment, as this may have been triggering for Individual Five. By having my line manager visit with me, this would not be a shock later. I used clear, honest and accessible communication with parents to explain concerns, processes and possible outcomes, while being mindful that previous trauma could affect how information was received. Born into Care research encourages professionals to work sensitively with expectant parents (Mason et al. 2023); I feel I did this, demonstrating a core social work value in respecting Individual Five and Six (SCW, 2017, Codes Of Professional Practice [COPP]; Smith, 2004), in line with trauma-informed relationship building (Levenson, 2020). </w:t>
            </w:r>
          </w:p>
          <w:p w14:paraId="4C059B13" w14:textId="77777777" w:rsidR="00837F81" w:rsidRPr="00837F81" w:rsidRDefault="00837F81" w:rsidP="00495D4D">
            <w:pPr>
              <w:spacing w:line="360" w:lineRule="auto"/>
              <w:jc w:val="both"/>
              <w:rPr>
                <w:color w:val="auto"/>
                <w:sz w:val="24"/>
                <w:szCs w:val="24"/>
              </w:rPr>
            </w:pPr>
          </w:p>
          <w:p w14:paraId="3BE48CFF" w14:textId="2307EC61" w:rsidR="00495D4D" w:rsidRDefault="00495D4D" w:rsidP="00495D4D">
            <w:pPr>
              <w:spacing w:line="360" w:lineRule="auto"/>
              <w:jc w:val="both"/>
              <w:rPr>
                <w:color w:val="auto"/>
                <w:sz w:val="24"/>
                <w:szCs w:val="24"/>
              </w:rPr>
            </w:pPr>
            <w:r w:rsidRPr="00837F81">
              <w:rPr>
                <w:color w:val="auto"/>
                <w:sz w:val="24"/>
                <w:szCs w:val="24"/>
              </w:rPr>
              <w:t xml:space="preserve">The “Active Offer” for advocacy is primarily for children and young people, however SSW(W)A 2014 Part 10 Codes of Practice enforces the responsibility on the LA to make sure parents having an assessment are given the option of advocacy to support them through processes and to make sure their views and wishes are heard (Social Care Wales [SCW], 2017, COPP; </w:t>
            </w:r>
            <w:r w:rsidRPr="00837F81">
              <w:rPr>
                <w:color w:val="auto"/>
                <w:sz w:val="24"/>
                <w:szCs w:val="24"/>
              </w:rPr>
              <w:lastRenderedPageBreak/>
              <w:t xml:space="preserve">Welsh Government, 2019b). Although the case was managed within devolved Welsh safeguarding procedures, my practice was also shaped by United Kingdom [UK]-wide law such as the Children Act 1989, European Union [EU] data protection principles through General Data Protection Regulation [GDPR] 2018, and wider international frameworks outside the EU such as the United Nations Convention on the Rights of the Child [UNCRC] 1989. The Local Welsh legislation incorporates Schedule 17 of the national UK wide Equality Act 2010, which also enforces that a LA utilise Individual Professional Advocates [IPA]. </w:t>
            </w:r>
            <w:r w:rsidR="00A91C5E">
              <w:rPr>
                <w:color w:val="auto"/>
                <w:sz w:val="24"/>
                <w:szCs w:val="24"/>
              </w:rPr>
              <w:t>SCW (2019) WSP</w:t>
            </w:r>
            <w:r w:rsidRPr="00837F81">
              <w:rPr>
                <w:color w:val="auto"/>
                <w:sz w:val="24"/>
                <w:szCs w:val="24"/>
              </w:rPr>
              <w:t xml:space="preserve"> also encourages service users voice and views are gathered throughout assessments. </w:t>
            </w:r>
          </w:p>
          <w:p w14:paraId="3EB11597" w14:textId="77777777" w:rsidR="00837F81" w:rsidRPr="00837F81" w:rsidRDefault="00837F81" w:rsidP="00495D4D">
            <w:pPr>
              <w:spacing w:line="360" w:lineRule="auto"/>
              <w:jc w:val="both"/>
              <w:rPr>
                <w:color w:val="auto"/>
                <w:sz w:val="24"/>
                <w:szCs w:val="24"/>
              </w:rPr>
            </w:pPr>
          </w:p>
          <w:p w14:paraId="4A01F2EB" w14:textId="77777777" w:rsidR="00495D4D" w:rsidRDefault="00495D4D" w:rsidP="00495D4D">
            <w:pPr>
              <w:spacing w:line="360" w:lineRule="auto"/>
              <w:jc w:val="both"/>
              <w:rPr>
                <w:color w:val="auto"/>
                <w:sz w:val="24"/>
                <w:szCs w:val="24"/>
              </w:rPr>
            </w:pPr>
            <w:r w:rsidRPr="00837F81">
              <w:rPr>
                <w:color w:val="auto"/>
                <w:sz w:val="24"/>
                <w:szCs w:val="24"/>
              </w:rPr>
              <w:t xml:space="preserve">The offer of advocacy links with principles of SSW(W)A 2014, encouraging individuals we work with to use their voice to consider their choices and taking control of their circumstances. Individual Five and Six chose to not take up the active offer of advocacy on this occasion; it is important to consider the Mental Capacity Act 2005, as adults have the right to make their own decisions. I provided Individual Five and Six with a leaflet to consider Advocacy for themselves and they could let me know if they change their mind. I followed EU data protection principles implemented through UK GDPR and considered wider international regulations, including the UNCRC and European Convention on Human Rights [ECHR] 1951. Throughout SSW(W)A 2014 consideration is given to UNCRC 1989; this includes the encouragement of service users to express their views and for professionals to listen to them. Wales is the only nation of the UK to consider UNCRC 1989 within their devolved laws. The Rights of Children and Young Persons (Wales) Measure 2011 enforces the expectation that the Welsh Ministers and the First Minister must take into account the UNCRC 1989 when making decisions. Any professional supporting individuals within Wales, must take into account UNCRC 1989, according to Part 2, Section 7 of SSW(W)A 2014. </w:t>
            </w:r>
          </w:p>
          <w:p w14:paraId="5B6690B2" w14:textId="77777777" w:rsidR="00837F81" w:rsidRPr="00837F81" w:rsidRDefault="00837F81" w:rsidP="00495D4D">
            <w:pPr>
              <w:spacing w:line="360" w:lineRule="auto"/>
              <w:jc w:val="both"/>
              <w:rPr>
                <w:color w:val="auto"/>
                <w:sz w:val="24"/>
                <w:szCs w:val="24"/>
              </w:rPr>
            </w:pPr>
          </w:p>
          <w:p w14:paraId="47D10ADF" w14:textId="78E7749E" w:rsidR="00495D4D" w:rsidRDefault="00495D4D" w:rsidP="00495D4D">
            <w:pPr>
              <w:spacing w:line="360" w:lineRule="auto"/>
              <w:jc w:val="both"/>
              <w:rPr>
                <w:color w:val="auto"/>
                <w:sz w:val="24"/>
                <w:szCs w:val="24"/>
              </w:rPr>
            </w:pPr>
            <w:r w:rsidRPr="00837F81">
              <w:rPr>
                <w:color w:val="auto"/>
                <w:sz w:val="24"/>
                <w:szCs w:val="24"/>
              </w:rPr>
              <w:t>Considering Learning Outcome [LO] Three, the dilemma was that my professional judgement was that Individuals Five and Six would benefit from parental advocacy, as it may help them understand the process and ensure their views were represented. Research also indicates that advocacy is important for service users (</w:t>
            </w:r>
            <w:r w:rsidR="00AD13CA">
              <w:rPr>
                <w:color w:val="auto"/>
                <w:sz w:val="24"/>
                <w:szCs w:val="24"/>
              </w:rPr>
              <w:t>Fitz-Symonds et al., 2024</w:t>
            </w:r>
            <w:r w:rsidRPr="00837F81">
              <w:rPr>
                <w:color w:val="auto"/>
                <w:sz w:val="24"/>
                <w:szCs w:val="24"/>
              </w:rPr>
              <w:t>), more so during child protection and public law outline [PLO] processes, as these can often be confusing with service users experiencing a power imbalance with professionals (Jackson et al., 201</w:t>
            </w:r>
            <w:r w:rsidR="00BD64C7">
              <w:rPr>
                <w:color w:val="auto"/>
                <w:sz w:val="24"/>
                <w:szCs w:val="24"/>
              </w:rPr>
              <w:t>6</w:t>
            </w:r>
            <w:r w:rsidRPr="00837F81">
              <w:rPr>
                <w:color w:val="auto"/>
                <w:sz w:val="24"/>
                <w:szCs w:val="24"/>
              </w:rPr>
              <w:t>; Fitz-</w:t>
            </w:r>
            <w:r w:rsidRPr="00837F81">
              <w:rPr>
                <w:color w:val="auto"/>
                <w:sz w:val="24"/>
                <w:szCs w:val="24"/>
              </w:rPr>
              <w:lastRenderedPageBreak/>
              <w:t>Symonds et al., 2024). However, they had been given information to make an informed decision and had the right to refuse advocacy (SCW, 2017, COPP). The difficulty for me was balancing my safeguarding role and professional view that advocacy would support participation, with their right as adults to refuse. I respected their decision and did not force my views on them; by empowering them through accessible written advocacy information, they could reconsider if they changed their mind. I feel this demonstrated anti-oppressive practice (Smith, 2004) and helped balance professional power with parents’ rights within child protection processes (COPP, SCW, 2017).</w:t>
            </w:r>
          </w:p>
          <w:p w14:paraId="46B4B0CE" w14:textId="77777777" w:rsidR="00837F81" w:rsidRPr="00837F81" w:rsidRDefault="00837F81" w:rsidP="00495D4D">
            <w:pPr>
              <w:spacing w:line="360" w:lineRule="auto"/>
              <w:jc w:val="both"/>
              <w:rPr>
                <w:color w:val="auto"/>
                <w:sz w:val="24"/>
                <w:szCs w:val="24"/>
              </w:rPr>
            </w:pPr>
          </w:p>
          <w:p w14:paraId="399ADD43" w14:textId="692807CD" w:rsidR="00495D4D" w:rsidRDefault="00495D4D" w:rsidP="00495D4D">
            <w:pPr>
              <w:spacing w:line="360" w:lineRule="auto"/>
              <w:jc w:val="both"/>
              <w:rPr>
                <w:color w:val="auto"/>
                <w:sz w:val="24"/>
                <w:szCs w:val="24"/>
              </w:rPr>
            </w:pPr>
            <w:r w:rsidRPr="00837F81">
              <w:rPr>
                <w:color w:val="auto"/>
                <w:sz w:val="24"/>
                <w:szCs w:val="24"/>
              </w:rPr>
              <w:t xml:space="preserve">Multi-agency collaborative working was evident within the professional mapping (LO Two). Professionals invited included me as the allocated social worker, my line </w:t>
            </w:r>
            <w:r w:rsidR="00813F46" w:rsidRPr="00837F81">
              <w:rPr>
                <w:color w:val="auto"/>
                <w:sz w:val="24"/>
                <w:szCs w:val="24"/>
              </w:rPr>
              <w:t>manager</w:t>
            </w:r>
            <w:r w:rsidRPr="00837F81">
              <w:rPr>
                <w:color w:val="auto"/>
                <w:sz w:val="24"/>
                <w:szCs w:val="24"/>
              </w:rPr>
              <w:t>, community midwife, and the manager of the under two parenting preventative service. Mappings ensure that professionals collaborate with Part 11, Section 164 of SSW(W)A 2014, doing their duty in sharing information as part of the single assessment undertaken by Social Services. This duty is further emphasised by the Data Protection Act 2018, that emphasises how information can be shared by professionals without consent if it involves a child or adult at risk (Welsh Government, 2019</w:t>
            </w:r>
            <w:r w:rsidR="001F2960">
              <w:rPr>
                <w:color w:val="auto"/>
                <w:sz w:val="24"/>
                <w:szCs w:val="24"/>
              </w:rPr>
              <w:t>a</w:t>
            </w:r>
            <w:r w:rsidRPr="00837F81">
              <w:rPr>
                <w:color w:val="auto"/>
                <w:sz w:val="24"/>
                <w:szCs w:val="24"/>
              </w:rPr>
              <w:t xml:space="preserve">). Although, </w:t>
            </w:r>
            <w:r w:rsidR="00E27A4D">
              <w:rPr>
                <w:color w:val="auto"/>
                <w:sz w:val="24"/>
                <w:szCs w:val="24"/>
              </w:rPr>
              <w:t xml:space="preserve">Alfandari and Taylor </w:t>
            </w:r>
            <w:r w:rsidRPr="00837F81">
              <w:rPr>
                <w:color w:val="auto"/>
                <w:sz w:val="24"/>
                <w:szCs w:val="24"/>
              </w:rPr>
              <w:t>(202</w:t>
            </w:r>
            <w:r w:rsidR="00E27A4D">
              <w:rPr>
                <w:color w:val="auto"/>
                <w:sz w:val="24"/>
                <w:szCs w:val="24"/>
              </w:rPr>
              <w:t>2</w:t>
            </w:r>
            <w:r w:rsidRPr="00837F81">
              <w:rPr>
                <w:color w:val="auto"/>
                <w:sz w:val="24"/>
                <w:szCs w:val="24"/>
              </w:rPr>
              <w:t xml:space="preserve">) found that information shared can be interpreted differently by each professional and therefore should remain factual. </w:t>
            </w:r>
          </w:p>
          <w:p w14:paraId="3143853A" w14:textId="77777777" w:rsidR="00837F81" w:rsidRPr="00837F81" w:rsidRDefault="00837F81" w:rsidP="00495D4D">
            <w:pPr>
              <w:spacing w:line="360" w:lineRule="auto"/>
              <w:jc w:val="both"/>
              <w:rPr>
                <w:color w:val="auto"/>
                <w:sz w:val="24"/>
                <w:szCs w:val="24"/>
              </w:rPr>
            </w:pPr>
          </w:p>
          <w:p w14:paraId="05271B6D" w14:textId="77777777" w:rsidR="00495D4D" w:rsidRDefault="00495D4D" w:rsidP="00495D4D">
            <w:pPr>
              <w:spacing w:line="360" w:lineRule="auto"/>
              <w:jc w:val="both"/>
              <w:rPr>
                <w:color w:val="auto"/>
                <w:sz w:val="24"/>
                <w:szCs w:val="24"/>
              </w:rPr>
            </w:pPr>
            <w:r w:rsidRPr="00837F81">
              <w:rPr>
                <w:color w:val="auto"/>
                <w:sz w:val="24"/>
                <w:szCs w:val="24"/>
              </w:rPr>
              <w:t xml:space="preserve">During the mapping, referrals were made and accepted by the under two parenting preventative service; this included Individual Five and Six being supported by a parenting support worker, nursery nurse and specialist midwife (LO 1 Analysis in assessment; LO 2 Collaborative working; LO 3 Professional judgment). SSW(W)A 2014, Part 2, Section 15 encourages professionals to consider service users right to preventative services if it reduces the worries and limits the need to escalate a case to child protection. Considering the research of TunstilI and Blewett (2015), I feel the mapping was outcome-focused and person-centred, as professionals shared a collective goal in wanting to support Individual Five and Six to meet their goal of caring for their baby when born (SCW, 2017, COPP; Murphy et al., 2013). By referrals being accepted as part of the mapping without needing a written referral form, it ensured the planning for support around Individual Five and Six was done in a concise and timely manner (Mason et al. 2023). </w:t>
            </w:r>
          </w:p>
          <w:p w14:paraId="6634D101" w14:textId="77777777" w:rsidR="00837F81" w:rsidRPr="00837F81" w:rsidRDefault="00837F81" w:rsidP="00495D4D">
            <w:pPr>
              <w:spacing w:line="360" w:lineRule="auto"/>
              <w:jc w:val="both"/>
              <w:rPr>
                <w:color w:val="auto"/>
                <w:sz w:val="24"/>
                <w:szCs w:val="24"/>
              </w:rPr>
            </w:pPr>
          </w:p>
          <w:p w14:paraId="4853CE08" w14:textId="7E3DB053" w:rsidR="00495D4D" w:rsidRDefault="00495D4D" w:rsidP="00495D4D">
            <w:pPr>
              <w:spacing w:line="360" w:lineRule="auto"/>
              <w:jc w:val="both"/>
              <w:rPr>
                <w:color w:val="auto"/>
                <w:sz w:val="24"/>
                <w:szCs w:val="24"/>
              </w:rPr>
            </w:pPr>
            <w:r w:rsidRPr="00837F81">
              <w:rPr>
                <w:color w:val="auto"/>
                <w:sz w:val="24"/>
                <w:szCs w:val="24"/>
              </w:rPr>
              <w:t xml:space="preserve">In considering LO Two and further tensions and potential for conflict when working in a multi-agency team around a family, I reflected on a difference in opinion that occurred during the mapping. As one of the concerns regarding Individual Five and Six is the poor home conditions in which they reside, midwifery felt Social Services should pay for the home to be cleaned by a professional service. It is important to acknowledge the importance of partnership working, as the </w:t>
            </w:r>
            <w:r w:rsidR="00A91C5E">
              <w:rPr>
                <w:color w:val="auto"/>
                <w:sz w:val="24"/>
                <w:szCs w:val="24"/>
              </w:rPr>
              <w:t>SCW (2019) WSP</w:t>
            </w:r>
            <w:r w:rsidRPr="00837F81">
              <w:rPr>
                <w:color w:val="auto"/>
                <w:sz w:val="24"/>
                <w:szCs w:val="24"/>
              </w:rPr>
              <w:t xml:space="preserve"> outline the roles and responsibilities of professionals and encourage all those working with a family to remember safeguarding is a shared responsibility. </w:t>
            </w:r>
            <w:r w:rsidR="004C51E2">
              <w:rPr>
                <w:color w:val="auto"/>
                <w:sz w:val="24"/>
                <w:szCs w:val="24"/>
              </w:rPr>
              <w:t>Saar-Heiman and Gupta</w:t>
            </w:r>
            <w:r w:rsidRPr="00837F81">
              <w:rPr>
                <w:color w:val="auto"/>
                <w:sz w:val="24"/>
                <w:szCs w:val="24"/>
              </w:rPr>
              <w:t xml:space="preserve"> (202</w:t>
            </w:r>
            <w:r w:rsidR="004C51E2">
              <w:rPr>
                <w:color w:val="auto"/>
                <w:sz w:val="24"/>
                <w:szCs w:val="24"/>
              </w:rPr>
              <w:t>0</w:t>
            </w:r>
            <w:r w:rsidRPr="00837F81">
              <w:rPr>
                <w:color w:val="auto"/>
                <w:sz w:val="24"/>
                <w:szCs w:val="24"/>
              </w:rPr>
              <w:t xml:space="preserve">) found practical support could help parents on low-income improve their care of their children. </w:t>
            </w:r>
          </w:p>
          <w:p w14:paraId="0DAEC63C" w14:textId="77777777" w:rsidR="00837F81" w:rsidRPr="00837F81" w:rsidRDefault="00837F81" w:rsidP="00495D4D">
            <w:pPr>
              <w:spacing w:line="360" w:lineRule="auto"/>
              <w:jc w:val="both"/>
              <w:rPr>
                <w:color w:val="auto"/>
                <w:sz w:val="24"/>
                <w:szCs w:val="24"/>
              </w:rPr>
            </w:pPr>
          </w:p>
          <w:p w14:paraId="5213F3E7" w14:textId="77777777" w:rsidR="00495D4D" w:rsidRDefault="00495D4D" w:rsidP="00495D4D">
            <w:pPr>
              <w:spacing w:line="360" w:lineRule="auto"/>
              <w:jc w:val="both"/>
              <w:rPr>
                <w:color w:val="auto"/>
                <w:sz w:val="24"/>
                <w:szCs w:val="24"/>
              </w:rPr>
            </w:pPr>
            <w:r w:rsidRPr="00837F81">
              <w:rPr>
                <w:color w:val="auto"/>
                <w:sz w:val="24"/>
                <w:szCs w:val="24"/>
              </w:rPr>
              <w:t>However, I also had to consider the impact of budget constraints and the need to ensure that any support service would help the family meet their long-term goals, the support would be sustainable throughout the assessment process and that the support focused on longer-term positive change instead of short-term gain. I felt that, due to home conditions being a long-standing concern for Individual Five, it would be more beneficial to work with Individual Five and Six to teach them the skills needed and empower them to make consistent changes they could maintain long-term. I was influenced by the ideology of doing “with” families, not “for” them, encouraging strengths-based practice and promoting positive engagement rather than creating dependency on services. A cleaner would provide a short-term solution but would not address the change needed on a long-term basis.</w:t>
            </w:r>
          </w:p>
          <w:p w14:paraId="28C327D4" w14:textId="77777777" w:rsidR="00837F81" w:rsidRPr="00837F81" w:rsidRDefault="00837F81" w:rsidP="00495D4D">
            <w:pPr>
              <w:spacing w:line="360" w:lineRule="auto"/>
              <w:jc w:val="both"/>
              <w:rPr>
                <w:color w:val="auto"/>
                <w:sz w:val="24"/>
                <w:szCs w:val="24"/>
              </w:rPr>
            </w:pPr>
          </w:p>
          <w:p w14:paraId="6280CD71" w14:textId="77777777" w:rsidR="00495D4D" w:rsidRDefault="00495D4D" w:rsidP="00495D4D">
            <w:pPr>
              <w:spacing w:line="360" w:lineRule="auto"/>
              <w:jc w:val="both"/>
              <w:rPr>
                <w:color w:val="auto"/>
                <w:sz w:val="24"/>
                <w:szCs w:val="24"/>
              </w:rPr>
            </w:pPr>
            <w:r w:rsidRPr="00837F81">
              <w:rPr>
                <w:color w:val="auto"/>
                <w:sz w:val="24"/>
                <w:szCs w:val="24"/>
              </w:rPr>
              <w:t xml:space="preserve">Critically reflecting on my practice, I needed to manage this professional disagreement with midwifery respectfully while being clear why a one-time cleaner was not the best solution. This challenged my values because I wanted to respond quickly to concerns about the baby’s future home environment, while avoiding dependency or a short-term intervention that would not support long-term change. I challenged the view that Social Services should pay for a professional cleaner by explaining why ongoing preventative support would help Individual Five and Six learn the skills needed to sustain change in their home conditions. I appreciate that professional roles, power imbalances and funding constraints can affect decision-making (Caiels et al., 2024). Midwifery’s concern was understandable, and I recognise that I could </w:t>
            </w:r>
            <w:r w:rsidRPr="00837F81">
              <w:rPr>
                <w:color w:val="auto"/>
                <w:sz w:val="24"/>
                <w:szCs w:val="24"/>
              </w:rPr>
              <w:lastRenderedPageBreak/>
              <w:t>have explored a one-time cleaner alongside practical, skill-based support around routines, hygiene, budgeting and home management. This may have balanced immediate safeguarding concerns with longer-term skill building and shared problem-solving, rather than the view of Social Services leading the plan.</w:t>
            </w:r>
          </w:p>
          <w:p w14:paraId="480F65E7" w14:textId="77777777" w:rsidR="00837F81" w:rsidRPr="00837F81" w:rsidRDefault="00837F81" w:rsidP="00495D4D">
            <w:pPr>
              <w:spacing w:line="360" w:lineRule="auto"/>
              <w:jc w:val="both"/>
              <w:rPr>
                <w:color w:val="auto"/>
                <w:sz w:val="24"/>
                <w:szCs w:val="24"/>
              </w:rPr>
            </w:pPr>
          </w:p>
          <w:p w14:paraId="025650CE" w14:textId="261CF775" w:rsidR="00495D4D" w:rsidRDefault="00495D4D" w:rsidP="00495D4D">
            <w:pPr>
              <w:spacing w:line="360" w:lineRule="auto"/>
              <w:jc w:val="both"/>
              <w:rPr>
                <w:color w:val="auto"/>
                <w:sz w:val="24"/>
                <w:szCs w:val="24"/>
              </w:rPr>
            </w:pPr>
            <w:r w:rsidRPr="00837F81">
              <w:rPr>
                <w:color w:val="auto"/>
                <w:sz w:val="24"/>
                <w:szCs w:val="24"/>
              </w:rPr>
              <w:t xml:space="preserve">An Initial Strategy Discussion [ISD] was held and a single section 47 [s.47] enquiry initiated during the first trimester. I carried out the child protection enquiry and completed an assessment. The Children Act 1989 Section 47 outlines the Local Authorities duty to fully explore whether a child is currently at risk or likely to be at risk of significant harm if a child protection plan is not in place. In these circumstances, it was decided threshold was met for child protection due to the past harm evidenced. The </w:t>
            </w:r>
            <w:r w:rsidR="00A91C5E">
              <w:rPr>
                <w:color w:val="auto"/>
                <w:sz w:val="24"/>
                <w:szCs w:val="24"/>
              </w:rPr>
              <w:t>SCW (2019) WSP</w:t>
            </w:r>
            <w:r w:rsidRPr="00837F81">
              <w:rPr>
                <w:color w:val="auto"/>
                <w:sz w:val="24"/>
                <w:szCs w:val="24"/>
              </w:rPr>
              <w:t xml:space="preserve"> outlines the s.47 process and the criteria of what is considered harmful, abusive behaviour towards a child. The s.47 enquiry concluded that the baby was at risk of neglect once born, if support was not provided to Individual Five and Six. The worries that were found eight years prior in Individual Five’s ability to parent and care for a child, were still present today and it was not known whether Individual Six could protect and meet baby’s basic care needs as this was their first child (LO 1 Analysis in Assessment; LO 3 Professional Judgement). </w:t>
            </w:r>
          </w:p>
          <w:p w14:paraId="5409E887" w14:textId="77777777" w:rsidR="00837F81" w:rsidRPr="00837F81" w:rsidRDefault="00837F81" w:rsidP="00495D4D">
            <w:pPr>
              <w:spacing w:line="360" w:lineRule="auto"/>
              <w:jc w:val="both"/>
              <w:rPr>
                <w:color w:val="auto"/>
                <w:sz w:val="24"/>
                <w:szCs w:val="24"/>
              </w:rPr>
            </w:pPr>
          </w:p>
          <w:p w14:paraId="44669FC4" w14:textId="716D9F20" w:rsidR="00495D4D" w:rsidRDefault="00495D4D" w:rsidP="00495D4D">
            <w:pPr>
              <w:spacing w:line="360" w:lineRule="auto"/>
              <w:jc w:val="both"/>
              <w:rPr>
                <w:color w:val="auto"/>
                <w:sz w:val="24"/>
                <w:szCs w:val="24"/>
              </w:rPr>
            </w:pPr>
            <w:r w:rsidRPr="00837F81">
              <w:rPr>
                <w:color w:val="auto"/>
                <w:sz w:val="24"/>
                <w:szCs w:val="24"/>
              </w:rPr>
              <w:t>A referral was made for an Initial Child Protection Conference [ICPC] and professionals agreed threshold had been met for baby’s name to be placed on the CP Register at birth, under the category of neglect. Statutory guidance, Working Together to Safeguard People Volume Five (Welsh Government 2019</w:t>
            </w:r>
            <w:r w:rsidR="007C326D">
              <w:rPr>
                <w:color w:val="auto"/>
                <w:sz w:val="24"/>
                <w:szCs w:val="24"/>
              </w:rPr>
              <w:t>a</w:t>
            </w:r>
            <w:r w:rsidRPr="00837F81">
              <w:rPr>
                <w:color w:val="auto"/>
                <w:sz w:val="24"/>
                <w:szCs w:val="24"/>
              </w:rPr>
              <w:t xml:space="preserve">), outlines child protection procedures. A child protection plan was created during the ICPC and monitored within Core Group meetings. The statutory guidance also encourages, in cases where there is an unborn baby, that pre-birth assessments are completed as early as possible in the pregnancy. </w:t>
            </w:r>
          </w:p>
          <w:p w14:paraId="431D5D11" w14:textId="77777777" w:rsidR="00837F81" w:rsidRPr="00837F81" w:rsidRDefault="00837F81" w:rsidP="00495D4D">
            <w:pPr>
              <w:spacing w:line="360" w:lineRule="auto"/>
              <w:jc w:val="both"/>
              <w:rPr>
                <w:color w:val="auto"/>
                <w:sz w:val="24"/>
                <w:szCs w:val="24"/>
              </w:rPr>
            </w:pPr>
          </w:p>
          <w:p w14:paraId="300BED23" w14:textId="77777777" w:rsidR="00495D4D" w:rsidRDefault="00495D4D" w:rsidP="00495D4D">
            <w:pPr>
              <w:spacing w:line="360" w:lineRule="auto"/>
              <w:jc w:val="both"/>
              <w:rPr>
                <w:color w:val="auto"/>
                <w:sz w:val="24"/>
                <w:szCs w:val="24"/>
              </w:rPr>
            </w:pPr>
            <w:r w:rsidRPr="00837F81">
              <w:rPr>
                <w:color w:val="auto"/>
                <w:sz w:val="24"/>
                <w:szCs w:val="24"/>
              </w:rPr>
              <w:t xml:space="preserve">Following the ICPC, a legal gateway meeting was held and professionals agreed to initiate pre-proceedings within the PLO procedures. As per the national Born into Care guidance, professional’s worries and next steps being taken were explained to parents (Mason et al. 2023) prior to ICPC via a report and following initiating pre-proceedings via a PLO letter and </w:t>
            </w:r>
            <w:r w:rsidRPr="00837F81">
              <w:rPr>
                <w:color w:val="auto"/>
                <w:sz w:val="24"/>
                <w:szCs w:val="24"/>
              </w:rPr>
              <w:lastRenderedPageBreak/>
              <w:t xml:space="preserve">meeting. During the PLO process, a CUBAS parenting assessment was completed of parents, my role was to then complete the overall PLO analysis. </w:t>
            </w:r>
          </w:p>
          <w:p w14:paraId="7BDC79FC" w14:textId="77777777" w:rsidR="00837F81" w:rsidRPr="00837F81" w:rsidRDefault="00837F81" w:rsidP="00495D4D">
            <w:pPr>
              <w:spacing w:line="360" w:lineRule="auto"/>
              <w:jc w:val="both"/>
              <w:rPr>
                <w:color w:val="auto"/>
                <w:sz w:val="24"/>
                <w:szCs w:val="24"/>
              </w:rPr>
            </w:pPr>
          </w:p>
          <w:p w14:paraId="54951468" w14:textId="77777777" w:rsidR="00495D4D" w:rsidRDefault="00495D4D" w:rsidP="00495D4D">
            <w:pPr>
              <w:spacing w:line="360" w:lineRule="auto"/>
              <w:jc w:val="both"/>
              <w:rPr>
                <w:color w:val="auto"/>
                <w:sz w:val="24"/>
                <w:szCs w:val="24"/>
              </w:rPr>
            </w:pPr>
            <w:r w:rsidRPr="00837F81">
              <w:rPr>
                <w:color w:val="auto"/>
                <w:sz w:val="24"/>
                <w:szCs w:val="24"/>
              </w:rPr>
              <w:t xml:space="preserve">My analysis did not rely on one incident in isolation; instead, I considered the pattern between historical parenting concerns, current home conditions, engagement with support, professional observations, parental insight, and the availability of a safe support network, alongside the CUBAS findings. For example, Individual Five and Six had been observed by professionals to not be able to provide consistent appropriate clothing, a good standard of personal hygiene and home conditions. Assessing neglect and analysing the impact this would have on baby, meant I had to ensure my views were backed up by factual information and evidence (Casey and Hackett, 2021). </w:t>
            </w:r>
          </w:p>
          <w:p w14:paraId="4F674D3E" w14:textId="77777777" w:rsidR="00837F81" w:rsidRPr="00837F81" w:rsidRDefault="00837F81" w:rsidP="00495D4D">
            <w:pPr>
              <w:spacing w:line="360" w:lineRule="auto"/>
              <w:jc w:val="both"/>
              <w:rPr>
                <w:color w:val="auto"/>
                <w:sz w:val="24"/>
                <w:szCs w:val="24"/>
              </w:rPr>
            </w:pPr>
          </w:p>
          <w:p w14:paraId="763CB890" w14:textId="77777777" w:rsidR="00495D4D" w:rsidRDefault="00495D4D" w:rsidP="00495D4D">
            <w:pPr>
              <w:spacing w:line="360" w:lineRule="auto"/>
              <w:jc w:val="both"/>
              <w:rPr>
                <w:color w:val="auto"/>
                <w:sz w:val="24"/>
                <w:szCs w:val="24"/>
              </w:rPr>
            </w:pPr>
            <w:r w:rsidRPr="00837F81">
              <w:rPr>
                <w:color w:val="auto"/>
                <w:sz w:val="24"/>
                <w:szCs w:val="24"/>
              </w:rPr>
              <w:t xml:space="preserve">My professional judgement was based on historical records, current observations, parental engagement, professional information and CUBAS findings. Harnett (2024) found that professional decision-making often led to poor plans due to the inaccurate measure of ongoing risk. For this reason, I ensured my PLO analysis contributed to legal planning by bringing together assessment evidence, parental strengths and progress, remaining worries, complicating factors and the likely impact on baby if nothing changed before birth. </w:t>
            </w:r>
          </w:p>
          <w:p w14:paraId="49BD329B" w14:textId="77777777" w:rsidR="00837F81" w:rsidRPr="00837F81" w:rsidRDefault="00837F81" w:rsidP="00495D4D">
            <w:pPr>
              <w:spacing w:line="360" w:lineRule="auto"/>
              <w:jc w:val="both"/>
              <w:rPr>
                <w:color w:val="auto"/>
                <w:sz w:val="24"/>
                <w:szCs w:val="24"/>
              </w:rPr>
            </w:pPr>
          </w:p>
          <w:p w14:paraId="128163E7" w14:textId="77777777" w:rsidR="00495D4D" w:rsidRDefault="00495D4D" w:rsidP="00495D4D">
            <w:pPr>
              <w:spacing w:line="360" w:lineRule="auto"/>
              <w:jc w:val="both"/>
              <w:rPr>
                <w:color w:val="auto"/>
                <w:sz w:val="24"/>
                <w:szCs w:val="24"/>
              </w:rPr>
            </w:pPr>
            <w:r w:rsidRPr="00837F81">
              <w:rPr>
                <w:color w:val="auto"/>
                <w:sz w:val="24"/>
                <w:szCs w:val="24"/>
              </w:rPr>
              <w:t xml:space="preserve">When gathering information for the assessment and analysis, SSW(W)A 2014 influenced how and what information I sought and included. For example, SSW(W)A 2014 encourages the views of parents, family members and professionals to be included and considered. Throughout the CP and PLO process I have undertaken a Family Network Meeting and invited the support network to multi-agency meetings such as ICPC and subsequent core group meetings. Multi-agency meetings were attended by professionals to ensure support around parents was joined up and focused on shared outcomes. According to Mason et al. (2023) Born into Care research, assessments regarding unborn babies should explore parents’ family and friends as a natural support network. In line with recommendations made from research (Mason et al. 2023), a family network meeting was held. </w:t>
            </w:r>
          </w:p>
          <w:p w14:paraId="3234B9A5" w14:textId="77777777" w:rsidR="00837F81" w:rsidRPr="00837F81" w:rsidRDefault="00837F81" w:rsidP="00495D4D">
            <w:pPr>
              <w:spacing w:line="360" w:lineRule="auto"/>
              <w:jc w:val="both"/>
              <w:rPr>
                <w:color w:val="auto"/>
                <w:sz w:val="24"/>
                <w:szCs w:val="24"/>
              </w:rPr>
            </w:pPr>
          </w:p>
          <w:p w14:paraId="08E24480" w14:textId="77777777" w:rsidR="00495D4D" w:rsidRDefault="00495D4D" w:rsidP="00495D4D">
            <w:pPr>
              <w:spacing w:line="360" w:lineRule="auto"/>
              <w:jc w:val="both"/>
              <w:rPr>
                <w:color w:val="auto"/>
                <w:sz w:val="24"/>
                <w:szCs w:val="24"/>
              </w:rPr>
            </w:pPr>
            <w:r w:rsidRPr="00837F81">
              <w:rPr>
                <w:color w:val="auto"/>
                <w:sz w:val="24"/>
                <w:szCs w:val="24"/>
              </w:rPr>
              <w:lastRenderedPageBreak/>
              <w:t>The Signs of Safety model used locally (Turnell and Edwards, 1999) complements SSW(W)A as both emphasise building on parents’ strengths; I attempted this by encouraging parents to use their support network. However, safeguarding procedures contradicted this, as some support network members were not safe to be unsupervised with baby after birth, although they were a strong emotional support during pregnancy for both Individual Five and Six. Individual Six’s family members were considered safe people within a post-birth safety plan, but once the PLO process began, Individual Six decided they did not want them involved or updated. The dilemma here was that my professional judgement told me a robust safety network was needed to support parents and baby. However, parents had the right to decide who they wanted in there and baby’s life. My judgement changed because I moved from viewing the wider family mainly as a protective factor, to recognising that parental consent, family relationships and safeguarding restrictions limited how the network could realistically support the safety plan post-birth.</w:t>
            </w:r>
          </w:p>
          <w:p w14:paraId="6744D8DD" w14:textId="77777777" w:rsidR="00837F81" w:rsidRPr="00837F81" w:rsidRDefault="00837F81" w:rsidP="00495D4D">
            <w:pPr>
              <w:spacing w:line="360" w:lineRule="auto"/>
              <w:jc w:val="both"/>
              <w:rPr>
                <w:color w:val="auto"/>
                <w:sz w:val="24"/>
                <w:szCs w:val="24"/>
              </w:rPr>
            </w:pPr>
          </w:p>
          <w:p w14:paraId="6B6AA316" w14:textId="77777777" w:rsidR="00495D4D" w:rsidRDefault="00495D4D" w:rsidP="00495D4D">
            <w:pPr>
              <w:spacing w:line="360" w:lineRule="auto"/>
              <w:jc w:val="both"/>
              <w:rPr>
                <w:color w:val="auto"/>
                <w:sz w:val="24"/>
                <w:szCs w:val="24"/>
              </w:rPr>
            </w:pPr>
            <w:r w:rsidRPr="00837F81">
              <w:rPr>
                <w:color w:val="auto"/>
                <w:sz w:val="24"/>
                <w:szCs w:val="24"/>
              </w:rPr>
              <w:t xml:space="preserve">The Children Act 1989 underpins the LA’s safeguarding procedures still in Wales despite SSW(W)A 2014 being in existence. The Children’s Act 1989 dictates what information needed to be gathered and considered as part of the pre-birth assessment. Although a CUBAS assessment was completed by another social worker, in my PLO analysis I needed to consider if the current concerns were likely to remain ongoing concerns, including when baby is born and into their infancy.  </w:t>
            </w:r>
          </w:p>
          <w:p w14:paraId="63DA0B15" w14:textId="77777777" w:rsidR="00837F81" w:rsidRPr="00837F81" w:rsidRDefault="00837F81" w:rsidP="00495D4D">
            <w:pPr>
              <w:spacing w:line="360" w:lineRule="auto"/>
              <w:jc w:val="both"/>
              <w:rPr>
                <w:color w:val="auto"/>
                <w:sz w:val="24"/>
                <w:szCs w:val="24"/>
              </w:rPr>
            </w:pPr>
          </w:p>
          <w:p w14:paraId="74FF72DB" w14:textId="77777777" w:rsidR="00495D4D" w:rsidRDefault="00495D4D" w:rsidP="00495D4D">
            <w:pPr>
              <w:spacing w:line="360" w:lineRule="auto"/>
              <w:jc w:val="both"/>
              <w:rPr>
                <w:color w:val="auto"/>
                <w:sz w:val="24"/>
                <w:szCs w:val="24"/>
              </w:rPr>
            </w:pPr>
            <w:r w:rsidRPr="00837F81">
              <w:rPr>
                <w:color w:val="auto"/>
                <w:sz w:val="24"/>
                <w:szCs w:val="24"/>
              </w:rPr>
              <w:t>There were times during the assessment when Individual Five struggled to engage; they missed sessions and stayed at a friend’s home out of county for long periods. Considering grief and loss theory, I was not surprised. Individual Five had previously had a child adopted and had experienced social services processes before. Stoebe and Schut (1999) found that parents who lose a child to adoption can fluctuate between loss-oriented coping, dealing with emotional pain, and restoration-oriented coping, adapting to life without the child. Considering this alongside grief and loss theory, I felt I needed to explore what was happening internally for Individual Five. They shared nightmares and flashbacks of previous Social Services involvement. I therefore considered trauma-informed theory, and how Individual Five’s fight or flight response, leaving the area and taking space, could have been seen as non-</w:t>
            </w:r>
            <w:r w:rsidRPr="00837F81">
              <w:rPr>
                <w:color w:val="auto"/>
                <w:sz w:val="24"/>
                <w:szCs w:val="24"/>
              </w:rPr>
              <w:lastRenderedPageBreak/>
              <w:t xml:space="preserve">engagement (Broadhurst and Mason, 2017). In reality, they were taking time to process past grief and manage their fear of losing another child through the same process. </w:t>
            </w:r>
          </w:p>
          <w:p w14:paraId="6508D40A" w14:textId="77777777" w:rsidR="00837F81" w:rsidRPr="00837F81" w:rsidRDefault="00837F81" w:rsidP="00495D4D">
            <w:pPr>
              <w:spacing w:line="360" w:lineRule="auto"/>
              <w:jc w:val="both"/>
              <w:rPr>
                <w:color w:val="auto"/>
                <w:sz w:val="24"/>
                <w:szCs w:val="24"/>
              </w:rPr>
            </w:pPr>
          </w:p>
          <w:p w14:paraId="06E6431C" w14:textId="1AE56DFB" w:rsidR="00495D4D" w:rsidRDefault="00495D4D" w:rsidP="00495D4D">
            <w:pPr>
              <w:spacing w:line="360" w:lineRule="auto"/>
              <w:jc w:val="both"/>
              <w:rPr>
                <w:color w:val="auto"/>
                <w:sz w:val="24"/>
                <w:szCs w:val="24"/>
              </w:rPr>
            </w:pPr>
            <w:r w:rsidRPr="00837F81">
              <w:rPr>
                <w:color w:val="auto"/>
                <w:sz w:val="24"/>
                <w:szCs w:val="24"/>
              </w:rPr>
              <w:t xml:space="preserve">As a social work practitioner, SSW(W)A 2014, </w:t>
            </w:r>
            <w:r w:rsidR="00A91C5E">
              <w:rPr>
                <w:color w:val="auto"/>
                <w:sz w:val="24"/>
                <w:szCs w:val="24"/>
              </w:rPr>
              <w:t>SCW (2019) WSP</w:t>
            </w:r>
            <w:r w:rsidRPr="00837F81">
              <w:rPr>
                <w:color w:val="auto"/>
                <w:sz w:val="24"/>
                <w:szCs w:val="24"/>
              </w:rPr>
              <w:t>, SCW codes of professional practice and social work values all influenced my decision-making, and I gave Individual Five space to process and prioritise her well-being. However, I also had to work to PLO timescales and could not pause the assessment until Individual Five was ready to continue. This shows how legislation, procedures, COPP and social work values can be difficult to balance within PLO. Although I remained respectful and empathetic, I still had to remind them of support sessions and encourage them to continue. I knew they needed space, but completing support sessions and evidencing change was their best chance of meeting their goal of being a family. On reflection, I could have explored more structured ways to support their attendance, such as agreeing a temporary break, identifying different ways they could engage with support such as via video calls if appropriate, and recording how trauma responses affected their engagement while maintaining PLO timescales.</w:t>
            </w:r>
          </w:p>
          <w:p w14:paraId="18A112BB" w14:textId="77777777" w:rsidR="00837F81" w:rsidRPr="00837F81" w:rsidRDefault="00837F81" w:rsidP="00495D4D">
            <w:pPr>
              <w:spacing w:line="360" w:lineRule="auto"/>
              <w:jc w:val="both"/>
              <w:rPr>
                <w:color w:val="auto"/>
                <w:sz w:val="24"/>
                <w:szCs w:val="24"/>
              </w:rPr>
            </w:pPr>
          </w:p>
          <w:p w14:paraId="4AA92CEA" w14:textId="77777777" w:rsidR="00495D4D" w:rsidRDefault="00495D4D" w:rsidP="00495D4D">
            <w:pPr>
              <w:spacing w:line="360" w:lineRule="auto"/>
              <w:jc w:val="both"/>
              <w:rPr>
                <w:color w:val="auto"/>
                <w:sz w:val="24"/>
                <w:szCs w:val="24"/>
              </w:rPr>
            </w:pPr>
            <w:r w:rsidRPr="00837F81">
              <w:rPr>
                <w:color w:val="auto"/>
                <w:sz w:val="24"/>
                <w:szCs w:val="24"/>
              </w:rPr>
              <w:t xml:space="preserve">The Human Right Act 1998 takes into consideration the ECHR and ensures legislation in the UK, and subsequently Wales, considers these rights. Throughout the assessment process I took into account Article 8 of the ECHR, which reminded me to respect individuals’ and their families’ right to a private life. I feel my work with Individual Five and Six was influenced by Article 8, as I ensured I sought consent before making referrals to preventative services and before sharing any updated information with members of their support network. I feel I have also upheld my professional accountability by always ensuring to be open and honest with Individual Five and Six regarding my concerns. </w:t>
            </w:r>
          </w:p>
          <w:p w14:paraId="342D18A9" w14:textId="77777777" w:rsidR="00837F81" w:rsidRPr="00837F81" w:rsidRDefault="00837F81" w:rsidP="00495D4D">
            <w:pPr>
              <w:spacing w:line="360" w:lineRule="auto"/>
              <w:jc w:val="both"/>
              <w:rPr>
                <w:color w:val="auto"/>
                <w:sz w:val="24"/>
                <w:szCs w:val="24"/>
              </w:rPr>
            </w:pPr>
          </w:p>
          <w:p w14:paraId="572CD922" w14:textId="3E18D74F" w:rsidR="00495D4D" w:rsidRDefault="00495D4D" w:rsidP="00495D4D">
            <w:pPr>
              <w:spacing w:line="360" w:lineRule="auto"/>
              <w:jc w:val="both"/>
              <w:rPr>
                <w:color w:val="auto"/>
                <w:sz w:val="24"/>
                <w:szCs w:val="24"/>
              </w:rPr>
            </w:pPr>
            <w:r w:rsidRPr="00837F81">
              <w:rPr>
                <w:color w:val="auto"/>
                <w:sz w:val="24"/>
                <w:szCs w:val="24"/>
              </w:rPr>
              <w:t>Recording was central to my decision-making, as visits, professional discussions, views of families, parents and children (Porter, 20</w:t>
            </w:r>
            <w:r w:rsidR="00C622C4">
              <w:rPr>
                <w:color w:val="auto"/>
                <w:sz w:val="24"/>
                <w:szCs w:val="24"/>
              </w:rPr>
              <w:t>19</w:t>
            </w:r>
            <w:r w:rsidRPr="00837F81">
              <w:rPr>
                <w:color w:val="auto"/>
                <w:sz w:val="24"/>
                <w:szCs w:val="24"/>
              </w:rPr>
              <w:t xml:space="preserve">), observations of home conditions, support sessions, missed appointments and engagement were documented clearly and in a timely manner (Hoyle et al., 2019). This helped evidence patterns, strengths and parental progress across the assessment, instead of relying on professionals memory of discussions. In line with the Data Protection Act 2018 and UK GDPR, I recorded and shared information that was </w:t>
            </w:r>
            <w:r w:rsidRPr="00837F81">
              <w:rPr>
                <w:color w:val="auto"/>
                <w:sz w:val="24"/>
                <w:szCs w:val="24"/>
              </w:rPr>
              <w:lastRenderedPageBreak/>
              <w:t xml:space="preserve">necessary, relevant and proportionate. These records supported my PLO analysis by evidencing why the unborn baby was considered at risk of neglect, what support was offered to parents to address the worries, how parents responded to the support, and whether change had been made and was likely to be sustained. Hoyle et al. (2019) concluded that effective case notes, whilst important for evidencing decision-making within processes, it was also important for supporting care-experienced individual’s memories of their early childhood and understanding their identity, especially in cases of adoption. </w:t>
            </w:r>
          </w:p>
          <w:p w14:paraId="4C2107B6" w14:textId="77777777" w:rsidR="00837F81" w:rsidRPr="00837F81" w:rsidRDefault="00837F81" w:rsidP="00495D4D">
            <w:pPr>
              <w:spacing w:line="360" w:lineRule="auto"/>
              <w:jc w:val="both"/>
              <w:rPr>
                <w:color w:val="auto"/>
                <w:sz w:val="24"/>
                <w:szCs w:val="24"/>
              </w:rPr>
            </w:pPr>
          </w:p>
          <w:p w14:paraId="6E92DC2B" w14:textId="5BB3F9A1" w:rsidR="00495D4D" w:rsidRDefault="00495D4D" w:rsidP="00495D4D">
            <w:pPr>
              <w:spacing w:line="360" w:lineRule="auto"/>
              <w:jc w:val="both"/>
              <w:rPr>
                <w:color w:val="auto"/>
                <w:sz w:val="24"/>
                <w:szCs w:val="24"/>
              </w:rPr>
            </w:pPr>
            <w:r w:rsidRPr="00837F81">
              <w:rPr>
                <w:color w:val="auto"/>
                <w:sz w:val="24"/>
                <w:szCs w:val="24"/>
              </w:rPr>
              <w:t xml:space="preserve">Although Individual Five and Six’s mental health appeared stable during my involvement, both have a history of mental health decline during stressful periods. If this changed, I would gather information from the parent and, where appropriate, relevant health professionals, while considering any immediate risk to the parent, the other adult or unborn baby. If parental mental health increased the risk of harm or neglect, I would follow the </w:t>
            </w:r>
            <w:r w:rsidR="00A91C5E">
              <w:rPr>
                <w:color w:val="auto"/>
                <w:sz w:val="24"/>
                <w:szCs w:val="24"/>
              </w:rPr>
              <w:t>SCW (2019) WSP</w:t>
            </w:r>
            <w:r w:rsidRPr="00837F81">
              <w:rPr>
                <w:color w:val="auto"/>
                <w:sz w:val="24"/>
                <w:szCs w:val="24"/>
              </w:rPr>
              <w:t>, discuss with my line manager for advice and guidance, and consider whether a strategy discussion, review of the child protection plan, or referrals to the perinatal mental health, community mental health or crisis services were required. The Mental Health Act 1983 and Mental Capacity Act 2005 may be relevant depending on Individual Five and Six’s presentation. I would also balance this with Article 8 of the ECHR, ensuring any intervention was necessary, proportionate, and focused on safeguarding baby.</w:t>
            </w:r>
          </w:p>
          <w:p w14:paraId="4E7E0A6B" w14:textId="77777777" w:rsidR="00837F81" w:rsidRPr="00837F81" w:rsidRDefault="00837F81" w:rsidP="00495D4D">
            <w:pPr>
              <w:spacing w:line="360" w:lineRule="auto"/>
              <w:jc w:val="both"/>
              <w:rPr>
                <w:color w:val="auto"/>
                <w:sz w:val="24"/>
                <w:szCs w:val="24"/>
              </w:rPr>
            </w:pPr>
          </w:p>
          <w:p w14:paraId="13155044" w14:textId="5A2AD6B5" w:rsidR="00495D4D" w:rsidRPr="00837F81" w:rsidRDefault="00495D4D" w:rsidP="00495D4D">
            <w:pPr>
              <w:spacing w:line="360" w:lineRule="auto"/>
              <w:jc w:val="both"/>
              <w:rPr>
                <w:color w:val="auto"/>
                <w:sz w:val="24"/>
                <w:szCs w:val="24"/>
              </w:rPr>
            </w:pPr>
            <w:r w:rsidRPr="00837F81">
              <w:rPr>
                <w:color w:val="auto"/>
                <w:sz w:val="24"/>
                <w:szCs w:val="24"/>
              </w:rPr>
              <w:t xml:space="preserve">Practice in Wales differs from England because Wales has devolved social care legislation and statutory guidance. While this case has evidenced how the Children Act 1989 remains relevant during the Child Protection process, assessment and care and support services in Wales are influenced by SSW(W)A 2014, which encourages well-being, voice and control, prevention, co-production, strengths-based practice and partnership working. The </w:t>
            </w:r>
            <w:r w:rsidR="00A91C5E">
              <w:rPr>
                <w:color w:val="auto"/>
                <w:sz w:val="24"/>
                <w:szCs w:val="24"/>
              </w:rPr>
              <w:t>SCW (2019) WSP</w:t>
            </w:r>
            <w:r w:rsidRPr="00837F81">
              <w:rPr>
                <w:color w:val="auto"/>
                <w:sz w:val="24"/>
                <w:szCs w:val="24"/>
              </w:rPr>
              <w:t xml:space="preserve"> also provide a Wales specific safeguarding guidance. In my practice with Individual Five and Six, my assessment considered risk and threshold, but also their views, their strengths, support network, preventative services that would support them to achieve their goal and how their views could be included within statutory CP and PLO processes.</w:t>
            </w:r>
          </w:p>
          <w:p w14:paraId="31F6AE24" w14:textId="77777777" w:rsidR="00495D4D" w:rsidRPr="00837F81" w:rsidRDefault="00495D4D" w:rsidP="00495D4D">
            <w:pPr>
              <w:spacing w:line="360" w:lineRule="auto"/>
              <w:jc w:val="both"/>
              <w:rPr>
                <w:color w:val="auto"/>
                <w:sz w:val="24"/>
                <w:szCs w:val="24"/>
              </w:rPr>
            </w:pPr>
          </w:p>
          <w:p w14:paraId="33B4F0E2" w14:textId="77777777" w:rsidR="00495D4D" w:rsidRPr="00837F81" w:rsidRDefault="00495D4D" w:rsidP="00495D4D">
            <w:pPr>
              <w:spacing w:line="360" w:lineRule="auto"/>
              <w:jc w:val="both"/>
              <w:rPr>
                <w:color w:val="auto"/>
                <w:sz w:val="24"/>
                <w:szCs w:val="24"/>
              </w:rPr>
            </w:pPr>
            <w:r w:rsidRPr="00837F81">
              <w:rPr>
                <w:color w:val="auto"/>
                <w:sz w:val="24"/>
                <w:szCs w:val="24"/>
              </w:rPr>
              <w:lastRenderedPageBreak/>
              <w:t>In conclusion, working with Individual Five and Six has allowed me to demonstrate how legislation, policy, research, theory and social work values informed my practice across the three Social Care Wales learning outcomes. For LO1, analysis in assessment, I used information from assessment sessions with parents, family network meetings, multi-agency meetings, my own observations and records, the CUBAS assessment and multi-agency meetings to assess and analyse current and future risk. For LO2, collaborative working, I worked with midwifery, preventative services, family and support networks, child protection and PLO processes to support a multi-agency approach to assessment and planning around the family. For LO3, professional judgement, I balanced parents’ rights, past and current trauma, grief, consent and Article 8 with my safeguarding duty to the unborn baby. Overall, I feel this case has shown the complexity of Welsh social work, where practice must be rights-based, evidence-informed, relationship-based, person-centred and accountable within statutory processes.</w:t>
            </w:r>
          </w:p>
          <w:p w14:paraId="3F89E013" w14:textId="77777777" w:rsidR="00495D4D" w:rsidRPr="00AD5BEF" w:rsidRDefault="00495D4D" w:rsidP="00495D4D">
            <w:pPr>
              <w:spacing w:line="360" w:lineRule="auto"/>
              <w:jc w:val="both"/>
              <w:rPr>
                <w:color w:val="auto"/>
              </w:rPr>
            </w:pPr>
          </w:p>
          <w:p w14:paraId="20370495" w14:textId="52DEBF68" w:rsidR="00D3203C" w:rsidRPr="00495D4D" w:rsidRDefault="00495D4D" w:rsidP="00FF7EBB">
            <w:pPr>
              <w:jc w:val="both"/>
              <w:rPr>
                <w:iCs/>
                <w:sz w:val="24"/>
                <w:szCs w:val="24"/>
              </w:rPr>
            </w:pPr>
            <w:r>
              <w:rPr>
                <w:iCs/>
                <w:sz w:val="24"/>
                <w:szCs w:val="24"/>
              </w:rPr>
              <w:t>Word Count: 4049 words</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FB200" w14:textId="77777777" w:rsidR="00A62A27" w:rsidRDefault="00A62A27">
      <w:r>
        <w:separator/>
      </w:r>
    </w:p>
  </w:endnote>
  <w:endnote w:type="continuationSeparator" w:id="0">
    <w:p w14:paraId="4298031F" w14:textId="77777777" w:rsidR="00A62A27" w:rsidRDefault="00A62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A3EB9" w14:textId="77777777" w:rsidR="00A62A27" w:rsidRDefault="00A62A27">
      <w:r>
        <w:separator/>
      </w:r>
    </w:p>
  </w:footnote>
  <w:footnote w:type="continuationSeparator" w:id="0">
    <w:p w14:paraId="31C638C7" w14:textId="77777777" w:rsidR="00A62A27" w:rsidRDefault="00A62A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74C9"/>
    <w:rsid w:val="001D229F"/>
    <w:rsid w:val="001E2EB6"/>
    <w:rsid w:val="001F2960"/>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F24"/>
    <w:rsid w:val="002761F4"/>
    <w:rsid w:val="002775E1"/>
    <w:rsid w:val="00277979"/>
    <w:rsid w:val="00291ADD"/>
    <w:rsid w:val="002920DF"/>
    <w:rsid w:val="00292F3D"/>
    <w:rsid w:val="00295CA1"/>
    <w:rsid w:val="002A0E51"/>
    <w:rsid w:val="002A1A44"/>
    <w:rsid w:val="002A291A"/>
    <w:rsid w:val="002A2C54"/>
    <w:rsid w:val="002A4E2E"/>
    <w:rsid w:val="002A5604"/>
    <w:rsid w:val="002A782D"/>
    <w:rsid w:val="002A7835"/>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B33"/>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5D4D"/>
    <w:rsid w:val="004968E2"/>
    <w:rsid w:val="004A2A49"/>
    <w:rsid w:val="004A5A64"/>
    <w:rsid w:val="004B5553"/>
    <w:rsid w:val="004B600B"/>
    <w:rsid w:val="004B6822"/>
    <w:rsid w:val="004B69F6"/>
    <w:rsid w:val="004C2D3A"/>
    <w:rsid w:val="004C51E2"/>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2787"/>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7E28"/>
    <w:rsid w:val="007A1F6A"/>
    <w:rsid w:val="007A628F"/>
    <w:rsid w:val="007B0DE3"/>
    <w:rsid w:val="007B1BFD"/>
    <w:rsid w:val="007B7191"/>
    <w:rsid w:val="007C1D94"/>
    <w:rsid w:val="007C326D"/>
    <w:rsid w:val="007C556F"/>
    <w:rsid w:val="007C5ABE"/>
    <w:rsid w:val="007C6A87"/>
    <w:rsid w:val="007D0A07"/>
    <w:rsid w:val="007D0F11"/>
    <w:rsid w:val="007D133D"/>
    <w:rsid w:val="007D3EB4"/>
    <w:rsid w:val="007D3F16"/>
    <w:rsid w:val="007F10BD"/>
    <w:rsid w:val="007F312E"/>
    <w:rsid w:val="007F3F7E"/>
    <w:rsid w:val="007F4BA4"/>
    <w:rsid w:val="00813CEC"/>
    <w:rsid w:val="00813F46"/>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F81"/>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C7E24"/>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3224"/>
    <w:rsid w:val="0098427C"/>
    <w:rsid w:val="00986B43"/>
    <w:rsid w:val="00986C0B"/>
    <w:rsid w:val="00986D46"/>
    <w:rsid w:val="00991FDA"/>
    <w:rsid w:val="00992ACA"/>
    <w:rsid w:val="009A5F3B"/>
    <w:rsid w:val="009A5F79"/>
    <w:rsid w:val="009A6F87"/>
    <w:rsid w:val="009A7187"/>
    <w:rsid w:val="009B0B61"/>
    <w:rsid w:val="009B28C0"/>
    <w:rsid w:val="009B3178"/>
    <w:rsid w:val="009B3E46"/>
    <w:rsid w:val="009B7136"/>
    <w:rsid w:val="009C337F"/>
    <w:rsid w:val="009C53E7"/>
    <w:rsid w:val="009C6092"/>
    <w:rsid w:val="009C7342"/>
    <w:rsid w:val="009D4365"/>
    <w:rsid w:val="009D477B"/>
    <w:rsid w:val="009D4E3B"/>
    <w:rsid w:val="009D59C2"/>
    <w:rsid w:val="009D737A"/>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5A7"/>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A27"/>
    <w:rsid w:val="00A652F6"/>
    <w:rsid w:val="00A65861"/>
    <w:rsid w:val="00A732EA"/>
    <w:rsid w:val="00A7489E"/>
    <w:rsid w:val="00A8015F"/>
    <w:rsid w:val="00A85039"/>
    <w:rsid w:val="00A906AA"/>
    <w:rsid w:val="00A91C5E"/>
    <w:rsid w:val="00A94C5E"/>
    <w:rsid w:val="00AA252C"/>
    <w:rsid w:val="00AA666E"/>
    <w:rsid w:val="00AA7960"/>
    <w:rsid w:val="00AB5518"/>
    <w:rsid w:val="00AC3A0E"/>
    <w:rsid w:val="00AC4A04"/>
    <w:rsid w:val="00AC5679"/>
    <w:rsid w:val="00AD13CA"/>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5C31"/>
    <w:rsid w:val="00B25E06"/>
    <w:rsid w:val="00B26769"/>
    <w:rsid w:val="00B2754B"/>
    <w:rsid w:val="00B31C91"/>
    <w:rsid w:val="00B3747F"/>
    <w:rsid w:val="00B42E76"/>
    <w:rsid w:val="00B43194"/>
    <w:rsid w:val="00B436BF"/>
    <w:rsid w:val="00B44F8B"/>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64C7"/>
    <w:rsid w:val="00BE0F7B"/>
    <w:rsid w:val="00BE10C2"/>
    <w:rsid w:val="00BF0D6C"/>
    <w:rsid w:val="00C01D14"/>
    <w:rsid w:val="00C01D97"/>
    <w:rsid w:val="00C025B4"/>
    <w:rsid w:val="00C029EC"/>
    <w:rsid w:val="00C161FD"/>
    <w:rsid w:val="00C17C9F"/>
    <w:rsid w:val="00C2225C"/>
    <w:rsid w:val="00C23F17"/>
    <w:rsid w:val="00C246F2"/>
    <w:rsid w:val="00C26D0D"/>
    <w:rsid w:val="00C27C95"/>
    <w:rsid w:val="00C300D2"/>
    <w:rsid w:val="00C3270F"/>
    <w:rsid w:val="00C3278B"/>
    <w:rsid w:val="00C33375"/>
    <w:rsid w:val="00C34C23"/>
    <w:rsid w:val="00C364CC"/>
    <w:rsid w:val="00C368FA"/>
    <w:rsid w:val="00C42005"/>
    <w:rsid w:val="00C4664D"/>
    <w:rsid w:val="00C472AA"/>
    <w:rsid w:val="00C50A05"/>
    <w:rsid w:val="00C54AED"/>
    <w:rsid w:val="00C555FC"/>
    <w:rsid w:val="00C55E9B"/>
    <w:rsid w:val="00C56D09"/>
    <w:rsid w:val="00C57D24"/>
    <w:rsid w:val="00C604D6"/>
    <w:rsid w:val="00C622C4"/>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A4D"/>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59E5"/>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TotalTime>
  <Pages>13</Pages>
  <Words>4275</Words>
  <Characters>23471</Characters>
  <Application>Microsoft Office Word</Application>
  <DocSecurity>0</DocSecurity>
  <Lines>397</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Nikita Weaver</cp:lastModifiedBy>
  <cp:revision>22</cp:revision>
  <cp:lastPrinted>2020-02-11T19:20:00Z</cp:lastPrinted>
  <dcterms:created xsi:type="dcterms:W3CDTF">2022-09-29T11:34:00Z</dcterms:created>
  <dcterms:modified xsi:type="dcterms:W3CDTF">2026-10-03T18:40:00Z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