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88C1F" w14:textId="5F194BCE" w:rsidR="008F2849" w:rsidRDefault="008F2849" w:rsidP="008F2849">
      <w:pPr>
        <w:jc w:val="center"/>
        <w:rPr>
          <w:b/>
          <w:bCs/>
          <w:sz w:val="28"/>
          <w:szCs w:val="28"/>
        </w:rPr>
      </w:pPr>
      <w:r w:rsidRPr="008F2849">
        <w:rPr>
          <w:b/>
          <w:bCs/>
          <w:sz w:val="28"/>
          <w:szCs w:val="28"/>
        </w:rPr>
        <w:t>A Critical Evaluation of Tian and Macaro’s Study on L1 Use in Vocabulary Instruction</w:t>
      </w:r>
    </w:p>
    <w:p w14:paraId="736E9116" w14:textId="007A8395" w:rsidR="00003747" w:rsidRPr="00003747" w:rsidRDefault="00003747" w:rsidP="008F2849">
      <w:pPr>
        <w:jc w:val="center"/>
        <w:rPr>
          <w:rFonts w:hint="eastAsia"/>
          <w:szCs w:val="22"/>
        </w:rPr>
      </w:pPr>
      <w:r w:rsidRPr="00003747">
        <w:rPr>
          <w:rFonts w:hint="eastAsia"/>
          <w:szCs w:val="22"/>
        </w:rPr>
        <w:t>Puyang Sun 2405847</w:t>
      </w:r>
    </w:p>
    <w:p w14:paraId="26D48ECF" w14:textId="33842D3F" w:rsidR="00A63E58" w:rsidRPr="0003409B" w:rsidRDefault="00A63E58" w:rsidP="00943EF1">
      <w:pPr>
        <w:rPr>
          <w:b/>
          <w:bCs/>
          <w:sz w:val="24"/>
        </w:rPr>
      </w:pPr>
      <w:r w:rsidRPr="0003409B">
        <w:rPr>
          <w:b/>
          <w:bCs/>
          <w:sz w:val="24"/>
        </w:rPr>
        <w:t>1. Introduction</w:t>
      </w:r>
    </w:p>
    <w:p w14:paraId="2597D097" w14:textId="6528525D" w:rsidR="00505913" w:rsidRPr="00943EF1" w:rsidRDefault="00505913" w:rsidP="00943EF1">
      <w:pPr>
        <w:rPr>
          <w:kern w:val="0"/>
          <w:szCs w:val="22"/>
        </w:rPr>
      </w:pPr>
      <w:bookmarkStart w:id="0" w:name="OLE_LINK22"/>
      <w:r w:rsidRPr="00943EF1">
        <w:rPr>
          <w:kern w:val="0"/>
          <w:szCs w:val="22"/>
        </w:rPr>
        <w:t xml:space="preserve">In second language teaching, whether teachers should use learners’ first language (L1) in the classroom has long been a highly debated issue. The discussion usually centers on two main positions. </w:t>
      </w:r>
      <w:bookmarkStart w:id="1" w:name="OLE_LINK1"/>
      <w:r w:rsidRPr="00943EF1">
        <w:rPr>
          <w:kern w:val="0"/>
          <w:szCs w:val="22"/>
        </w:rPr>
        <w:t>On the one hand, supporters of the “English-only” approach argue that reducing the use of L1 provides more exposure to the target language and therefore improves learning efficiency</w:t>
      </w:r>
      <w:r w:rsidR="00C05908">
        <w:rPr>
          <w:kern w:val="0"/>
          <w:szCs w:val="22"/>
        </w:rPr>
        <w:t xml:space="preserve"> (</w:t>
      </w:r>
      <w:r w:rsidR="00C05908" w:rsidRPr="00C05908">
        <w:rPr>
          <w:kern w:val="0"/>
          <w:szCs w:val="22"/>
        </w:rPr>
        <w:t xml:space="preserve">Turnbull </w:t>
      </w:r>
      <w:r w:rsidR="00E56A60">
        <w:rPr>
          <w:rFonts w:hint="eastAsia"/>
          <w:kern w:val="0"/>
          <w:szCs w:val="22"/>
        </w:rPr>
        <w:t>&amp;</w:t>
      </w:r>
      <w:r w:rsidR="00C05908" w:rsidRPr="00C05908">
        <w:rPr>
          <w:kern w:val="0"/>
          <w:szCs w:val="22"/>
        </w:rPr>
        <w:t xml:space="preserve"> Dailey-O’Cain, 2009; Littlewood </w:t>
      </w:r>
      <w:r w:rsidR="00E56A60">
        <w:rPr>
          <w:rFonts w:hint="eastAsia"/>
          <w:kern w:val="0"/>
          <w:szCs w:val="22"/>
        </w:rPr>
        <w:t>&amp;</w:t>
      </w:r>
      <w:r w:rsidR="00C05908" w:rsidRPr="00C05908">
        <w:rPr>
          <w:kern w:val="0"/>
          <w:szCs w:val="22"/>
        </w:rPr>
        <w:t xml:space="preserve"> Yu, 2011</w:t>
      </w:r>
      <w:r w:rsidR="00C05908">
        <w:rPr>
          <w:kern w:val="0"/>
          <w:szCs w:val="22"/>
        </w:rPr>
        <w:t>)</w:t>
      </w:r>
      <w:r w:rsidRPr="00943EF1">
        <w:rPr>
          <w:kern w:val="0"/>
          <w:szCs w:val="22"/>
        </w:rPr>
        <w:t>.</w:t>
      </w:r>
      <w:bookmarkEnd w:id="1"/>
      <w:r w:rsidRPr="00943EF1">
        <w:rPr>
          <w:kern w:val="0"/>
          <w:szCs w:val="22"/>
        </w:rPr>
        <w:t xml:space="preserve"> </w:t>
      </w:r>
      <w:bookmarkStart w:id="2" w:name="OLE_LINK2"/>
      <w:r w:rsidRPr="00943EF1">
        <w:rPr>
          <w:kern w:val="0"/>
          <w:szCs w:val="22"/>
        </w:rPr>
        <w:t>On the other hand, researchers who support “principled code-switching” claim that an appropriate use of L1 can reduce cognitive load, make classroom explanations clearer, and help learners build more stable form–meaning connections</w:t>
      </w:r>
      <w:r w:rsidR="00104086">
        <w:rPr>
          <w:kern w:val="0"/>
          <w:szCs w:val="22"/>
        </w:rPr>
        <w:t xml:space="preserve"> (</w:t>
      </w:r>
      <w:r w:rsidR="00104086" w:rsidRPr="00104086">
        <w:rPr>
          <w:kern w:val="0"/>
          <w:szCs w:val="22"/>
        </w:rPr>
        <w:t>Macaro, 2005; Levine, 201</w:t>
      </w:r>
      <w:r w:rsidR="00104086">
        <w:rPr>
          <w:kern w:val="0"/>
          <w:szCs w:val="22"/>
        </w:rPr>
        <w:t>1)</w:t>
      </w:r>
      <w:r w:rsidRPr="00943EF1">
        <w:rPr>
          <w:kern w:val="0"/>
          <w:szCs w:val="22"/>
        </w:rPr>
        <w:t>.</w:t>
      </w:r>
      <w:bookmarkEnd w:id="2"/>
      <w:r w:rsidRPr="00943EF1">
        <w:rPr>
          <w:kern w:val="0"/>
          <w:szCs w:val="22"/>
        </w:rPr>
        <w:t xml:space="preserve"> In Chinese EFL classrooms, where English is taught as a foreign language, teachers’ actual language practices often move between these two positions, which makes this topic both theoretically meaningful and practically important.</w:t>
      </w:r>
    </w:p>
    <w:p w14:paraId="21BAF1A7" w14:textId="482F1CE1" w:rsidR="00DE77BC" w:rsidRPr="00943EF1" w:rsidRDefault="00DE77BC" w:rsidP="00943EF1">
      <w:pPr>
        <w:rPr>
          <w:szCs w:val="22"/>
        </w:rPr>
      </w:pPr>
      <w:bookmarkStart w:id="3" w:name="OLE_LINK23"/>
      <w:bookmarkStart w:id="4" w:name="OLE_LINK3"/>
      <w:bookmarkEnd w:id="0"/>
      <w:r w:rsidRPr="00943EF1">
        <w:rPr>
          <w:szCs w:val="22"/>
        </w:rPr>
        <w:t>In this context, the study conducted by Tian and Macaro (2012) is particularly representative. The researchers set up three groups—a code-switching explanation group (CS), an English-only explanation group (EO), and a control group that did not receive any vocabulary explanation to address three research questions: (1) whether code-switching leads to better vocabulary learning than English-only explanations when explicit teaching is provided; (2) whether explicit vocabulary explanation is more effective than no explanation; and (3) whether learners’ English proficiency influences the effectiveness of different explanation methods. The study included a pre-test, an immediate post-test, and a delayed post-test, which allowed the authors to examine both short-term learning outcomes and long-term vocabulary retention</w:t>
      </w:r>
      <w:bookmarkEnd w:id="4"/>
      <w:r w:rsidRPr="00943EF1">
        <w:rPr>
          <w:szCs w:val="22"/>
        </w:rPr>
        <w:t>.</w:t>
      </w:r>
    </w:p>
    <w:bookmarkEnd w:id="3"/>
    <w:p w14:paraId="6B9148FC" w14:textId="4F559991" w:rsidR="00A63E58" w:rsidRPr="00943EF1" w:rsidRDefault="00DE77BC" w:rsidP="00943EF1">
      <w:pPr>
        <w:rPr>
          <w:kern w:val="0"/>
          <w:szCs w:val="22"/>
        </w:rPr>
      </w:pPr>
      <w:r w:rsidRPr="00943EF1">
        <w:rPr>
          <w:kern w:val="0"/>
          <w:szCs w:val="22"/>
        </w:rPr>
        <w:t xml:space="preserve">This article was chosen for critical evaluation because its research topic closely matches the main themes of this module, such as language structure, meaning, input processing, and classroom language use. Its three-group experimental design also provides a solid basis for </w:t>
      </w:r>
      <w:r w:rsidRPr="00943EF1">
        <w:rPr>
          <w:kern w:val="0"/>
          <w:szCs w:val="22"/>
        </w:rPr>
        <w:lastRenderedPageBreak/>
        <w:t xml:space="preserve">methodological analysis. In addition, the study context is directly related to my own doctoral interest in code-switching practices in Chinese English classrooms. For these reasons, this paper will critically </w:t>
      </w:r>
      <w:r w:rsidR="00943EF1" w:rsidRPr="00943EF1">
        <w:rPr>
          <w:kern w:val="0"/>
          <w:szCs w:val="22"/>
        </w:rPr>
        <w:t>analyze</w:t>
      </w:r>
      <w:r w:rsidRPr="00943EF1">
        <w:rPr>
          <w:kern w:val="0"/>
          <w:szCs w:val="22"/>
        </w:rPr>
        <w:t xml:space="preserve"> Tian and Macaro (2012) in three parts: the theoretical foundations and hypotheses, the methodological design and possible alternatives, and the relationship between the research findings and the underlying theories.</w:t>
      </w:r>
    </w:p>
    <w:p w14:paraId="3FA9E335" w14:textId="5C48376B" w:rsidR="00A63E58" w:rsidRPr="0003409B" w:rsidRDefault="00A63E58" w:rsidP="00943EF1">
      <w:pPr>
        <w:rPr>
          <w:b/>
          <w:bCs/>
          <w:sz w:val="24"/>
        </w:rPr>
      </w:pPr>
      <w:r w:rsidRPr="0003409B">
        <w:rPr>
          <w:b/>
          <w:bCs/>
          <w:sz w:val="24"/>
        </w:rPr>
        <w:t>2. Theory &amp; Hypotheses</w:t>
      </w:r>
    </w:p>
    <w:p w14:paraId="6A7F1346" w14:textId="77777777" w:rsidR="006C0E33" w:rsidRPr="00943EF1" w:rsidRDefault="006C0E33" w:rsidP="00943EF1">
      <w:pPr>
        <w:rPr>
          <w:szCs w:val="22"/>
        </w:rPr>
      </w:pPr>
      <w:bookmarkStart w:id="5" w:name="OLE_LINK25"/>
      <w:r w:rsidRPr="00943EF1">
        <w:rPr>
          <w:szCs w:val="22"/>
        </w:rPr>
        <w:t>The theoretical framework of this study is built on four key theories that are highly relevant to second-language vocabulary instruction, and each theory leads to a specific prediction that can be tested.</w:t>
      </w:r>
    </w:p>
    <w:p w14:paraId="28135C8B" w14:textId="77777777" w:rsidR="006C0E33" w:rsidRPr="00943EF1" w:rsidRDefault="006C0E33" w:rsidP="00943EF1">
      <w:pPr>
        <w:rPr>
          <w:szCs w:val="22"/>
        </w:rPr>
      </w:pPr>
      <w:r w:rsidRPr="00943EF1">
        <w:rPr>
          <w:szCs w:val="22"/>
        </w:rPr>
        <w:t>(1) Focus-on-Form Theory</w:t>
      </w:r>
    </w:p>
    <w:p w14:paraId="657CDA4F" w14:textId="09D1FA7F" w:rsidR="006C0E33" w:rsidRPr="00943EF1" w:rsidRDefault="006C0E33" w:rsidP="00943EF1">
      <w:pPr>
        <w:rPr>
          <w:szCs w:val="22"/>
        </w:rPr>
      </w:pPr>
      <w:bookmarkStart w:id="6" w:name="OLE_LINK4"/>
      <w:bookmarkStart w:id="7" w:name="OLE_LINK5"/>
      <w:bookmarkStart w:id="8" w:name="OLE_LINK6"/>
      <w:r w:rsidRPr="00943EF1">
        <w:rPr>
          <w:szCs w:val="22"/>
        </w:rPr>
        <w:t xml:space="preserve">Focus-on-Form theory argues that brief and explicit attention to linguistic forms during meaning-focused activities can help learners notice language features and support acquisition (Long, 1991). In this study, both the code-switching group and the English-only group received explicit vocabulary explanations, while the control group did not receive such instruction. Based on this theory, it can be predicted that explicit explanations (CS and EO) should lead to better learning outcomes than no explicit explanation (Control). This provides the theoretical </w:t>
      </w:r>
      <w:bookmarkStart w:id="9" w:name="OLE_LINK35"/>
      <w:r w:rsidRPr="00943EF1">
        <w:rPr>
          <w:szCs w:val="22"/>
        </w:rPr>
        <w:t>basis for examining the difference between the treatment groups and the control group</w:t>
      </w:r>
      <w:bookmarkEnd w:id="7"/>
      <w:r w:rsidRPr="00943EF1">
        <w:rPr>
          <w:szCs w:val="22"/>
        </w:rPr>
        <w:t>.</w:t>
      </w:r>
      <w:bookmarkEnd w:id="6"/>
    </w:p>
    <w:bookmarkEnd w:id="5"/>
    <w:bookmarkEnd w:id="8"/>
    <w:bookmarkEnd w:id="9"/>
    <w:p w14:paraId="037997EE" w14:textId="21F134C2" w:rsidR="006A5763" w:rsidRPr="00943EF1" w:rsidRDefault="006A5763" w:rsidP="00943EF1">
      <w:pPr>
        <w:rPr>
          <w:rStyle w:val="s1"/>
          <w:color w:val="000000" w:themeColor="text1"/>
          <w:szCs w:val="22"/>
        </w:rPr>
      </w:pPr>
      <w:r w:rsidRPr="00943EF1">
        <w:rPr>
          <w:rStyle w:val="s1"/>
          <w:color w:val="000000" w:themeColor="text1"/>
          <w:szCs w:val="22"/>
        </w:rPr>
        <w:t>(2) Code</w:t>
      </w:r>
      <w:r w:rsidR="00943EF1">
        <w:rPr>
          <w:rStyle w:val="s1"/>
          <w:color w:val="000000" w:themeColor="text1"/>
          <w:szCs w:val="22"/>
        </w:rPr>
        <w:t>-</w:t>
      </w:r>
      <w:r w:rsidRPr="00943EF1">
        <w:rPr>
          <w:rStyle w:val="s1"/>
          <w:color w:val="000000" w:themeColor="text1"/>
          <w:szCs w:val="22"/>
        </w:rPr>
        <w:t>switching Theory</w:t>
      </w:r>
    </w:p>
    <w:p w14:paraId="02C6EC93" w14:textId="3ED52998" w:rsidR="006A5763" w:rsidRPr="00943EF1" w:rsidRDefault="006A5763" w:rsidP="00943EF1">
      <w:pPr>
        <w:rPr>
          <w:rStyle w:val="s1"/>
          <w:color w:val="000000" w:themeColor="text1"/>
          <w:szCs w:val="22"/>
        </w:rPr>
      </w:pPr>
      <w:r w:rsidRPr="00943EF1">
        <w:rPr>
          <w:rStyle w:val="s1"/>
          <w:color w:val="000000" w:themeColor="text1"/>
          <w:szCs w:val="22"/>
        </w:rPr>
        <w:t>Code</w:t>
      </w:r>
      <w:r w:rsidR="00943EF1">
        <w:rPr>
          <w:rStyle w:val="s1"/>
          <w:color w:val="000000" w:themeColor="text1"/>
          <w:szCs w:val="22"/>
        </w:rPr>
        <w:t>-</w:t>
      </w:r>
      <w:r w:rsidRPr="00943EF1">
        <w:rPr>
          <w:rStyle w:val="s1"/>
          <w:color w:val="000000" w:themeColor="text1"/>
          <w:szCs w:val="22"/>
        </w:rPr>
        <w:t>switching theory argues that, in foreign language classrooms, teachers’ strategic use of learners’ L1 can serve as an instructional resource. It may support learning by providing scaffolding, reducing processing load, clarifying meaning, and increasing the salience of key items (Ferguson, 2003; Macaro, 2005). The code</w:t>
      </w:r>
      <w:r w:rsidR="00943EF1">
        <w:rPr>
          <w:rStyle w:val="s1"/>
          <w:color w:val="000000" w:themeColor="text1"/>
          <w:szCs w:val="22"/>
        </w:rPr>
        <w:t>-</w:t>
      </w:r>
      <w:r w:rsidRPr="00943EF1">
        <w:rPr>
          <w:rStyle w:val="s1"/>
          <w:color w:val="000000" w:themeColor="text1"/>
          <w:szCs w:val="22"/>
        </w:rPr>
        <w:t>switching explanations used in this study are closely aligned with this perspective. Based on this theory, one can predict that among the two groups receiving explicit instruction, the code</w:t>
      </w:r>
      <w:r w:rsidR="00943EF1">
        <w:rPr>
          <w:rStyle w:val="s1"/>
          <w:color w:val="000000" w:themeColor="text1"/>
          <w:szCs w:val="22"/>
        </w:rPr>
        <w:t>-</w:t>
      </w:r>
      <w:r w:rsidRPr="00943EF1">
        <w:rPr>
          <w:rStyle w:val="s1"/>
          <w:color w:val="000000" w:themeColor="text1"/>
          <w:szCs w:val="22"/>
        </w:rPr>
        <w:t>switching group should outperform the English-only group, particularly in the immediate post-test, where the advantages of enhanced salience and reduced processing demands are most likely to appear.</w:t>
      </w:r>
    </w:p>
    <w:p w14:paraId="03186F1A" w14:textId="0ED08E48" w:rsidR="006C4C36" w:rsidRPr="00943EF1" w:rsidRDefault="006C4C36" w:rsidP="00943EF1">
      <w:pPr>
        <w:rPr>
          <w:rStyle w:val="s1"/>
          <w:szCs w:val="22"/>
        </w:rPr>
      </w:pPr>
      <w:bookmarkStart w:id="10" w:name="OLE_LINK27"/>
      <w:r w:rsidRPr="00943EF1">
        <w:rPr>
          <w:rStyle w:val="s1"/>
          <w:szCs w:val="22"/>
        </w:rPr>
        <w:t>(3) Bilingual Lexicon Representation Theory</w:t>
      </w:r>
    </w:p>
    <w:p w14:paraId="73815F60" w14:textId="0BBF882D" w:rsidR="006C4C36" w:rsidRPr="00943EF1" w:rsidRDefault="006C4C36" w:rsidP="00943EF1">
      <w:pPr>
        <w:rPr>
          <w:rStyle w:val="s1"/>
          <w:szCs w:val="22"/>
        </w:rPr>
      </w:pPr>
      <w:r w:rsidRPr="00943EF1">
        <w:rPr>
          <w:rStyle w:val="s1"/>
          <w:szCs w:val="22"/>
        </w:rPr>
        <w:lastRenderedPageBreak/>
        <w:t xml:space="preserve">The bilingual lexicon representation theory argues that, for foreign language learners, L2 lexical items are initially processed through L1 conceptual mediation; that is, L2 word forms must rely on the learner’s L1 conceptual system </w:t>
      </w:r>
      <w:r w:rsidR="00943EF1" w:rsidRPr="00943EF1">
        <w:rPr>
          <w:rStyle w:val="s1"/>
          <w:szCs w:val="22"/>
        </w:rPr>
        <w:t>to</w:t>
      </w:r>
      <w:r w:rsidRPr="00943EF1">
        <w:rPr>
          <w:rStyle w:val="s1"/>
          <w:szCs w:val="22"/>
        </w:rPr>
        <w:t xml:space="preserve"> be encoded and retrieved (Kroll &amp; Stewart, 1994). This L1-mediated mechanism suggests that when teachers provide L1 explanations, learners are more likely to form stable form–meaning connections, particularly during semantic processing, where memory traces can be established more easily. Based on this theory, it can be predicted that the code-switching group should show the strongest performance in the delayed post-test, as L1 support facilitates deeper encoding and more durable vocabulary retention.</w:t>
      </w:r>
    </w:p>
    <w:p w14:paraId="6C5F1A59" w14:textId="56723DC0" w:rsidR="00445562" w:rsidRPr="00943EF1" w:rsidRDefault="00445562" w:rsidP="00943EF1">
      <w:pPr>
        <w:rPr>
          <w:szCs w:val="22"/>
        </w:rPr>
      </w:pPr>
      <w:bookmarkStart w:id="11" w:name="OLE_LINK28"/>
      <w:bookmarkEnd w:id="10"/>
      <w:r w:rsidRPr="00943EF1">
        <w:rPr>
          <w:szCs w:val="22"/>
        </w:rPr>
        <w:t>(4) Intentional vs. Incidental Learning Theory</w:t>
      </w:r>
    </w:p>
    <w:p w14:paraId="73A6A32B" w14:textId="368A5F7A" w:rsidR="00445562" w:rsidRPr="00943EF1" w:rsidRDefault="00445562" w:rsidP="00943EF1">
      <w:pPr>
        <w:rPr>
          <w:szCs w:val="22"/>
        </w:rPr>
      </w:pPr>
      <w:r w:rsidRPr="00943EF1">
        <w:rPr>
          <w:szCs w:val="22"/>
        </w:rPr>
        <w:t xml:space="preserve">Intentional learning theory suggests that when learners are aware that they are studying a specific linguistic item, they allocate more attentional resources to it and therefore achieve better learning outcomes. In contrast, </w:t>
      </w:r>
      <w:r w:rsidR="00943EF1" w:rsidRPr="00943EF1">
        <w:rPr>
          <w:szCs w:val="22"/>
        </w:rPr>
        <w:t>although it may support language development through exposure</w:t>
      </w:r>
      <w:r w:rsidR="00943EF1">
        <w:rPr>
          <w:szCs w:val="22"/>
        </w:rPr>
        <w:t>,</w:t>
      </w:r>
      <w:r w:rsidR="00943EF1" w:rsidRPr="00943EF1">
        <w:rPr>
          <w:szCs w:val="22"/>
        </w:rPr>
        <w:t xml:space="preserve"> </w:t>
      </w:r>
      <w:r w:rsidRPr="00943EF1">
        <w:rPr>
          <w:szCs w:val="22"/>
        </w:rPr>
        <w:t>incidental learning</w:t>
      </w:r>
      <w:r w:rsidR="00943EF1">
        <w:rPr>
          <w:szCs w:val="22"/>
        </w:rPr>
        <w:t xml:space="preserve"> </w:t>
      </w:r>
      <w:r w:rsidRPr="00943EF1">
        <w:rPr>
          <w:szCs w:val="22"/>
        </w:rPr>
        <w:t>is generally less efficient than explicit instruction (</w:t>
      </w:r>
      <w:proofErr w:type="spellStart"/>
      <w:r w:rsidRPr="00943EF1">
        <w:rPr>
          <w:szCs w:val="22"/>
        </w:rPr>
        <w:t>Hulstijn</w:t>
      </w:r>
      <w:proofErr w:type="spellEnd"/>
      <w:r w:rsidRPr="00943EF1">
        <w:rPr>
          <w:szCs w:val="22"/>
        </w:rPr>
        <w:t>, 2001). In this study, both the code-switching group and the English-only group were placed in intentional learning conditions, as they received explicit vocabulary explanations. The control group, however, was in an incidental learning environment, gaining information only through naturally occurring classroom exposure. Based on this theory, it can be predicted that the two treatment groups (CS and EO) will outperform the control group. In addition, because code-switching provides an extra advantage for meaning encoding, the theory also anticipates that there may be learning differences between the two treatment groups.</w:t>
      </w:r>
    </w:p>
    <w:p w14:paraId="213A7585" w14:textId="70ABC243" w:rsidR="00A63E58" w:rsidRPr="00943EF1" w:rsidRDefault="00BD08E9" w:rsidP="00943EF1">
      <w:pPr>
        <w:rPr>
          <w:kern w:val="0"/>
          <w:szCs w:val="22"/>
        </w:rPr>
      </w:pPr>
      <w:bookmarkStart w:id="12" w:name="OLE_LINK29"/>
      <w:bookmarkEnd w:id="11"/>
      <w:r w:rsidRPr="00943EF1">
        <w:rPr>
          <w:kern w:val="0"/>
          <w:szCs w:val="22"/>
        </w:rPr>
        <w:t xml:space="preserve">Tian and Macaro (2012) formulated three hypotheses </w:t>
      </w:r>
      <w:r w:rsidR="00943EF1" w:rsidRPr="00943EF1">
        <w:rPr>
          <w:kern w:val="0"/>
          <w:szCs w:val="22"/>
        </w:rPr>
        <w:t>based on</w:t>
      </w:r>
      <w:r w:rsidRPr="00943EF1">
        <w:rPr>
          <w:kern w:val="0"/>
          <w:szCs w:val="22"/>
        </w:rPr>
        <w:t xml:space="preserve"> the theoretical framework outlined above. First, they predicted that code-switching explanations would outperform English-only explanations in facilitating vocabulary learning. Second, they hypothesized that learners who received explicit lexical instruction—whether through code-switching or English-only explanations—would significantly outperform those in the control group who received no such instruction. Finally, they proposed that learners’ proficiency levels might influence the effectiveness of the instructional treatments. In other words, higher- and lower-proficiency learners could benefit differently from code-switching and English-only explanations. These </w:t>
      </w:r>
      <w:r w:rsidRPr="00943EF1">
        <w:rPr>
          <w:kern w:val="0"/>
          <w:szCs w:val="22"/>
        </w:rPr>
        <w:lastRenderedPageBreak/>
        <w:t>three hypotheses collectively form the empirical testing framework of the study and align closely with the methodological design, the three-group experimental structure, and the subsequent statistical analyses.</w:t>
      </w:r>
      <w:bookmarkEnd w:id="12"/>
    </w:p>
    <w:p w14:paraId="5ABB3C1E" w14:textId="2EAFA166" w:rsidR="00A63E58" w:rsidRPr="0003409B" w:rsidRDefault="00A63E58" w:rsidP="00943EF1">
      <w:pPr>
        <w:rPr>
          <w:b/>
          <w:bCs/>
          <w:sz w:val="24"/>
        </w:rPr>
      </w:pPr>
      <w:bookmarkStart w:id="13" w:name="OLE_LINK30"/>
      <w:r w:rsidRPr="0003409B">
        <w:rPr>
          <w:b/>
          <w:bCs/>
          <w:sz w:val="24"/>
        </w:rPr>
        <w:t>3. Methodology Evaluation</w:t>
      </w:r>
    </w:p>
    <w:p w14:paraId="5B24917F" w14:textId="2FBF12F1" w:rsidR="004B2C65" w:rsidRPr="00943EF1" w:rsidRDefault="00170FC8" w:rsidP="00943EF1">
      <w:pPr>
        <w:rPr>
          <w:szCs w:val="22"/>
        </w:rPr>
      </w:pPr>
      <w:r w:rsidRPr="00943EF1">
        <w:rPr>
          <w:szCs w:val="22"/>
        </w:rPr>
        <w:t>This study uses a three-group quasi-experimental design to compare different explanation methods and to evaluate the impact of providing explicit instruction versus providing no instruction.</w:t>
      </w:r>
      <w:r w:rsidRPr="00943EF1">
        <w:rPr>
          <w:rFonts w:hint="eastAsia"/>
          <w:szCs w:val="22"/>
        </w:rPr>
        <w:t xml:space="preserve"> </w:t>
      </w:r>
      <w:r w:rsidR="004B2C65" w:rsidRPr="00943EF1">
        <w:rPr>
          <w:szCs w:val="22"/>
        </w:rPr>
        <w:t xml:space="preserve">A pre-test was first administered to ensure comparability among the three groups. Afterwards, the code-switching explanation, the English-only explanation, and the no-instruction condition were implemented respectively. An immediate post-test was conducted right after the instructional treatment, followed by a delayed post-test after some time </w:t>
      </w:r>
      <w:r w:rsidRPr="00943EF1">
        <w:rPr>
          <w:szCs w:val="22"/>
        </w:rPr>
        <w:t>to</w:t>
      </w:r>
      <w:r w:rsidR="004B2C65" w:rsidRPr="00943EF1">
        <w:rPr>
          <w:szCs w:val="22"/>
        </w:rPr>
        <w:t xml:space="preserve"> measure short-term learning effects and long-term retention. The combination of the three-test sequence and the three-group structure enables the study to systematically examine the three research questions.</w:t>
      </w:r>
    </w:p>
    <w:p w14:paraId="56F30289" w14:textId="7BFB2A77" w:rsidR="004B2C65" w:rsidRPr="00943EF1" w:rsidRDefault="004B2C65" w:rsidP="00943EF1">
      <w:pPr>
        <w:rPr>
          <w:szCs w:val="22"/>
        </w:rPr>
      </w:pPr>
      <w:bookmarkStart w:id="14" w:name="OLE_LINK31"/>
      <w:bookmarkEnd w:id="13"/>
      <w:r w:rsidRPr="00943EF1">
        <w:rPr>
          <w:szCs w:val="22"/>
        </w:rPr>
        <w:t xml:space="preserve">The research method has several strengths. First, the variables are well controlled, and the three-group design allows the study to distinguish between the effect of different explanation types and the effect of having or not having explicit instruction. Second, the testing instruments are consistent and the scoring criteria are clear, which increases the reliability of the measurements. </w:t>
      </w:r>
      <w:bookmarkStart w:id="15" w:name="OLE_LINK7"/>
      <w:r w:rsidRPr="00943EF1">
        <w:rPr>
          <w:szCs w:val="22"/>
        </w:rPr>
        <w:t>Third, the use of t-tests and ANOVA makes the statistical results more transparent</w:t>
      </w:r>
      <w:r w:rsidR="00104086">
        <w:rPr>
          <w:szCs w:val="22"/>
        </w:rPr>
        <w:t xml:space="preserve"> (</w:t>
      </w:r>
      <w:r w:rsidR="00104086" w:rsidRPr="00104086">
        <w:rPr>
          <w:szCs w:val="22"/>
        </w:rPr>
        <w:t>Larson-Hall, 2016;</w:t>
      </w:r>
      <w:r w:rsidR="00104086">
        <w:rPr>
          <w:szCs w:val="22"/>
        </w:rPr>
        <w:t>)</w:t>
      </w:r>
      <w:r w:rsidRPr="00943EF1">
        <w:rPr>
          <w:szCs w:val="22"/>
        </w:rPr>
        <w:t xml:space="preserve">. </w:t>
      </w:r>
      <w:bookmarkEnd w:id="15"/>
      <w:r w:rsidRPr="00943EF1">
        <w:rPr>
          <w:szCs w:val="22"/>
        </w:rPr>
        <w:t>Fourth, dividing learners into proficiency groups makes it possible to examine how proficiency interacts with the type of instruction.</w:t>
      </w:r>
    </w:p>
    <w:bookmarkEnd w:id="14"/>
    <w:p w14:paraId="548BFEE2" w14:textId="11DB1356" w:rsidR="004B2C65" w:rsidRPr="00943EF1" w:rsidRDefault="006404AB" w:rsidP="00943EF1">
      <w:pPr>
        <w:rPr>
          <w:szCs w:val="22"/>
        </w:rPr>
      </w:pPr>
      <w:r w:rsidRPr="00943EF1">
        <w:rPr>
          <w:szCs w:val="22"/>
        </w:rPr>
        <w:t xml:space="preserve">However, the study also presents several limitations. First, it does not include any qualitative data or records of the teaching process, which makes it impossible to show the specific classroom functions of code-switching, such as highlighting meaning, providing affective support, or directing learners’ attention. As a result, the explanations rely mainly on test score differences rather than evidence from the learning process. </w:t>
      </w:r>
      <w:bookmarkStart w:id="16" w:name="OLE_LINK8"/>
      <w:r w:rsidRPr="00943EF1">
        <w:rPr>
          <w:szCs w:val="22"/>
        </w:rPr>
        <w:t>Second, the vocabulary tests focus mainly on meaning recall and do not assess vocabulary depth, collocation, or semantic networks, which limits the evaluation of learners’ overall lexical mastery</w:t>
      </w:r>
      <w:r w:rsidR="007E05EE">
        <w:rPr>
          <w:szCs w:val="22"/>
        </w:rPr>
        <w:t xml:space="preserve"> (</w:t>
      </w:r>
      <w:r w:rsidR="007E05EE" w:rsidRPr="007E05EE">
        <w:rPr>
          <w:szCs w:val="22"/>
        </w:rPr>
        <w:t>Schmitt, 2014</w:t>
      </w:r>
      <w:r w:rsidR="007E05EE">
        <w:rPr>
          <w:szCs w:val="22"/>
        </w:rPr>
        <w:t>)</w:t>
      </w:r>
      <w:r w:rsidRPr="00943EF1">
        <w:rPr>
          <w:szCs w:val="22"/>
        </w:rPr>
        <w:t>.</w:t>
      </w:r>
      <w:bookmarkEnd w:id="16"/>
      <w:r w:rsidRPr="00943EF1">
        <w:rPr>
          <w:szCs w:val="22"/>
        </w:rPr>
        <w:t xml:space="preserve"> Third, the instructional treatment was conducted only once, which reduces ecological validity and makes </w:t>
      </w:r>
      <w:r w:rsidRPr="00943EF1">
        <w:rPr>
          <w:szCs w:val="22"/>
        </w:rPr>
        <w:lastRenderedPageBreak/>
        <w:t>it difficult to determine whether L1 use would show different patterns in a sustained classroom setting. Fourth, the description of input for the control group is insufficiently transparent, making the “no-instruction” condition less comparable to the two treatment conditions.</w:t>
      </w:r>
    </w:p>
    <w:p w14:paraId="113639F2" w14:textId="08ABE212" w:rsidR="006404AB" w:rsidRPr="00943EF1" w:rsidRDefault="006404AB" w:rsidP="00943EF1">
      <w:pPr>
        <w:rPr>
          <w:szCs w:val="22"/>
        </w:rPr>
      </w:pPr>
      <w:bookmarkStart w:id="17" w:name="OLE_LINK32"/>
      <w:r w:rsidRPr="00943EF1">
        <w:rPr>
          <w:szCs w:val="22"/>
        </w:rPr>
        <w:t>Based on these limitations, several alternative methodological approaches can be suggested. A mixed-methods design could incorporate classroom observation or interviews to capture learning processes more directly. Including measures of vocabulary depth would allow a more comprehensive assessment of lexical knowledge. In addition, a longer-term instructional design would enhance ecological validity and allow researchers to examine whether the use of L1 in the classroom produces different patterns over time. Together, these alternatives could strengthen both the explanatory depth and the external validity of future studies.</w:t>
      </w:r>
    </w:p>
    <w:p w14:paraId="7BAEC760" w14:textId="15F0288B" w:rsidR="00A63E58" w:rsidRPr="00943EF1" w:rsidRDefault="006404AB" w:rsidP="00943EF1">
      <w:pPr>
        <w:rPr>
          <w:szCs w:val="22"/>
        </w:rPr>
      </w:pPr>
      <w:bookmarkStart w:id="18" w:name="OLE_LINK33"/>
      <w:bookmarkEnd w:id="17"/>
      <w:r w:rsidRPr="00943EF1">
        <w:rPr>
          <w:szCs w:val="22"/>
        </w:rPr>
        <w:t>Overall, the experimental design in Tian and Macaro (2012) is clear and rigorous, and it effectively addresses the research questions. However, by incorporating more process-based evidence, richer measurement tools, and designs with greater ecological validity, future studies could provide a more comprehensive account of the pedagogical value of different types of explanations.</w:t>
      </w:r>
      <w:bookmarkEnd w:id="18"/>
    </w:p>
    <w:p w14:paraId="7B239B44" w14:textId="5B2657B0" w:rsidR="00A63E58" w:rsidRPr="0003409B" w:rsidRDefault="00A63E58" w:rsidP="00943EF1">
      <w:pPr>
        <w:rPr>
          <w:b/>
          <w:bCs/>
          <w:sz w:val="24"/>
        </w:rPr>
      </w:pPr>
      <w:r w:rsidRPr="0003409B">
        <w:rPr>
          <w:b/>
          <w:bCs/>
          <w:sz w:val="24"/>
        </w:rPr>
        <w:t>4. Results &amp; Theoretical Relevance</w:t>
      </w:r>
    </w:p>
    <w:p w14:paraId="23C2B616" w14:textId="10F8B626" w:rsidR="00240670" w:rsidRPr="00943EF1" w:rsidRDefault="00240670" w:rsidP="00943EF1">
      <w:pPr>
        <w:rPr>
          <w:szCs w:val="22"/>
        </w:rPr>
      </w:pPr>
      <w:r w:rsidRPr="00943EF1">
        <w:rPr>
          <w:szCs w:val="22"/>
        </w:rPr>
        <w:t>In this study, three tests were used</w:t>
      </w:r>
      <w:r w:rsidR="00943EF1">
        <w:rPr>
          <w:szCs w:val="22"/>
        </w:rPr>
        <w:t xml:space="preserve"> </w:t>
      </w:r>
      <w:r w:rsidRPr="00943EF1">
        <w:rPr>
          <w:szCs w:val="22"/>
        </w:rPr>
        <w:t>to compare the effects of three instructional treatments on vocabulary learning. First, the findings show that in both the immediate and delayed post-tests, the code-switching group (CS) scored significantly higher than the English-only group (EO). This indicates that, under explicit vocabulary teaching, the teacher’s use of L1 is more effective than using L2 alone in promoting both short-term and long-term vocabulary retention. Second, both instructional groups (CS and EO) significantly outperformed the control group</w:t>
      </w:r>
      <w:r w:rsidR="00943EF1">
        <w:rPr>
          <w:szCs w:val="22"/>
        </w:rPr>
        <w:t>.</w:t>
      </w:r>
      <w:r w:rsidRPr="00943EF1">
        <w:rPr>
          <w:szCs w:val="22"/>
        </w:rPr>
        <w:t xml:space="preserve"> This suggests that explicit vocabulary instruction, as a type of Focus-on-Form strategy, produces clear learning benefits, and that intentional learning is more effective than incidental exposure. Third, the results indicate that both high- and low-proficiency learners benefited from the instructional treatments, but the pattern of gains differed across proficiency levels</w:t>
      </w:r>
      <w:r w:rsidR="00943EF1">
        <w:rPr>
          <w:szCs w:val="22"/>
        </w:rPr>
        <w:t>.</w:t>
      </w:r>
      <w:r w:rsidRPr="00943EF1">
        <w:rPr>
          <w:szCs w:val="22"/>
        </w:rPr>
        <w:t xml:space="preserve"> </w:t>
      </w:r>
      <w:r w:rsidR="00943EF1">
        <w:rPr>
          <w:szCs w:val="22"/>
        </w:rPr>
        <w:t>O</w:t>
      </w:r>
      <w:r w:rsidRPr="00943EF1">
        <w:rPr>
          <w:szCs w:val="22"/>
        </w:rPr>
        <w:t>verall, lower-proficiency learners appeared to benefit more noticeably from L1-assisted explanations.</w:t>
      </w:r>
    </w:p>
    <w:p w14:paraId="40D51008" w14:textId="633C27E9" w:rsidR="00240670" w:rsidRPr="00943EF1" w:rsidRDefault="00240670" w:rsidP="00943EF1">
      <w:pPr>
        <w:rPr>
          <w:szCs w:val="22"/>
        </w:rPr>
      </w:pPr>
      <w:r w:rsidRPr="00943EF1">
        <w:rPr>
          <w:szCs w:val="22"/>
        </w:rPr>
        <w:t xml:space="preserve">When these findings are interpreted in relation to the study’s theoretical frameworks, several </w:t>
      </w:r>
      <w:r w:rsidRPr="00943EF1">
        <w:rPr>
          <w:szCs w:val="22"/>
        </w:rPr>
        <w:lastRenderedPageBreak/>
        <w:t xml:space="preserve">correspondences can be observed. </w:t>
      </w:r>
      <w:bookmarkStart w:id="19" w:name="OLE_LINK61"/>
      <w:r w:rsidRPr="00943EF1">
        <w:rPr>
          <w:szCs w:val="22"/>
        </w:rPr>
        <w:t xml:space="preserve">From the perspective of Focus-on-Form Theory, the results confirm that explicit instructional attention to linguistic forms—whether through CS or EO—is more effective than receiving no explanation, </w:t>
      </w:r>
      <w:bookmarkEnd w:id="19"/>
      <w:r w:rsidR="00943EF1" w:rsidRPr="00943EF1">
        <w:rPr>
          <w:szCs w:val="22"/>
        </w:rPr>
        <w:t xml:space="preserve">thereby reinforcing the </w:t>
      </w:r>
      <w:proofErr w:type="spellStart"/>
      <w:r w:rsidR="00943EF1" w:rsidRPr="00943EF1">
        <w:rPr>
          <w:szCs w:val="22"/>
        </w:rPr>
        <w:t>FoF</w:t>
      </w:r>
      <w:proofErr w:type="spellEnd"/>
      <w:r w:rsidR="00943EF1" w:rsidRPr="00943EF1">
        <w:rPr>
          <w:szCs w:val="22"/>
        </w:rPr>
        <w:t xml:space="preserve"> claim that raising learners’ awareness of form contributes to successful acquisition.</w:t>
      </w:r>
      <w:r w:rsidRPr="00943EF1">
        <w:rPr>
          <w:szCs w:val="22"/>
        </w:rPr>
        <w:t xml:space="preserve"> The fact that the two treatment groups continued to outperform the control group in the </w:t>
      </w:r>
      <w:r w:rsidR="00943EF1">
        <w:rPr>
          <w:szCs w:val="22"/>
        </w:rPr>
        <w:t>post-</w:t>
      </w:r>
      <w:r w:rsidRPr="00943EF1">
        <w:rPr>
          <w:szCs w:val="22"/>
        </w:rPr>
        <w:t xml:space="preserve">test further suggests that </w:t>
      </w:r>
      <w:proofErr w:type="spellStart"/>
      <w:r w:rsidRPr="00943EF1">
        <w:rPr>
          <w:szCs w:val="22"/>
        </w:rPr>
        <w:t>FoF</w:t>
      </w:r>
      <w:proofErr w:type="spellEnd"/>
      <w:r w:rsidRPr="00943EF1">
        <w:rPr>
          <w:szCs w:val="22"/>
        </w:rPr>
        <w:t xml:space="preserve"> promotes not only immediate noticing but also durable memory formation.</w:t>
      </w:r>
    </w:p>
    <w:p w14:paraId="5AA8408E" w14:textId="368D6870" w:rsidR="00240670" w:rsidRPr="00943EF1" w:rsidRDefault="00240670" w:rsidP="00943EF1">
      <w:pPr>
        <w:rPr>
          <w:szCs w:val="22"/>
        </w:rPr>
      </w:pPr>
      <w:r w:rsidRPr="00943EF1">
        <w:rPr>
          <w:szCs w:val="22"/>
        </w:rPr>
        <w:t>From the standpoint of Code</w:t>
      </w:r>
      <w:r w:rsidR="00943EF1">
        <w:rPr>
          <w:szCs w:val="22"/>
        </w:rPr>
        <w:t>-</w:t>
      </w:r>
      <w:r w:rsidRPr="00943EF1">
        <w:rPr>
          <w:szCs w:val="22"/>
        </w:rPr>
        <w:t>switching Theory, the superior performance of the CS group in both post-tests aligns with the view that L1 use in instruction can reduce processing difficulty and enhance semantic clarity. The empirical evidence supports the pedagogical value of L1 as a functional classroom resource rather than an impediment.</w:t>
      </w:r>
    </w:p>
    <w:p w14:paraId="2CFCE1AF" w14:textId="3C4AF84F" w:rsidR="00240670" w:rsidRPr="00943EF1" w:rsidRDefault="00240670" w:rsidP="00943EF1">
      <w:pPr>
        <w:rPr>
          <w:szCs w:val="22"/>
        </w:rPr>
      </w:pPr>
      <w:r w:rsidRPr="00943EF1">
        <w:rPr>
          <w:szCs w:val="22"/>
        </w:rPr>
        <w:t xml:space="preserve">From the perspective of Bilingual Lexicon Representation Theory, the particularly strong performance of the CS group in the delayed </w:t>
      </w:r>
      <w:r w:rsidR="00943EF1">
        <w:rPr>
          <w:szCs w:val="22"/>
        </w:rPr>
        <w:t>post-</w:t>
      </w:r>
      <w:r w:rsidRPr="00943EF1">
        <w:rPr>
          <w:szCs w:val="22"/>
        </w:rPr>
        <w:t xml:space="preserve">test suggests that L1 explanations may have strengthened learners’ L1-mediated </w:t>
      </w:r>
      <w:r w:rsidRPr="00943EF1">
        <w:rPr>
          <w:rFonts w:hint="eastAsia"/>
          <w:szCs w:val="22"/>
        </w:rPr>
        <w:t xml:space="preserve">conceptual </w:t>
      </w:r>
      <w:r w:rsidRPr="00943EF1">
        <w:rPr>
          <w:szCs w:val="22"/>
        </w:rPr>
        <w:t>links, resulting in more stable lexical retention. This indirectly supports the bilingual lexicon model’s claim that early L2 vocabulary learning is mediated through L1.</w:t>
      </w:r>
    </w:p>
    <w:p w14:paraId="704F9CBD" w14:textId="599F9FCF" w:rsidR="00DB4EB3" w:rsidRPr="00943EF1" w:rsidRDefault="00DB4EB3" w:rsidP="00943EF1">
      <w:pPr>
        <w:rPr>
          <w:szCs w:val="22"/>
        </w:rPr>
      </w:pPr>
      <w:bookmarkStart w:id="20" w:name="OLE_LINK34"/>
      <w:r w:rsidRPr="00943EF1">
        <w:rPr>
          <w:szCs w:val="22"/>
        </w:rPr>
        <w:t>Regarding Intentional vs. Incidental Learning, the results once again offer supporting evidence: both instructional groups clearly outperformed the control group, indicating that intentional, explicit instruction leads to more effective vocabulary learning than incidental exposure. This pattern appears consistently across the immediate and delayed tests.</w:t>
      </w:r>
    </w:p>
    <w:bookmarkEnd w:id="20"/>
    <w:p w14:paraId="4CCCCC3C" w14:textId="02917F31" w:rsidR="00DB4EB3" w:rsidRPr="00943EF1" w:rsidRDefault="00DB4EB3" w:rsidP="00943EF1">
      <w:pPr>
        <w:rPr>
          <w:szCs w:val="22"/>
        </w:rPr>
      </w:pPr>
      <w:r w:rsidRPr="00943EF1">
        <w:rPr>
          <w:szCs w:val="22"/>
        </w:rPr>
        <w:t xml:space="preserve">Despite the overall </w:t>
      </w:r>
      <w:r w:rsidR="0099396E" w:rsidRPr="00943EF1">
        <w:rPr>
          <w:szCs w:val="22"/>
        </w:rPr>
        <w:t>rigor</w:t>
      </w:r>
      <w:r w:rsidRPr="00943EF1">
        <w:rPr>
          <w:szCs w:val="22"/>
        </w:rPr>
        <w:t xml:space="preserve"> of the study, certain parts of the methodology and presentation remain insufficiently articulated, which may affect the transparency and replicability of the findings. First, while the authors attribute the effectiveness of code-switching to reduced processing load and strengthened form–meaning mapping, the study does not provide process-level evidence—such as classroom interaction transcripts, learners’ immediate reactions, or cognitive processing data—to substantiate these claims. As a result, the theoretical interpretations rely heavily on outcomes rather than observable learning processes. Second, the description of the control group’s instructional input is relatively limited; the amount and nature of the input are not clearly specified, which compromises the comparability between the “instruction” and “no-</w:t>
      </w:r>
      <w:r w:rsidRPr="00943EF1">
        <w:rPr>
          <w:szCs w:val="22"/>
        </w:rPr>
        <w:lastRenderedPageBreak/>
        <w:t>instruction” conditions. Finally, in discussing the interaction between proficiency level and instructional type, the authors do not sufficiently explain why some proficiency groups did not show significant differences, nor do they consider whether insufficient statistical power might have contributed to the non-significant findings, making the conclusion appear somewhat premature.</w:t>
      </w:r>
    </w:p>
    <w:p w14:paraId="3141ACF0" w14:textId="3AC02993" w:rsidR="00A63E58" w:rsidRPr="00943EF1" w:rsidRDefault="00DB4EB3" w:rsidP="00943EF1">
      <w:pPr>
        <w:rPr>
          <w:kern w:val="0"/>
          <w:szCs w:val="22"/>
        </w:rPr>
      </w:pPr>
      <w:r w:rsidRPr="00943EF1">
        <w:rPr>
          <w:kern w:val="0"/>
          <w:szCs w:val="22"/>
        </w:rPr>
        <w:t xml:space="preserve">In response to these issues, several methodological improvements can be suggested. </w:t>
      </w:r>
      <w:bookmarkStart w:id="21" w:name="OLE_LINK9"/>
      <w:r w:rsidRPr="00943EF1">
        <w:rPr>
          <w:kern w:val="0"/>
          <w:szCs w:val="22"/>
        </w:rPr>
        <w:t>First, qualitative or process-oriented data—such as classroom recordings, teacher discourse coding, or stimulated recall interviews—could be incorporated to reveal how code-switching functions during instruction</w:t>
      </w:r>
      <w:r w:rsidR="007E05EE">
        <w:rPr>
          <w:kern w:val="0"/>
          <w:szCs w:val="22"/>
        </w:rPr>
        <w:t xml:space="preserve"> (</w:t>
      </w:r>
      <w:r w:rsidR="007E05EE" w:rsidRPr="007E05EE">
        <w:rPr>
          <w:kern w:val="0"/>
          <w:szCs w:val="22"/>
        </w:rPr>
        <w:t>Lin, 2015</w:t>
      </w:r>
      <w:r w:rsidR="007E05EE">
        <w:rPr>
          <w:kern w:val="0"/>
          <w:szCs w:val="22"/>
        </w:rPr>
        <w:t>)</w:t>
      </w:r>
      <w:r w:rsidRPr="00943EF1">
        <w:rPr>
          <w:kern w:val="0"/>
          <w:szCs w:val="22"/>
        </w:rPr>
        <w:t xml:space="preserve">. </w:t>
      </w:r>
      <w:bookmarkStart w:id="22" w:name="OLE_LINK10"/>
      <w:bookmarkStart w:id="23" w:name="OLE_LINK11"/>
      <w:bookmarkEnd w:id="21"/>
      <w:r w:rsidRPr="00943EF1">
        <w:rPr>
          <w:kern w:val="0"/>
          <w:szCs w:val="22"/>
        </w:rPr>
        <w:t xml:space="preserve">Second, the control group’s instructional input should be described in greater detail to ensure comparability among the three conditions in terms of exposure time and vocabulary content. Third, larger sample sizes or multi-school, multi-class cohort designs could be used to increase statistical power and reduce potential teacher or class effects. These improvements would enhance the precision of theoretical explanations, the methodological transparency, and the external validity of future research. </w:t>
      </w:r>
      <w:bookmarkEnd w:id="22"/>
    </w:p>
    <w:bookmarkEnd w:id="23"/>
    <w:p w14:paraId="6F3E3C8C" w14:textId="3F3B1182" w:rsidR="001A339B" w:rsidRPr="0003409B" w:rsidRDefault="00A63E58" w:rsidP="00943EF1">
      <w:pPr>
        <w:rPr>
          <w:b/>
          <w:bCs/>
          <w:sz w:val="24"/>
        </w:rPr>
      </w:pPr>
      <w:r w:rsidRPr="0003409B">
        <w:rPr>
          <w:b/>
          <w:bCs/>
          <w:sz w:val="24"/>
        </w:rPr>
        <w:t>5. C</w:t>
      </w:r>
      <w:bookmarkStart w:id="24" w:name="OLE_LINK26"/>
      <w:r w:rsidRPr="0003409B">
        <w:rPr>
          <w:b/>
          <w:bCs/>
          <w:sz w:val="24"/>
        </w:rPr>
        <w:t>onclus</w:t>
      </w:r>
      <w:bookmarkEnd w:id="24"/>
      <w:r w:rsidRPr="0003409B">
        <w:rPr>
          <w:b/>
          <w:bCs/>
          <w:sz w:val="24"/>
        </w:rPr>
        <w:t>ion</w:t>
      </w:r>
    </w:p>
    <w:p w14:paraId="388C35F8" w14:textId="14EB4CAC" w:rsidR="00240670" w:rsidRPr="00943EF1" w:rsidRDefault="00DB4EB3" w:rsidP="00943EF1">
      <w:pPr>
        <w:rPr>
          <w:szCs w:val="22"/>
        </w:rPr>
      </w:pPr>
      <w:r w:rsidRPr="00943EF1">
        <w:rPr>
          <w:szCs w:val="22"/>
        </w:rPr>
        <w:t>Through a three-group experimental design and three rounds of testing, Tian and Macaro (2012) provide important empirical evidence concerning the effects of code-switching and English-only explanations in vocabulary learning. The findings clearly support key predictions derived from Focus-on-Form, intentional learning, code</w:t>
      </w:r>
      <w:r w:rsidR="00943EF1">
        <w:rPr>
          <w:szCs w:val="22"/>
        </w:rPr>
        <w:t>-</w:t>
      </w:r>
      <w:r w:rsidRPr="00943EF1">
        <w:rPr>
          <w:szCs w:val="22"/>
        </w:rPr>
        <w:t xml:space="preserve">switching theory, and bilingual lexical processing. However, certain limitations remain in terms of process evidence, measurement scope, and ecological validity. Overall, the study offers robust support for the pedagogical value of L1 use in </w:t>
      </w:r>
      <w:r w:rsidR="00943EF1">
        <w:rPr>
          <w:szCs w:val="22"/>
        </w:rPr>
        <w:t xml:space="preserve">Chinese </w:t>
      </w:r>
      <w:r w:rsidRPr="00943EF1">
        <w:rPr>
          <w:szCs w:val="22"/>
        </w:rPr>
        <w:t>EFL classrooms and provides methodological direction for future research on classroom language practices.</w:t>
      </w:r>
    </w:p>
    <w:p w14:paraId="544C1DA5" w14:textId="06327C31" w:rsidR="004E11CE" w:rsidRPr="00003747" w:rsidRDefault="004E11CE" w:rsidP="00943EF1">
      <w:pPr>
        <w:rPr>
          <w:b/>
          <w:bCs/>
          <w:sz w:val="24"/>
        </w:rPr>
      </w:pPr>
      <w:r w:rsidRPr="00003747">
        <w:rPr>
          <w:b/>
          <w:bCs/>
          <w:sz w:val="24"/>
        </w:rPr>
        <w:t>References</w:t>
      </w:r>
    </w:p>
    <w:p w14:paraId="7D863FF4" w14:textId="2F9ECE1D" w:rsidR="004F614A" w:rsidRPr="00943EF1" w:rsidRDefault="004F614A" w:rsidP="00943EF1">
      <w:pPr>
        <w:rPr>
          <w:szCs w:val="22"/>
        </w:rPr>
      </w:pPr>
      <w:bookmarkStart w:id="25" w:name="OLE_LINK62"/>
      <w:bookmarkStart w:id="26" w:name="OLE_LINK68"/>
      <w:bookmarkStart w:id="27" w:name="OLE_LINK15"/>
      <w:r w:rsidRPr="00943EF1">
        <w:rPr>
          <w:szCs w:val="22"/>
        </w:rPr>
        <w:t xml:space="preserve">Ferguson, G. </w:t>
      </w:r>
      <w:r w:rsidR="006368F7">
        <w:rPr>
          <w:szCs w:val="22"/>
        </w:rPr>
        <w:t>(</w:t>
      </w:r>
      <w:r w:rsidRPr="00943EF1">
        <w:rPr>
          <w:szCs w:val="22"/>
        </w:rPr>
        <w:t>2003</w:t>
      </w:r>
      <w:r w:rsidR="006368F7">
        <w:rPr>
          <w:szCs w:val="22"/>
        </w:rPr>
        <w:t>)</w:t>
      </w:r>
      <w:r w:rsidRPr="00943EF1">
        <w:rPr>
          <w:szCs w:val="22"/>
        </w:rPr>
        <w:t xml:space="preserve"> ‘Classroom code-switching in post-colonial contexts: Functions, attitudes and policies’, </w:t>
      </w:r>
      <w:r w:rsidRPr="00943EF1">
        <w:rPr>
          <w:i/>
          <w:iCs/>
          <w:szCs w:val="22"/>
        </w:rPr>
        <w:t>AILA Review</w:t>
      </w:r>
      <w:r w:rsidRPr="00943EF1">
        <w:rPr>
          <w:szCs w:val="22"/>
        </w:rPr>
        <w:t xml:space="preserve">, </w:t>
      </w:r>
      <w:r w:rsidR="00114403">
        <w:rPr>
          <w:rFonts w:hint="eastAsia"/>
          <w:szCs w:val="22"/>
        </w:rPr>
        <w:t>16</w:t>
      </w:r>
      <w:r w:rsidR="00114403">
        <w:rPr>
          <w:szCs w:val="22"/>
        </w:rPr>
        <w:t>(1)</w:t>
      </w:r>
      <w:r w:rsidRPr="00943EF1">
        <w:rPr>
          <w:szCs w:val="22"/>
        </w:rPr>
        <w:t>, pp. 38–51.</w:t>
      </w:r>
    </w:p>
    <w:p w14:paraId="378913D1" w14:textId="428DE345" w:rsidR="004F614A" w:rsidRPr="00943EF1" w:rsidRDefault="004F614A" w:rsidP="00943EF1">
      <w:pPr>
        <w:rPr>
          <w:szCs w:val="22"/>
        </w:rPr>
      </w:pPr>
      <w:bookmarkStart w:id="28" w:name="OLE_LINK64"/>
      <w:bookmarkEnd w:id="25"/>
      <w:proofErr w:type="spellStart"/>
      <w:r w:rsidRPr="00943EF1">
        <w:rPr>
          <w:szCs w:val="22"/>
        </w:rPr>
        <w:t>Hulstijn</w:t>
      </w:r>
      <w:proofErr w:type="spellEnd"/>
      <w:r w:rsidRPr="00943EF1">
        <w:rPr>
          <w:szCs w:val="22"/>
        </w:rPr>
        <w:t xml:space="preserve">, J.H. </w:t>
      </w:r>
      <w:r w:rsidR="006368F7">
        <w:rPr>
          <w:szCs w:val="22"/>
        </w:rPr>
        <w:t>(</w:t>
      </w:r>
      <w:r w:rsidRPr="00943EF1">
        <w:rPr>
          <w:szCs w:val="22"/>
        </w:rPr>
        <w:t>2001</w:t>
      </w:r>
      <w:r w:rsidR="006368F7">
        <w:rPr>
          <w:szCs w:val="22"/>
        </w:rPr>
        <w:t>)</w:t>
      </w:r>
      <w:r w:rsidRPr="00943EF1">
        <w:rPr>
          <w:szCs w:val="22"/>
        </w:rPr>
        <w:t xml:space="preserve"> ‘Intentional and incidental second-language vocabulary learning: A reappraisal of elaboration, rehearsal and automaticity’, in P. Robinson (ed.), </w:t>
      </w:r>
      <w:r w:rsidRPr="00943EF1">
        <w:rPr>
          <w:i/>
          <w:iCs/>
          <w:szCs w:val="22"/>
        </w:rPr>
        <w:t xml:space="preserve">Cognition and </w:t>
      </w:r>
      <w:r w:rsidRPr="00943EF1">
        <w:rPr>
          <w:i/>
          <w:iCs/>
          <w:szCs w:val="22"/>
        </w:rPr>
        <w:lastRenderedPageBreak/>
        <w:t>Second Language Instruction</w:t>
      </w:r>
      <w:r w:rsidRPr="00943EF1">
        <w:rPr>
          <w:szCs w:val="22"/>
        </w:rPr>
        <w:t>, Cambridge University Press, Cambridge, pp. 258–286.</w:t>
      </w:r>
    </w:p>
    <w:p w14:paraId="46BD4A4B" w14:textId="77777777" w:rsidR="00E56A60" w:rsidRDefault="004F614A" w:rsidP="00E56A60">
      <w:pPr>
        <w:rPr>
          <w:szCs w:val="22"/>
        </w:rPr>
      </w:pPr>
      <w:bookmarkStart w:id="29" w:name="OLE_LINK16"/>
      <w:bookmarkEnd w:id="28"/>
      <w:r w:rsidRPr="00943EF1">
        <w:rPr>
          <w:szCs w:val="22"/>
        </w:rPr>
        <w:t xml:space="preserve">Kroll, J.F. </w:t>
      </w:r>
      <w:bookmarkStart w:id="30" w:name="OLE_LINK14"/>
      <w:r w:rsidRPr="00943EF1">
        <w:rPr>
          <w:szCs w:val="22"/>
        </w:rPr>
        <w:t>&amp;</w:t>
      </w:r>
      <w:bookmarkEnd w:id="30"/>
      <w:r w:rsidRPr="00943EF1">
        <w:rPr>
          <w:szCs w:val="22"/>
        </w:rPr>
        <w:t xml:space="preserve"> Stewart, E. </w:t>
      </w:r>
      <w:r w:rsidR="006368F7">
        <w:rPr>
          <w:szCs w:val="22"/>
        </w:rPr>
        <w:t>(</w:t>
      </w:r>
      <w:r w:rsidRPr="00943EF1">
        <w:rPr>
          <w:szCs w:val="22"/>
        </w:rPr>
        <w:t>1994</w:t>
      </w:r>
      <w:r w:rsidR="006368F7">
        <w:rPr>
          <w:szCs w:val="22"/>
        </w:rPr>
        <w:t>)</w:t>
      </w:r>
      <w:r w:rsidRPr="00943EF1">
        <w:rPr>
          <w:szCs w:val="22"/>
        </w:rPr>
        <w:t xml:space="preserve"> ‘Category </w:t>
      </w:r>
      <w:r w:rsidR="003249B0">
        <w:rPr>
          <w:szCs w:val="22"/>
        </w:rPr>
        <w:t>I</w:t>
      </w:r>
      <w:r w:rsidRPr="00943EF1">
        <w:rPr>
          <w:szCs w:val="22"/>
        </w:rPr>
        <w:t xml:space="preserve">nterference in </w:t>
      </w:r>
      <w:r w:rsidR="003249B0">
        <w:rPr>
          <w:szCs w:val="22"/>
        </w:rPr>
        <w:t>T</w:t>
      </w:r>
      <w:r w:rsidRPr="00943EF1">
        <w:rPr>
          <w:szCs w:val="22"/>
        </w:rPr>
        <w:t xml:space="preserve">ranslation and </w:t>
      </w:r>
      <w:r w:rsidR="003249B0">
        <w:rPr>
          <w:szCs w:val="22"/>
        </w:rPr>
        <w:t>P</w:t>
      </w:r>
      <w:r w:rsidRPr="00943EF1">
        <w:rPr>
          <w:szCs w:val="22"/>
        </w:rPr>
        <w:t xml:space="preserve">icture </w:t>
      </w:r>
      <w:r w:rsidR="003249B0">
        <w:rPr>
          <w:szCs w:val="22"/>
        </w:rPr>
        <w:t>N</w:t>
      </w:r>
      <w:r w:rsidRPr="00943EF1">
        <w:rPr>
          <w:szCs w:val="22"/>
        </w:rPr>
        <w:t xml:space="preserve">aming: Evidence for </w:t>
      </w:r>
      <w:r w:rsidR="003249B0">
        <w:rPr>
          <w:szCs w:val="22"/>
        </w:rPr>
        <w:t>S</w:t>
      </w:r>
      <w:r w:rsidRPr="00943EF1">
        <w:rPr>
          <w:szCs w:val="22"/>
        </w:rPr>
        <w:t xml:space="preserve">symmetric </w:t>
      </w:r>
      <w:r w:rsidR="003249B0">
        <w:rPr>
          <w:szCs w:val="22"/>
        </w:rPr>
        <w:t>C</w:t>
      </w:r>
      <w:r w:rsidRPr="00943EF1">
        <w:rPr>
          <w:szCs w:val="22"/>
        </w:rPr>
        <w:t xml:space="preserve">onnections between </w:t>
      </w:r>
      <w:r w:rsidR="003249B0">
        <w:rPr>
          <w:szCs w:val="22"/>
        </w:rPr>
        <w:t>B</w:t>
      </w:r>
      <w:r w:rsidRPr="00943EF1">
        <w:rPr>
          <w:szCs w:val="22"/>
        </w:rPr>
        <w:t xml:space="preserve">ilingual </w:t>
      </w:r>
      <w:r w:rsidR="003249B0">
        <w:rPr>
          <w:szCs w:val="22"/>
        </w:rPr>
        <w:t>M</w:t>
      </w:r>
      <w:r w:rsidRPr="00943EF1">
        <w:rPr>
          <w:szCs w:val="22"/>
        </w:rPr>
        <w:t xml:space="preserve">emory </w:t>
      </w:r>
      <w:r w:rsidR="003249B0">
        <w:rPr>
          <w:szCs w:val="22"/>
        </w:rPr>
        <w:t>R</w:t>
      </w:r>
      <w:r w:rsidRPr="00943EF1">
        <w:rPr>
          <w:szCs w:val="22"/>
        </w:rPr>
        <w:t xml:space="preserve">epresentations’, </w:t>
      </w:r>
      <w:r w:rsidRPr="00943EF1">
        <w:rPr>
          <w:i/>
          <w:iCs/>
          <w:szCs w:val="22"/>
        </w:rPr>
        <w:t>Journal of Memory and Language</w:t>
      </w:r>
      <w:r w:rsidRPr="00943EF1">
        <w:rPr>
          <w:szCs w:val="22"/>
        </w:rPr>
        <w:t xml:space="preserve">, </w:t>
      </w:r>
      <w:r w:rsidR="003249B0">
        <w:rPr>
          <w:szCs w:val="22"/>
        </w:rPr>
        <w:t>33(2)</w:t>
      </w:r>
      <w:r w:rsidRPr="00943EF1">
        <w:rPr>
          <w:szCs w:val="22"/>
        </w:rPr>
        <w:t>, pp. 149–174.</w:t>
      </w:r>
      <w:r w:rsidR="00E56A60" w:rsidRPr="00E56A60">
        <w:rPr>
          <w:szCs w:val="22"/>
        </w:rPr>
        <w:t xml:space="preserve"> </w:t>
      </w:r>
    </w:p>
    <w:p w14:paraId="26FC31A4" w14:textId="77777777" w:rsidR="00E56A60" w:rsidRDefault="00E56A60" w:rsidP="00E56A60">
      <w:pPr>
        <w:rPr>
          <w:szCs w:val="22"/>
        </w:rPr>
      </w:pPr>
      <w:bookmarkStart w:id="31" w:name="OLE_LINK17"/>
      <w:bookmarkEnd w:id="29"/>
      <w:r w:rsidRPr="00104086">
        <w:rPr>
          <w:szCs w:val="22"/>
        </w:rPr>
        <w:t xml:space="preserve">Larson-Hall, J. (2016) </w:t>
      </w:r>
      <w:r w:rsidRPr="001B3734">
        <w:rPr>
          <w:i/>
          <w:iCs/>
          <w:szCs w:val="22"/>
        </w:rPr>
        <w:t>A Guide to Doing Statistics in Second Language Research Using SPSS and R</w:t>
      </w:r>
      <w:r w:rsidRPr="00104086">
        <w:rPr>
          <w:szCs w:val="22"/>
        </w:rPr>
        <w:t xml:space="preserve">. 2nd </w:t>
      </w:r>
      <w:proofErr w:type="spellStart"/>
      <w:r w:rsidRPr="00104086">
        <w:rPr>
          <w:szCs w:val="22"/>
        </w:rPr>
        <w:t>edn</w:t>
      </w:r>
      <w:proofErr w:type="spellEnd"/>
      <w:r w:rsidRPr="00104086">
        <w:rPr>
          <w:szCs w:val="22"/>
        </w:rPr>
        <w:t>. New York: Routledge.</w:t>
      </w:r>
    </w:p>
    <w:p w14:paraId="34093805" w14:textId="77777777" w:rsidR="00E56A60" w:rsidRDefault="00E56A60" w:rsidP="00E56A60">
      <w:pPr>
        <w:rPr>
          <w:szCs w:val="22"/>
        </w:rPr>
      </w:pPr>
      <w:bookmarkStart w:id="32" w:name="OLE_LINK18"/>
      <w:bookmarkEnd w:id="31"/>
      <w:r w:rsidRPr="00104086">
        <w:rPr>
          <w:szCs w:val="22"/>
        </w:rPr>
        <w:t xml:space="preserve">Levine, G. (2011) </w:t>
      </w:r>
      <w:r w:rsidRPr="001B3734">
        <w:rPr>
          <w:i/>
          <w:iCs/>
          <w:szCs w:val="22"/>
        </w:rPr>
        <w:t>Code choice in the language classroom</w:t>
      </w:r>
      <w:r w:rsidRPr="00104086">
        <w:rPr>
          <w:szCs w:val="22"/>
        </w:rPr>
        <w:t>. Bristol: Multilingual Matters.</w:t>
      </w:r>
    </w:p>
    <w:p w14:paraId="09F255BC" w14:textId="77777777" w:rsidR="00E56A60" w:rsidRPr="00943EF1" w:rsidRDefault="00E56A60" w:rsidP="00E56A60">
      <w:pPr>
        <w:rPr>
          <w:szCs w:val="22"/>
        </w:rPr>
      </w:pPr>
      <w:bookmarkStart w:id="33" w:name="OLE_LINK19"/>
      <w:bookmarkEnd w:id="32"/>
      <w:r w:rsidRPr="007E05EE">
        <w:rPr>
          <w:szCs w:val="22"/>
        </w:rPr>
        <w:t>Lin, A. M. Y. (2015) ‘</w:t>
      </w:r>
      <w:proofErr w:type="spellStart"/>
      <w:r w:rsidRPr="007E05EE">
        <w:rPr>
          <w:szCs w:val="22"/>
        </w:rPr>
        <w:t>Conceptualising</w:t>
      </w:r>
      <w:proofErr w:type="spellEnd"/>
      <w:r w:rsidRPr="007E05EE">
        <w:rPr>
          <w:szCs w:val="22"/>
        </w:rPr>
        <w:t xml:space="preserve"> the potential role of L1 in CLIL’, </w:t>
      </w:r>
      <w:r w:rsidRPr="001B3734">
        <w:rPr>
          <w:i/>
          <w:iCs/>
          <w:szCs w:val="22"/>
        </w:rPr>
        <w:t>Language, Culture and Curriculum</w:t>
      </w:r>
      <w:r w:rsidRPr="007E05EE">
        <w:rPr>
          <w:szCs w:val="22"/>
        </w:rPr>
        <w:t>, 28(1), pp. 74–89.</w:t>
      </w:r>
    </w:p>
    <w:bookmarkEnd w:id="33"/>
    <w:p w14:paraId="25679C3C" w14:textId="624BBE40" w:rsidR="004F614A" w:rsidRPr="00943EF1" w:rsidRDefault="00E56A60" w:rsidP="00943EF1">
      <w:pPr>
        <w:rPr>
          <w:rFonts w:hint="eastAsia"/>
          <w:szCs w:val="22"/>
        </w:rPr>
      </w:pPr>
      <w:r w:rsidRPr="00C05908">
        <w:rPr>
          <w:szCs w:val="22"/>
        </w:rPr>
        <w:t xml:space="preserve">Littlewood, W. </w:t>
      </w:r>
      <w:r>
        <w:rPr>
          <w:rFonts w:hint="eastAsia"/>
          <w:szCs w:val="22"/>
        </w:rPr>
        <w:t>&amp;</w:t>
      </w:r>
      <w:r w:rsidRPr="00C05908">
        <w:rPr>
          <w:szCs w:val="22"/>
        </w:rPr>
        <w:t xml:space="preserve"> Yu, B. (2011) ‘First language and target language in the foreign language classroom’, </w:t>
      </w:r>
      <w:r w:rsidRPr="001B3734">
        <w:rPr>
          <w:i/>
          <w:iCs/>
          <w:szCs w:val="22"/>
        </w:rPr>
        <w:t>Language Teaching</w:t>
      </w:r>
      <w:r w:rsidRPr="00C05908">
        <w:rPr>
          <w:szCs w:val="22"/>
        </w:rPr>
        <w:t>, 4</w:t>
      </w:r>
      <w:r w:rsidR="00F54E70">
        <w:rPr>
          <w:rFonts w:hint="eastAsia"/>
          <w:szCs w:val="22"/>
        </w:rPr>
        <w:t>4</w:t>
      </w:r>
      <w:r w:rsidRPr="00C05908">
        <w:rPr>
          <w:szCs w:val="22"/>
        </w:rPr>
        <w:t>(</w:t>
      </w:r>
      <w:r w:rsidR="00F54E70">
        <w:rPr>
          <w:rFonts w:hint="eastAsia"/>
          <w:szCs w:val="22"/>
        </w:rPr>
        <w:t>1</w:t>
      </w:r>
      <w:r w:rsidRPr="00C05908">
        <w:rPr>
          <w:szCs w:val="22"/>
        </w:rPr>
        <w:t>), pp. 64–77.</w:t>
      </w:r>
    </w:p>
    <w:p w14:paraId="498BB9D2" w14:textId="467C00AF" w:rsidR="00E56A60" w:rsidRDefault="004F614A" w:rsidP="00E56A60">
      <w:pPr>
        <w:rPr>
          <w:szCs w:val="22"/>
        </w:rPr>
      </w:pPr>
      <w:bookmarkStart w:id="34" w:name="OLE_LINK65"/>
      <w:r w:rsidRPr="00943EF1">
        <w:rPr>
          <w:szCs w:val="22"/>
        </w:rPr>
        <w:t xml:space="preserve">Long, M.H. </w:t>
      </w:r>
      <w:r w:rsidR="006368F7">
        <w:rPr>
          <w:szCs w:val="22"/>
        </w:rPr>
        <w:t>(</w:t>
      </w:r>
      <w:r w:rsidRPr="00943EF1">
        <w:rPr>
          <w:szCs w:val="22"/>
        </w:rPr>
        <w:t>1991</w:t>
      </w:r>
      <w:r w:rsidR="006368F7">
        <w:rPr>
          <w:szCs w:val="22"/>
        </w:rPr>
        <w:t>)</w:t>
      </w:r>
      <w:r w:rsidRPr="00943EF1">
        <w:rPr>
          <w:szCs w:val="22"/>
        </w:rPr>
        <w:t xml:space="preserve"> ‘Focus on form: A design feature in language teaching methodology’, in K. </w:t>
      </w:r>
    </w:p>
    <w:p w14:paraId="2DBF05A5" w14:textId="1064803D" w:rsidR="004F614A" w:rsidRPr="00943EF1" w:rsidRDefault="004F614A" w:rsidP="00943EF1">
      <w:pPr>
        <w:rPr>
          <w:szCs w:val="22"/>
        </w:rPr>
      </w:pPr>
      <w:r w:rsidRPr="00943EF1">
        <w:rPr>
          <w:szCs w:val="22"/>
        </w:rPr>
        <w:t xml:space="preserve">de Bot, R. Ginsberg &amp; C. </w:t>
      </w:r>
      <w:proofErr w:type="spellStart"/>
      <w:r w:rsidRPr="00943EF1">
        <w:rPr>
          <w:szCs w:val="22"/>
        </w:rPr>
        <w:t>Kramsch</w:t>
      </w:r>
      <w:proofErr w:type="spellEnd"/>
      <w:r w:rsidRPr="00943EF1">
        <w:rPr>
          <w:szCs w:val="22"/>
        </w:rPr>
        <w:t xml:space="preserve"> (eds), </w:t>
      </w:r>
      <w:r w:rsidRPr="00943EF1">
        <w:rPr>
          <w:i/>
          <w:iCs/>
          <w:szCs w:val="22"/>
        </w:rPr>
        <w:t>Foreign Language Research in Cross-Cultural Perspective</w:t>
      </w:r>
      <w:r w:rsidRPr="00943EF1">
        <w:rPr>
          <w:szCs w:val="22"/>
        </w:rPr>
        <w:t>, John Benjamins, Amsterdam, pp. 39–52.</w:t>
      </w:r>
    </w:p>
    <w:p w14:paraId="5866A33D" w14:textId="77777777" w:rsidR="00E56A60" w:rsidRPr="00104086" w:rsidRDefault="00E56A60" w:rsidP="00E56A60">
      <w:pPr>
        <w:rPr>
          <w:szCs w:val="22"/>
        </w:rPr>
      </w:pPr>
      <w:bookmarkStart w:id="35" w:name="OLE_LINK67"/>
      <w:bookmarkEnd w:id="34"/>
      <w:r w:rsidRPr="00104086">
        <w:rPr>
          <w:szCs w:val="22"/>
        </w:rPr>
        <w:t xml:space="preserve">Macaro, E. (2005) ‘Codeswitching in the L2 classroom: A communication and learning strategy’, </w:t>
      </w:r>
      <w:r w:rsidRPr="001B3734">
        <w:rPr>
          <w:i/>
          <w:iCs/>
          <w:szCs w:val="22"/>
        </w:rPr>
        <w:t>Language Teaching</w:t>
      </w:r>
      <w:r w:rsidRPr="00104086">
        <w:rPr>
          <w:szCs w:val="22"/>
        </w:rPr>
        <w:t>, 40(1), pp. 1–28.</w:t>
      </w:r>
    </w:p>
    <w:p w14:paraId="105685CF" w14:textId="46D7F636" w:rsidR="004E11CE" w:rsidRDefault="004F614A" w:rsidP="00943EF1">
      <w:pPr>
        <w:rPr>
          <w:szCs w:val="22"/>
        </w:rPr>
      </w:pPr>
      <w:bookmarkStart w:id="36" w:name="OLE_LINK20"/>
      <w:r w:rsidRPr="00943EF1">
        <w:rPr>
          <w:szCs w:val="22"/>
        </w:rPr>
        <w:t xml:space="preserve">Tian, L. </w:t>
      </w:r>
      <w:bookmarkStart w:id="37" w:name="OLE_LINK13"/>
      <w:r w:rsidRPr="00943EF1">
        <w:rPr>
          <w:szCs w:val="22"/>
        </w:rPr>
        <w:t>&amp;</w:t>
      </w:r>
      <w:bookmarkEnd w:id="37"/>
      <w:r w:rsidRPr="00943EF1">
        <w:rPr>
          <w:szCs w:val="22"/>
        </w:rPr>
        <w:t xml:space="preserve"> Macaro, E. </w:t>
      </w:r>
      <w:r w:rsidR="006368F7">
        <w:rPr>
          <w:szCs w:val="22"/>
        </w:rPr>
        <w:t>(</w:t>
      </w:r>
      <w:r w:rsidRPr="00943EF1">
        <w:rPr>
          <w:szCs w:val="22"/>
        </w:rPr>
        <w:t>2012</w:t>
      </w:r>
      <w:r w:rsidR="006368F7">
        <w:rPr>
          <w:szCs w:val="22"/>
        </w:rPr>
        <w:t>)</w:t>
      </w:r>
      <w:r w:rsidRPr="00943EF1">
        <w:rPr>
          <w:szCs w:val="22"/>
        </w:rPr>
        <w:t xml:space="preserve"> ‘Comparing the effect of teacher codeswitching with English-only explanations on the vocabulary acquisition of Chinese university students: A lexical focus-on-form study’, </w:t>
      </w:r>
      <w:r w:rsidRPr="00943EF1">
        <w:rPr>
          <w:i/>
          <w:iCs/>
          <w:szCs w:val="22"/>
        </w:rPr>
        <w:t>Language Teaching Research</w:t>
      </w:r>
      <w:r w:rsidRPr="00943EF1">
        <w:rPr>
          <w:szCs w:val="22"/>
        </w:rPr>
        <w:t xml:space="preserve">, </w:t>
      </w:r>
      <w:r w:rsidR="00AA68F0">
        <w:rPr>
          <w:szCs w:val="22"/>
        </w:rPr>
        <w:t>16(3)</w:t>
      </w:r>
      <w:r w:rsidRPr="00943EF1">
        <w:rPr>
          <w:szCs w:val="22"/>
        </w:rPr>
        <w:t>, pp. 367–391.</w:t>
      </w:r>
      <w:bookmarkEnd w:id="26"/>
      <w:bookmarkEnd w:id="35"/>
    </w:p>
    <w:p w14:paraId="45D6017F" w14:textId="2634A0F1" w:rsidR="00C05908" w:rsidRDefault="00C05908" w:rsidP="00943EF1">
      <w:pPr>
        <w:rPr>
          <w:szCs w:val="22"/>
        </w:rPr>
      </w:pPr>
      <w:bookmarkStart w:id="38" w:name="OLE_LINK12"/>
      <w:bookmarkStart w:id="39" w:name="OLE_LINK21"/>
      <w:bookmarkEnd w:id="36"/>
      <w:r w:rsidRPr="00C05908">
        <w:rPr>
          <w:szCs w:val="22"/>
        </w:rPr>
        <w:t xml:space="preserve">Turnbull, M. </w:t>
      </w:r>
      <w:r w:rsidR="00E56A60">
        <w:rPr>
          <w:rFonts w:hint="eastAsia"/>
          <w:szCs w:val="22"/>
        </w:rPr>
        <w:t>&amp;</w:t>
      </w:r>
      <w:r w:rsidRPr="00C05908">
        <w:rPr>
          <w:szCs w:val="22"/>
        </w:rPr>
        <w:t xml:space="preserve"> Dailey-O’Cain, J. (2009) </w:t>
      </w:r>
      <w:r w:rsidRPr="001B3734">
        <w:rPr>
          <w:i/>
          <w:iCs/>
          <w:szCs w:val="22"/>
        </w:rPr>
        <w:t>First language use in second and foreign language learning</w:t>
      </w:r>
      <w:r w:rsidRPr="00C05908">
        <w:rPr>
          <w:szCs w:val="22"/>
        </w:rPr>
        <w:t>. Bristol: Multilingual Matters.</w:t>
      </w:r>
    </w:p>
    <w:p w14:paraId="653C2D62" w14:textId="30CFCF76" w:rsidR="00E56A60" w:rsidRPr="00943EF1" w:rsidRDefault="007E05EE">
      <w:pPr>
        <w:rPr>
          <w:rFonts w:hint="eastAsia"/>
          <w:szCs w:val="22"/>
        </w:rPr>
      </w:pPr>
      <w:bookmarkStart w:id="40" w:name="OLE_LINK24"/>
      <w:bookmarkEnd w:id="39"/>
      <w:r w:rsidRPr="007E05EE">
        <w:rPr>
          <w:szCs w:val="22"/>
        </w:rPr>
        <w:t xml:space="preserve">Schmitt, N. (2014) ‘Size and depth of vocabulary knowledge: What the research shows’, </w:t>
      </w:r>
      <w:r w:rsidRPr="001B3734">
        <w:rPr>
          <w:i/>
          <w:iCs/>
          <w:szCs w:val="22"/>
        </w:rPr>
        <w:t>Language Learning</w:t>
      </w:r>
      <w:r w:rsidRPr="007E05EE">
        <w:rPr>
          <w:szCs w:val="22"/>
        </w:rPr>
        <w:t>, 64(4), pp. 913–951.</w:t>
      </w:r>
      <w:bookmarkEnd w:id="27"/>
      <w:bookmarkEnd w:id="38"/>
      <w:bookmarkEnd w:id="40"/>
    </w:p>
    <w:sectPr w:rsidR="00E56A60" w:rsidRPr="00943EF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B57C2"/>
    <w:multiLevelType w:val="multilevel"/>
    <w:tmpl w:val="0C7EA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559BB"/>
    <w:multiLevelType w:val="multilevel"/>
    <w:tmpl w:val="6534D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880A97"/>
    <w:multiLevelType w:val="multilevel"/>
    <w:tmpl w:val="F962A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91728"/>
    <w:multiLevelType w:val="multilevel"/>
    <w:tmpl w:val="275E9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E95DB1"/>
    <w:multiLevelType w:val="multilevel"/>
    <w:tmpl w:val="37E23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B53E5D"/>
    <w:multiLevelType w:val="multilevel"/>
    <w:tmpl w:val="6A362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6B61D3"/>
    <w:multiLevelType w:val="multilevel"/>
    <w:tmpl w:val="52EC9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5471BA"/>
    <w:multiLevelType w:val="multilevel"/>
    <w:tmpl w:val="67E2C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9E510E"/>
    <w:multiLevelType w:val="multilevel"/>
    <w:tmpl w:val="B99C3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C959D0"/>
    <w:multiLevelType w:val="multilevel"/>
    <w:tmpl w:val="A41A1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384F6A"/>
    <w:multiLevelType w:val="multilevel"/>
    <w:tmpl w:val="C7243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C260C0"/>
    <w:multiLevelType w:val="multilevel"/>
    <w:tmpl w:val="EA36D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660DF0"/>
    <w:multiLevelType w:val="multilevel"/>
    <w:tmpl w:val="CCDA4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393DA2"/>
    <w:multiLevelType w:val="multilevel"/>
    <w:tmpl w:val="600C2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A70EF7"/>
    <w:multiLevelType w:val="multilevel"/>
    <w:tmpl w:val="9A9E2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D55FFB"/>
    <w:multiLevelType w:val="multilevel"/>
    <w:tmpl w:val="C9B26A26"/>
    <w:lvl w:ilvl="0">
      <w:start w:val="1"/>
      <w:numFmt w:val="decimal"/>
      <w:lvlText w:val="%1"/>
      <w:lvlJc w:val="left"/>
      <w:pPr>
        <w:ind w:left="400" w:hanging="400"/>
      </w:pPr>
      <w:rPr>
        <w:rFonts w:hint="default"/>
      </w:rPr>
    </w:lvl>
    <w:lvl w:ilvl="1">
      <w:start w:val="4"/>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345031A8"/>
    <w:multiLevelType w:val="multilevel"/>
    <w:tmpl w:val="6F4C2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DB4169"/>
    <w:multiLevelType w:val="multilevel"/>
    <w:tmpl w:val="3976E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6F4BD1"/>
    <w:multiLevelType w:val="multilevel"/>
    <w:tmpl w:val="BD304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45540C"/>
    <w:multiLevelType w:val="multilevel"/>
    <w:tmpl w:val="3D925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3A64A7"/>
    <w:multiLevelType w:val="multilevel"/>
    <w:tmpl w:val="2BD03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CB5DA2"/>
    <w:multiLevelType w:val="multilevel"/>
    <w:tmpl w:val="A0D22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42223A"/>
    <w:multiLevelType w:val="multilevel"/>
    <w:tmpl w:val="7DA0F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3A0B6D"/>
    <w:multiLevelType w:val="multilevel"/>
    <w:tmpl w:val="10D4E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327B67"/>
    <w:multiLevelType w:val="multilevel"/>
    <w:tmpl w:val="CFA82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81543F"/>
    <w:multiLevelType w:val="multilevel"/>
    <w:tmpl w:val="9350E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FC4275"/>
    <w:multiLevelType w:val="multilevel"/>
    <w:tmpl w:val="AB742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7A25E5"/>
    <w:multiLevelType w:val="multilevel"/>
    <w:tmpl w:val="DFA8C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C35746"/>
    <w:multiLevelType w:val="multilevel"/>
    <w:tmpl w:val="CE38D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6F16C5"/>
    <w:multiLevelType w:val="multilevel"/>
    <w:tmpl w:val="4F7CD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854AF8"/>
    <w:multiLevelType w:val="multilevel"/>
    <w:tmpl w:val="94287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31443E"/>
    <w:multiLevelType w:val="multilevel"/>
    <w:tmpl w:val="642A1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3576039">
    <w:abstractNumId w:val="9"/>
  </w:num>
  <w:num w:numId="2" w16cid:durableId="544030453">
    <w:abstractNumId w:val="24"/>
  </w:num>
  <w:num w:numId="3" w16cid:durableId="1929188744">
    <w:abstractNumId w:val="3"/>
  </w:num>
  <w:num w:numId="4" w16cid:durableId="743331762">
    <w:abstractNumId w:val="11"/>
  </w:num>
  <w:num w:numId="5" w16cid:durableId="1655601216">
    <w:abstractNumId w:val="7"/>
  </w:num>
  <w:num w:numId="6" w16cid:durableId="253246957">
    <w:abstractNumId w:val="1"/>
  </w:num>
  <w:num w:numId="7" w16cid:durableId="481655573">
    <w:abstractNumId w:val="29"/>
  </w:num>
  <w:num w:numId="8" w16cid:durableId="565259790">
    <w:abstractNumId w:val="10"/>
  </w:num>
  <w:num w:numId="9" w16cid:durableId="89400300">
    <w:abstractNumId w:val="2"/>
  </w:num>
  <w:num w:numId="10" w16cid:durableId="1431004720">
    <w:abstractNumId w:val="23"/>
  </w:num>
  <w:num w:numId="11" w16cid:durableId="1013529393">
    <w:abstractNumId w:val="8"/>
  </w:num>
  <w:num w:numId="12" w16cid:durableId="991444083">
    <w:abstractNumId w:val="6"/>
  </w:num>
  <w:num w:numId="13" w16cid:durableId="1237669631">
    <w:abstractNumId w:val="18"/>
  </w:num>
  <w:num w:numId="14" w16cid:durableId="258146883">
    <w:abstractNumId w:val="19"/>
  </w:num>
  <w:num w:numId="15" w16cid:durableId="71975612">
    <w:abstractNumId w:val="0"/>
  </w:num>
  <w:num w:numId="16" w16cid:durableId="677854147">
    <w:abstractNumId w:val="26"/>
  </w:num>
  <w:num w:numId="17" w16cid:durableId="114107282">
    <w:abstractNumId w:val="27"/>
  </w:num>
  <w:num w:numId="18" w16cid:durableId="663898583">
    <w:abstractNumId w:val="20"/>
  </w:num>
  <w:num w:numId="19" w16cid:durableId="260071320">
    <w:abstractNumId w:val="30"/>
  </w:num>
  <w:num w:numId="20" w16cid:durableId="55014729">
    <w:abstractNumId w:val="5"/>
  </w:num>
  <w:num w:numId="21" w16cid:durableId="937786160">
    <w:abstractNumId w:val="21"/>
  </w:num>
  <w:num w:numId="22" w16cid:durableId="1601255887">
    <w:abstractNumId w:val="12"/>
  </w:num>
  <w:num w:numId="23" w16cid:durableId="34160973">
    <w:abstractNumId w:val="31"/>
  </w:num>
  <w:num w:numId="24" w16cid:durableId="717315679">
    <w:abstractNumId w:val="22"/>
  </w:num>
  <w:num w:numId="25" w16cid:durableId="678507681">
    <w:abstractNumId w:val="14"/>
  </w:num>
  <w:num w:numId="26" w16cid:durableId="1612278338">
    <w:abstractNumId w:val="13"/>
  </w:num>
  <w:num w:numId="27" w16cid:durableId="1511601071">
    <w:abstractNumId w:val="17"/>
  </w:num>
  <w:num w:numId="28" w16cid:durableId="10379875">
    <w:abstractNumId w:val="28"/>
  </w:num>
  <w:num w:numId="29" w16cid:durableId="471945920">
    <w:abstractNumId w:val="16"/>
  </w:num>
  <w:num w:numId="30" w16cid:durableId="1650670245">
    <w:abstractNumId w:val="25"/>
  </w:num>
  <w:num w:numId="31" w16cid:durableId="517621674">
    <w:abstractNumId w:val="4"/>
  </w:num>
  <w:num w:numId="32" w16cid:durableId="138818848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E58"/>
    <w:rsid w:val="00003747"/>
    <w:rsid w:val="0003409B"/>
    <w:rsid w:val="00104086"/>
    <w:rsid w:val="00114403"/>
    <w:rsid w:val="00170FC8"/>
    <w:rsid w:val="001A339B"/>
    <w:rsid w:val="001B2BC5"/>
    <w:rsid w:val="001B3734"/>
    <w:rsid w:val="00240670"/>
    <w:rsid w:val="00310645"/>
    <w:rsid w:val="003249B0"/>
    <w:rsid w:val="003F6AD4"/>
    <w:rsid w:val="00445562"/>
    <w:rsid w:val="004B2C65"/>
    <w:rsid w:val="004E11CE"/>
    <w:rsid w:val="004F614A"/>
    <w:rsid w:val="00505913"/>
    <w:rsid w:val="005201F0"/>
    <w:rsid w:val="00532241"/>
    <w:rsid w:val="005521F6"/>
    <w:rsid w:val="006368F7"/>
    <w:rsid w:val="006404AB"/>
    <w:rsid w:val="006A5763"/>
    <w:rsid w:val="006C0E33"/>
    <w:rsid w:val="006C4C36"/>
    <w:rsid w:val="00755519"/>
    <w:rsid w:val="007E05EE"/>
    <w:rsid w:val="00824CF1"/>
    <w:rsid w:val="008F2849"/>
    <w:rsid w:val="00943EF1"/>
    <w:rsid w:val="00952E46"/>
    <w:rsid w:val="0099396E"/>
    <w:rsid w:val="009C449B"/>
    <w:rsid w:val="00A63E58"/>
    <w:rsid w:val="00AA68F0"/>
    <w:rsid w:val="00AC20D6"/>
    <w:rsid w:val="00BD08E9"/>
    <w:rsid w:val="00C05908"/>
    <w:rsid w:val="00CE7D6C"/>
    <w:rsid w:val="00DA5C67"/>
    <w:rsid w:val="00DB4EB3"/>
    <w:rsid w:val="00DE7774"/>
    <w:rsid w:val="00DE77BC"/>
    <w:rsid w:val="00E5668F"/>
    <w:rsid w:val="00E56A60"/>
    <w:rsid w:val="00EB5270"/>
    <w:rsid w:val="00F26592"/>
    <w:rsid w:val="00F54E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EEA04"/>
  <w15:chartTrackingRefBased/>
  <w15:docId w15:val="{5CE0BFD3-3C3E-C94B-A4D0-6DFB4764F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B2BC5"/>
    <w:pPr>
      <w:widowControl w:val="0"/>
      <w:spacing w:line="360" w:lineRule="auto"/>
      <w:jc w:val="both"/>
    </w:pPr>
    <w:rPr>
      <w:rFonts w:ascii="Times New Roman" w:eastAsia="宋体" w:hAnsi="Times New Roman"/>
    </w:rPr>
  </w:style>
  <w:style w:type="paragraph" w:styleId="1">
    <w:name w:val="heading 1"/>
    <w:basedOn w:val="a"/>
    <w:next w:val="a"/>
    <w:link w:val="10"/>
    <w:uiPriority w:val="9"/>
    <w:qFormat/>
    <w:rsid w:val="00A63E5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A63E5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A63E5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unhideWhenUsed/>
    <w:qFormat/>
    <w:rsid w:val="00A63E58"/>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A63E58"/>
    <w:pPr>
      <w:keepNext/>
      <w:keepLines/>
      <w:spacing w:before="80" w:after="40"/>
      <w:outlineLvl w:val="4"/>
    </w:pPr>
    <w:rPr>
      <w:rFonts w:eastAsiaTheme="minorEastAsia" w:cstheme="majorBidi"/>
      <w:color w:val="0F4761" w:themeColor="accent1" w:themeShade="BF"/>
      <w:sz w:val="24"/>
    </w:rPr>
  </w:style>
  <w:style w:type="paragraph" w:styleId="6">
    <w:name w:val="heading 6"/>
    <w:basedOn w:val="a"/>
    <w:next w:val="a"/>
    <w:link w:val="60"/>
    <w:uiPriority w:val="9"/>
    <w:semiHidden/>
    <w:unhideWhenUsed/>
    <w:qFormat/>
    <w:rsid w:val="00A63E58"/>
    <w:pPr>
      <w:keepNext/>
      <w:keepLines/>
      <w:spacing w:before="40" w:after="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A63E58"/>
    <w:pPr>
      <w:keepNext/>
      <w:keepLines/>
      <w:spacing w:before="40" w:after="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A63E58"/>
    <w:pPr>
      <w:keepNext/>
      <w:keepLines/>
      <w:spacing w:after="0"/>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A63E58"/>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63E5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A63E5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A63E5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rsid w:val="00A63E58"/>
    <w:rPr>
      <w:rFonts w:cstheme="majorBidi"/>
      <w:color w:val="0F4761" w:themeColor="accent1" w:themeShade="BF"/>
      <w:sz w:val="28"/>
      <w:szCs w:val="28"/>
    </w:rPr>
  </w:style>
  <w:style w:type="character" w:customStyle="1" w:styleId="50">
    <w:name w:val="标题 5 字符"/>
    <w:basedOn w:val="a0"/>
    <w:link w:val="5"/>
    <w:uiPriority w:val="9"/>
    <w:semiHidden/>
    <w:rsid w:val="00A63E58"/>
    <w:rPr>
      <w:rFonts w:cstheme="majorBidi"/>
      <w:color w:val="0F4761" w:themeColor="accent1" w:themeShade="BF"/>
      <w:sz w:val="24"/>
    </w:rPr>
  </w:style>
  <w:style w:type="character" w:customStyle="1" w:styleId="60">
    <w:name w:val="标题 6 字符"/>
    <w:basedOn w:val="a0"/>
    <w:link w:val="6"/>
    <w:uiPriority w:val="9"/>
    <w:semiHidden/>
    <w:rsid w:val="00A63E58"/>
    <w:rPr>
      <w:rFonts w:cstheme="majorBidi"/>
      <w:b/>
      <w:bCs/>
      <w:color w:val="0F4761" w:themeColor="accent1" w:themeShade="BF"/>
    </w:rPr>
  </w:style>
  <w:style w:type="character" w:customStyle="1" w:styleId="70">
    <w:name w:val="标题 7 字符"/>
    <w:basedOn w:val="a0"/>
    <w:link w:val="7"/>
    <w:uiPriority w:val="9"/>
    <w:semiHidden/>
    <w:rsid w:val="00A63E58"/>
    <w:rPr>
      <w:rFonts w:cstheme="majorBidi"/>
      <w:b/>
      <w:bCs/>
      <w:color w:val="595959" w:themeColor="text1" w:themeTint="A6"/>
    </w:rPr>
  </w:style>
  <w:style w:type="character" w:customStyle="1" w:styleId="80">
    <w:name w:val="标题 8 字符"/>
    <w:basedOn w:val="a0"/>
    <w:link w:val="8"/>
    <w:uiPriority w:val="9"/>
    <w:semiHidden/>
    <w:rsid w:val="00A63E58"/>
    <w:rPr>
      <w:rFonts w:cstheme="majorBidi"/>
      <w:color w:val="595959" w:themeColor="text1" w:themeTint="A6"/>
    </w:rPr>
  </w:style>
  <w:style w:type="character" w:customStyle="1" w:styleId="90">
    <w:name w:val="标题 9 字符"/>
    <w:basedOn w:val="a0"/>
    <w:link w:val="9"/>
    <w:uiPriority w:val="9"/>
    <w:semiHidden/>
    <w:rsid w:val="00A63E58"/>
    <w:rPr>
      <w:rFonts w:eastAsiaTheme="majorEastAsia" w:cstheme="majorBidi"/>
      <w:color w:val="595959" w:themeColor="text1" w:themeTint="A6"/>
    </w:rPr>
  </w:style>
  <w:style w:type="paragraph" w:styleId="a3">
    <w:name w:val="Title"/>
    <w:basedOn w:val="a"/>
    <w:next w:val="a"/>
    <w:link w:val="a4"/>
    <w:uiPriority w:val="10"/>
    <w:qFormat/>
    <w:rsid w:val="00A63E58"/>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63E5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63E58"/>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63E5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63E58"/>
    <w:pPr>
      <w:spacing w:before="160"/>
      <w:jc w:val="center"/>
    </w:pPr>
    <w:rPr>
      <w:i/>
      <w:iCs/>
      <w:color w:val="404040" w:themeColor="text1" w:themeTint="BF"/>
    </w:rPr>
  </w:style>
  <w:style w:type="character" w:customStyle="1" w:styleId="a8">
    <w:name w:val="引用 字符"/>
    <w:basedOn w:val="a0"/>
    <w:link w:val="a7"/>
    <w:uiPriority w:val="29"/>
    <w:rsid w:val="00A63E58"/>
    <w:rPr>
      <w:rFonts w:eastAsia="宋体"/>
      <w:i/>
      <w:iCs/>
      <w:color w:val="404040" w:themeColor="text1" w:themeTint="BF"/>
    </w:rPr>
  </w:style>
  <w:style w:type="paragraph" w:styleId="a9">
    <w:name w:val="List Paragraph"/>
    <w:basedOn w:val="a"/>
    <w:uiPriority w:val="34"/>
    <w:qFormat/>
    <w:rsid w:val="00A63E58"/>
    <w:pPr>
      <w:ind w:left="720"/>
      <w:contextualSpacing/>
    </w:pPr>
  </w:style>
  <w:style w:type="character" w:styleId="aa">
    <w:name w:val="Intense Emphasis"/>
    <w:basedOn w:val="a0"/>
    <w:uiPriority w:val="21"/>
    <w:qFormat/>
    <w:rsid w:val="00A63E58"/>
    <w:rPr>
      <w:i/>
      <w:iCs/>
      <w:color w:val="0F4761" w:themeColor="accent1" w:themeShade="BF"/>
    </w:rPr>
  </w:style>
  <w:style w:type="paragraph" w:styleId="ab">
    <w:name w:val="Intense Quote"/>
    <w:basedOn w:val="a"/>
    <w:next w:val="a"/>
    <w:link w:val="ac"/>
    <w:uiPriority w:val="30"/>
    <w:qFormat/>
    <w:rsid w:val="00A63E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63E58"/>
    <w:rPr>
      <w:rFonts w:eastAsia="宋体"/>
      <w:i/>
      <w:iCs/>
      <w:color w:val="0F4761" w:themeColor="accent1" w:themeShade="BF"/>
    </w:rPr>
  </w:style>
  <w:style w:type="character" w:styleId="ad">
    <w:name w:val="Intense Reference"/>
    <w:basedOn w:val="a0"/>
    <w:uiPriority w:val="32"/>
    <w:qFormat/>
    <w:rsid w:val="00A63E58"/>
    <w:rPr>
      <w:b/>
      <w:bCs/>
      <w:smallCaps/>
      <w:color w:val="0F4761" w:themeColor="accent1" w:themeShade="BF"/>
      <w:spacing w:val="5"/>
    </w:rPr>
  </w:style>
  <w:style w:type="paragraph" w:customStyle="1" w:styleId="p1">
    <w:name w:val="p1"/>
    <w:basedOn w:val="a"/>
    <w:rsid w:val="00A63E58"/>
    <w:pPr>
      <w:widowControl/>
      <w:spacing w:before="100" w:beforeAutospacing="1" w:after="100" w:afterAutospacing="1" w:line="240" w:lineRule="auto"/>
      <w:jc w:val="left"/>
    </w:pPr>
    <w:rPr>
      <w:rFonts w:ascii="宋体" w:hAnsi="宋体" w:cs="宋体"/>
      <w:kern w:val="0"/>
      <w:sz w:val="24"/>
      <w14:ligatures w14:val="none"/>
    </w:rPr>
  </w:style>
  <w:style w:type="character" w:customStyle="1" w:styleId="s1">
    <w:name w:val="s1"/>
    <w:basedOn w:val="a0"/>
    <w:rsid w:val="00A63E58"/>
  </w:style>
  <w:style w:type="paragraph" w:customStyle="1" w:styleId="p2">
    <w:name w:val="p2"/>
    <w:basedOn w:val="a"/>
    <w:rsid w:val="00A63E58"/>
    <w:pPr>
      <w:widowControl/>
      <w:spacing w:before="100" w:beforeAutospacing="1" w:after="100" w:afterAutospacing="1" w:line="240" w:lineRule="auto"/>
      <w:jc w:val="left"/>
    </w:pPr>
    <w:rPr>
      <w:rFonts w:ascii="宋体" w:hAnsi="宋体" w:cs="宋体"/>
      <w:kern w:val="0"/>
      <w:sz w:val="24"/>
      <w14:ligatures w14:val="none"/>
    </w:rPr>
  </w:style>
  <w:style w:type="paragraph" w:customStyle="1" w:styleId="p3">
    <w:name w:val="p3"/>
    <w:basedOn w:val="a"/>
    <w:rsid w:val="00A63E58"/>
    <w:pPr>
      <w:widowControl/>
      <w:spacing w:before="100" w:beforeAutospacing="1" w:after="100" w:afterAutospacing="1" w:line="240" w:lineRule="auto"/>
      <w:jc w:val="left"/>
    </w:pPr>
    <w:rPr>
      <w:rFonts w:ascii="宋体" w:hAnsi="宋体" w:cs="宋体"/>
      <w:kern w:val="0"/>
      <w:sz w:val="24"/>
      <w14:ligatures w14:val="none"/>
    </w:rPr>
  </w:style>
  <w:style w:type="character" w:customStyle="1" w:styleId="s2">
    <w:name w:val="s2"/>
    <w:basedOn w:val="a0"/>
    <w:rsid w:val="00A63E58"/>
  </w:style>
  <w:style w:type="paragraph" w:customStyle="1" w:styleId="p4">
    <w:name w:val="p4"/>
    <w:basedOn w:val="a"/>
    <w:rsid w:val="00240670"/>
    <w:pPr>
      <w:widowControl/>
      <w:spacing w:before="100" w:beforeAutospacing="1" w:after="100" w:afterAutospacing="1" w:line="240" w:lineRule="auto"/>
      <w:jc w:val="left"/>
    </w:pPr>
    <w:rPr>
      <w:rFonts w:ascii="宋体" w:hAnsi="宋体" w:cs="宋体"/>
      <w:kern w:val="0"/>
      <w:sz w:val="24"/>
      <w14:ligatures w14:val="none"/>
    </w:rPr>
  </w:style>
  <w:style w:type="character" w:customStyle="1" w:styleId="s3">
    <w:name w:val="s3"/>
    <w:basedOn w:val="a0"/>
    <w:rsid w:val="002406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8</Pages>
  <Words>2682</Words>
  <Characters>15289</Characters>
  <Application>Microsoft Office Word</Application>
  <DocSecurity>0</DocSecurity>
  <Lines>127</Lines>
  <Paragraphs>35</Paragraphs>
  <ScaleCrop>false</ScaleCrop>
  <Company/>
  <LinksUpToDate>false</LinksUpToDate>
  <CharactersWithSpaces>17936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Puyang Sun (2405847)</dc:creator>
  <cp:keywords/>
  <dc:description/>
  <cp:lastModifiedBy>Puyang Sun (2405847)</cp:lastModifiedBy>
  <cp:revision>42</cp:revision>
  <dcterms:created xsi:type="dcterms:W3CDTF">2025-11-20T12:44:00Z</dcterms:created>
  <dcterms:modified xsi:type="dcterms:W3CDTF">2025-11-27T16:19:00Z</dcterms:modified>
</cp:coreProperties>
</file>