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eg" ContentType="image/jpe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jc w:val="center"/>
      </w:pPr>
      <w:r>
        <w:rPr>
          <w:b/>
          <w:color w:val="17365D"/>
          <w:sz w:val="26"/>
        </w:rPr>
        <w:t>ACCA4019: ANALYSING&amp;SOLVING PROBLEMS</w:t>
      </w:r>
    </w:p>
    <w:p>
      <w:pPr>
        <w:jc w:val="center"/>
      </w:pPr>
      <w:r>
        <w:rPr>
          <w:b/>
          <w:color w:val="17365D"/>
          <w:sz w:val="44"/>
        </w:rPr>
        <w:t>Component 2: Problem Analysis and Solution Development</w:t>
      </w:r>
    </w:p>
    <w:p>
      <w:pPr>
        <w:jc w:val="center"/>
      </w:pPr>
      <w:r>
        <w:rPr>
          <w:i/>
        </w:rPr>
        <w:t>A structured solution for scheduling college group-project meetings</w:t>
      </w:r>
    </w:p>
    <w:p>
      <w:r>
        <w:rPr>
          <w:b w:val="0"/>
          <w:bCs w:val="0"/>
        </w:rPr>
        <w:t>Student name: _Mihai Cristin _______________________________</w:t>
        <w:br/>
        <w:t>Student ID: ___2442385_________________________________</w:t>
        <w:br/>
        <w:t>Programme: Applied Computing (Foundation)</w:t>
        <w:br/>
        <w:t xml:space="preserve">Module code: ACCA4019 </w:t>
      </w:r>
      <w:bookmarkStart w:id="0" w:name="_GoBack"/>
      <w:bookmarkEnd w:id="0"/>
      <w:r>
        <w:rPr>
          <w:b w:val="0"/>
          <w:bCs w:val="0"/>
        </w:rPr>
        <w:br/>
        <w:t>Word count: approximately 3,000 words (excluding references)</w:t>
        <w:br/>
        <w:t>Submission date: 12 August 2026</w:t>
      </w:r>
    </w:p>
    <w:p>
      <w:r>
        <w:br w:type="page"/>
      </w:r>
    </w:p>
    <w:p>
      <w:pPr>
        <w:pStyle w:val="18"/>
      </w:pPr>
      <w:r>
        <w:t>Table of Contents</w:t>
      </w:r>
    </w:p>
    <w:p>
      <w:r>
        <w:t>1. Introduction</w:t>
      </w:r>
    </w:p>
    <w:p>
      <w:r>
        <w:t>2. Deconstruct the Problem</w:t>
      </w:r>
    </w:p>
    <w:p>
      <w:r>
        <w:t xml:space="preserve">  2.1 MoSCoW Technique Requirements</w:t>
      </w:r>
    </w:p>
    <w:p>
      <w:r>
        <w:t xml:space="preserve">  2.2 Variables Identification</w:t>
      </w:r>
    </w:p>
    <w:p>
      <w:r>
        <w:t>3. Proposed Solution</w:t>
      </w:r>
    </w:p>
    <w:p>
      <w:r>
        <w:t xml:space="preserve">  3.1 Flowchart</w:t>
      </w:r>
    </w:p>
    <w:p>
      <w:r>
        <w:t xml:space="preserve">  3.2 Flowchart Explanation</w:t>
      </w:r>
    </w:p>
    <w:p>
      <w:r>
        <w:t>4. Reflection and Justification</w:t>
      </w:r>
    </w:p>
    <w:p>
      <w:r>
        <w:t xml:space="preserve">  4.1 Abstract Thinking</w:t>
      </w:r>
    </w:p>
    <w:p>
      <w:r>
        <w:t xml:space="preserve">  4.2 Sub-dividing</w:t>
      </w:r>
    </w:p>
    <w:p>
      <w:r>
        <w:t xml:space="preserve">  4.3 Justification of Solution</w:t>
      </w:r>
    </w:p>
    <w:p>
      <w:r>
        <w:t xml:space="preserve">  4.4 Limitations</w:t>
      </w:r>
    </w:p>
    <w:p>
      <w:r>
        <w:t xml:space="preserve">  4.5 Assumptions</w:t>
      </w:r>
    </w:p>
    <w:p>
      <w:r>
        <w:t>5. Conclusion</w:t>
      </w:r>
    </w:p>
    <w:p>
      <w:r>
        <w:t>References</w:t>
      </w:r>
    </w:p>
    <w:p>
      <w:r>
        <w:br w:type="page"/>
      </w:r>
    </w:p>
    <w:p>
      <w:pPr>
        <w:pStyle w:val="1"/>
      </w:pPr>
      <w:r>
        <w:t>1. Introduction</w:t>
      </w:r>
    </w:p>
    <w:p>
      <w:r>
        <w:rPr>
          <w:b w:val="0"/>
          <w:bCs w:val="0"/>
        </w:rPr>
        <w:t>Computing courses include group work to enhance technical, communication, and project-management abilities. Only when members coordinate their time does it work (ISO/IEC/IEEE, 2018). Students in the scenario have diverse class schedules, jobs, and personal obligations. Thus, a group may waste time scheduling meetings, meet late in the week, or let the same reliable students do most of the work. Practicality is more than “find a free time” (Agile Business Consortium, 2026). Multiple persons need one time slot, yet a deadline, availability, and meeting restrictions limit the options.</w:t>
      </w:r>
    </w:p>
    <w:p>
      <w:r>
        <w:rPr>
          <w:b w:val="0"/>
          <w:bCs w:val="0"/>
        </w:rPr>
        <w:t>This research studies the issue and creates a generic college meeting-scheduling process. Receive availability data, delete unsuitable slots, rate feasible alternatives, and ask members to confirm the best option (Association for Project Management, 2024). It doesn't replace the group's project responsibility; it makes meeting decisions transparent and repeatable (Association for Project Management, 2024). Requirements are specified in a checkable way to follow requirements-engineering guidelines that highlights established processes and information items throughout the system life cycle. The method treats meeting scheduling as a constraint problem like timetabling, where assignments must match hard constraints and preferences are optimised (Agile Business Consortium, 2026).</w:t>
      </w:r>
    </w:p>
    <w:p>
      <w:r>
        <w:rPr>
          <w:b w:val="0"/>
          <w:bCs w:val="0"/>
        </w:rPr>
        <w:t>The report initially deconstructs the case using MoSCoW prioritisation and variables. It then shows a flowchart and illustrates the procedure, including decision points, a score for valid slots, and a fallback for no full overlap (ISO/IEC/IEEE, 2018). It concludes with abstract reasoning, subdivision, design justification, and constraints and assumptions (Association for Project Management, 2024). It should be reasonable and implementable via a spreadsheet, website, or simple app (Agile Business Consortium, 2026).</w:t>
      </w:r>
    </w:p>
    <w:p>
      <w:pPr>
        <w:pStyle w:val="1"/>
      </w:pPr>
      <w:r>
        <w:t>2. Deconstruct the Problem</w:t>
      </w:r>
    </w:p>
    <w:p>
      <w:r>
        <w:rPr>
          <w:b w:val="0"/>
          <w:bCs w:val="0"/>
        </w:rPr>
        <w:t>Deconstructing a human situation lets you analyse its parts. Members, the lecturer or module teacher, and indirectly the college are stakeholders (Agile Business Consortium, 2026). Students need a fair chance to contribute, tutors need groups to meet milestones, and colleges gain from fewer late submissions (Association for Project Management, 2024). The input is member availability. The result is a meeting slot, reminder, and auditable task decision record. The method only addresses meeting coordination, not task quality, interpersonal conflicts, or a student's employment altering a shift at short notice (Association for Project Management, 2024).</w:t>
      </w:r>
    </w:p>
    <w:p>
      <w:r>
        <w:rPr>
          <w:b w:val="0"/>
          <w:bCs w:val="0"/>
        </w:rPr>
        <w:t>The goal is to choose a time that maximises attendance and suitability, has no hard conflict, and terminates before the weekly project deadline. This makes three relevant categories. A mandatory class, specified work shift, inaccessible period, minimum meeting time, and deadline must never be broken. Preferable time of day, convenient location, gap between classes and earlier meeting are soft limitations that can be negotiated. Operational constraints include the necessity for standardised data, such as 30-minute slots (Association for Project Management, 2024). A preferred nighttime slot won't override a class or deadline if hard and soft constraints are separated.</w:t>
      </w:r>
    </w:p>
    <w:p>
      <w:r>
        <w:rPr>
          <w:b w:val="0"/>
          <w:bCs w:val="0"/>
        </w:rPr>
        <w:t>Because availability changes, the process is repeated weekly. A weekly availability cut-off and brief confirmation window are also needed (Association for Project Management, 2024). Instead of using a long informal messaging thread, the system replays the ranking if a late modification eliminates the chosen position. This feedback loop shows systems thinking: the group, timetable, deadline, and replies interact.</w:t>
      </w:r>
    </w:p>
    <w:p>
      <w:pPr>
        <w:pStyle w:val="2"/>
      </w:pPr>
      <w:r>
        <w:t>2.1 MoSCoW Technique Requirements</w:t>
      </w:r>
    </w:p>
    <w:p>
      <w:r>
        <w:rPr>
          <w:b w:val="0"/>
          <w:bCs w:val="0"/>
        </w:rPr>
        <w:t>This time, MoSCoW identifies Must, Should, Could, and Won't. It works here because the weekly deadline is set, so the group must agree on the minimum service (Agile Business Consortium, 2026). According to the Agile Business Consortium, “Must” things are necessary for a successful solution, whereas “Could” items are a backup (Agile Business Consortium, 2026). Table 1 uses this method for the proposed scheduler (Association for Project Management, 2024).</w:t>
      </w:r>
    </w:p>
    <w:tbl>
      <w:tblPr>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108" w:type="dxa"/>
          <w:bottom w:w="0" w:type="dxa"/>
          <w:right w:w="108" w:type="dxa"/>
        </w:tblCellMar>
      </w:tblPr>
      <w:tblGrid>
        <w:gridCol w:w="1440"/>
        <w:gridCol w:w="3672"/>
        <w:gridCol w:w="4320"/>
      </w:tblGrid>
      <w:tr>
        <w:trPr>
          <w:tblHeader/>
        </w:trPr>
        <w:tc>
          <w:tcPr>
            <w:tcW w:w="1440" w:type="dxa"/>
            <w:shd w:val="clear" w:color="auto" w:fill="2E74B5"/>
            <w:tcMar>
              <w:top w:w="90" w:type="dxa"/>
              <w:bottom w:w="90" w:type="dxa"/>
            </w:tcMar>
            <w:vAlign w:val="center"/>
          </w:tcPr>
          <w:p>
            <w:r>
              <w:rPr>
                <w:b w:val="0"/>
                <w:bCs w:val="0"/>
                <w:color w:val="FFFFFF"/>
                <w:sz w:val="18"/>
              </w:rPr>
              <w:t>Priority</w:t>
            </w:r>
          </w:p>
        </w:tc>
        <w:tc>
          <w:tcPr>
            <w:tcW w:w="3672" w:type="dxa"/>
            <w:shd w:val="clear" w:color="auto" w:fill="2E74B5"/>
            <w:tcMar>
              <w:top w:w="90" w:type="dxa"/>
              <w:bottom w:w="90" w:type="dxa"/>
            </w:tcMar>
            <w:vAlign w:val="center"/>
          </w:tcPr>
          <w:p>
            <w:r>
              <w:rPr>
                <w:b w:val="0"/>
                <w:bCs w:val="0"/>
                <w:color w:val="FFFFFF"/>
                <w:sz w:val="18"/>
              </w:rPr>
              <w:t>Requirement</w:t>
            </w:r>
          </w:p>
        </w:tc>
        <w:tc>
          <w:tcPr>
            <w:tcW w:w="4320" w:type="dxa"/>
            <w:shd w:val="clear" w:color="auto" w:fill="2E74B5"/>
            <w:tcMar>
              <w:top w:w="90" w:type="dxa"/>
              <w:bottom w:w="90" w:type="dxa"/>
            </w:tcMar>
            <w:vAlign w:val="center"/>
          </w:tcPr>
          <w:p>
            <w:r>
              <w:rPr>
                <w:b w:val="0"/>
                <w:bCs w:val="0"/>
                <w:color w:val="FFFFFF"/>
                <w:sz w:val="18"/>
              </w:rPr>
              <w:t>Reason / acceptance condition</w:t>
            </w:r>
          </w:p>
        </w:tc>
      </w:tr>
      <w:tr>
        <w:tc>
          <w:tcPr>
            <w:tcW w:w="1440" w:type="dxa"/>
            <w:tcMar>
              <w:top w:w="90" w:type="dxa"/>
              <w:bottom w:w="90" w:type="dxa"/>
            </w:tcMar>
            <w:vAlign w:val="center"/>
          </w:tcPr>
          <w:p>
            <w:r>
              <w:rPr>
                <w:b w:val="0"/>
                <w:bCs w:val="0"/>
                <w:sz w:val="17"/>
              </w:rPr>
              <w:t>Must</w:t>
            </w:r>
          </w:p>
        </w:tc>
        <w:tc>
          <w:tcPr>
            <w:tcW w:w="3672" w:type="dxa"/>
            <w:tcMar>
              <w:top w:w="90" w:type="dxa"/>
              <w:bottom w:w="90" w:type="dxa"/>
            </w:tcMar>
            <w:vAlign w:val="center"/>
          </w:tcPr>
          <w:p>
            <w:r>
              <w:rPr>
                <w:b w:val="0"/>
                <w:bCs w:val="0"/>
                <w:sz w:val="17"/>
              </w:rPr>
              <w:t>Collect availability, class times, work blocks and deadline for every active member (Agile Business Consortium, 2026).</w:t>
            </w:r>
          </w:p>
        </w:tc>
        <w:tc>
          <w:tcPr>
            <w:tcW w:w="4320" w:type="dxa"/>
            <w:tcMar>
              <w:top w:w="90" w:type="dxa"/>
              <w:bottom w:w="90" w:type="dxa"/>
            </w:tcMar>
            <w:vAlign w:val="center"/>
          </w:tcPr>
          <w:p>
            <w:r>
              <w:rPr>
                <w:b w:val="0"/>
                <w:bCs w:val="0"/>
                <w:sz w:val="17"/>
              </w:rPr>
              <w:t>A schedule cannot be assessed without common availability data.</w:t>
            </w:r>
          </w:p>
        </w:tc>
      </w:tr>
      <w:tr>
        <w:tc>
          <w:tcPr>
            <w:tcW w:w="1440" w:type="dxa"/>
            <w:tcMar>
              <w:top w:w="90" w:type="dxa"/>
              <w:bottom w:w="90" w:type="dxa"/>
            </w:tcMar>
            <w:vAlign w:val="center"/>
          </w:tcPr>
          <w:p>
            <w:r>
              <w:rPr>
                <w:b w:val="0"/>
                <w:bCs w:val="0"/>
                <w:sz w:val="17"/>
              </w:rPr>
              <w:t>Must</w:t>
            </w:r>
          </w:p>
        </w:tc>
        <w:tc>
          <w:tcPr>
            <w:tcW w:w="3672" w:type="dxa"/>
            <w:tcMar>
              <w:top w:w="90" w:type="dxa"/>
              <w:bottom w:w="90" w:type="dxa"/>
            </w:tcMar>
            <w:vAlign w:val="center"/>
          </w:tcPr>
          <w:p>
            <w:r>
              <w:rPr>
                <w:b w:val="0"/>
                <w:bCs w:val="0"/>
                <w:sz w:val="17"/>
              </w:rPr>
              <w:t>Offer only slots that finish before the weekly deadline and meet the minimum duration (Association for Project Management, 2024).</w:t>
            </w:r>
          </w:p>
        </w:tc>
        <w:tc>
          <w:tcPr>
            <w:tcW w:w="4320" w:type="dxa"/>
            <w:tcMar>
              <w:top w:w="90" w:type="dxa"/>
              <w:bottom w:w="90" w:type="dxa"/>
            </w:tcMar>
            <w:vAlign w:val="center"/>
          </w:tcPr>
          <w:p>
            <w:r>
              <w:rPr>
                <w:b w:val="0"/>
                <w:bCs w:val="0"/>
                <w:sz w:val="17"/>
              </w:rPr>
              <w:t>Directly supports on-time project completion.</w:t>
            </w:r>
          </w:p>
        </w:tc>
      </w:tr>
      <w:tr>
        <w:tc>
          <w:tcPr>
            <w:tcW w:w="1440" w:type="dxa"/>
            <w:tcMar>
              <w:top w:w="90" w:type="dxa"/>
              <w:bottom w:w="90" w:type="dxa"/>
            </w:tcMar>
            <w:vAlign w:val="center"/>
          </w:tcPr>
          <w:p>
            <w:r>
              <w:rPr>
                <w:b w:val="0"/>
                <w:bCs w:val="0"/>
                <w:sz w:val="17"/>
              </w:rPr>
              <w:t>Must</w:t>
            </w:r>
          </w:p>
        </w:tc>
        <w:tc>
          <w:tcPr>
            <w:tcW w:w="3672" w:type="dxa"/>
            <w:tcMar>
              <w:top w:w="90" w:type="dxa"/>
              <w:bottom w:w="90" w:type="dxa"/>
            </w:tcMar>
            <w:vAlign w:val="center"/>
          </w:tcPr>
          <w:p>
            <w:r>
              <w:rPr>
                <w:b w:val="0"/>
                <w:bCs w:val="0"/>
                <w:sz w:val="17"/>
              </w:rPr>
              <w:t>Exclude compulsory timetable, work and declared personal-conflict slots.</w:t>
            </w:r>
          </w:p>
        </w:tc>
        <w:tc>
          <w:tcPr>
            <w:tcW w:w="4320" w:type="dxa"/>
            <w:tcMar>
              <w:top w:w="90" w:type="dxa"/>
              <w:bottom w:w="90" w:type="dxa"/>
            </w:tcMar>
            <w:vAlign w:val="center"/>
          </w:tcPr>
          <w:p>
            <w:r>
              <w:rPr>
                <w:b w:val="0"/>
                <w:bCs w:val="0"/>
                <w:sz w:val="17"/>
              </w:rPr>
              <w:t>Prevents a known clash.</w:t>
            </w:r>
          </w:p>
        </w:tc>
      </w:tr>
      <w:tr>
        <w:tc>
          <w:tcPr>
            <w:tcW w:w="1440" w:type="dxa"/>
            <w:tcMar>
              <w:top w:w="90" w:type="dxa"/>
              <w:bottom w:w="90" w:type="dxa"/>
            </w:tcMar>
            <w:vAlign w:val="center"/>
          </w:tcPr>
          <w:p>
            <w:r>
              <w:rPr>
                <w:b w:val="0"/>
                <w:bCs w:val="0"/>
                <w:sz w:val="17"/>
              </w:rPr>
              <w:t>Must</w:t>
            </w:r>
          </w:p>
        </w:tc>
        <w:tc>
          <w:tcPr>
            <w:tcW w:w="3672" w:type="dxa"/>
            <w:tcMar>
              <w:top w:w="90" w:type="dxa"/>
              <w:bottom w:w="90" w:type="dxa"/>
            </w:tcMar>
            <w:vAlign w:val="center"/>
          </w:tcPr>
          <w:p>
            <w:r>
              <w:rPr>
                <w:b w:val="0"/>
                <w:bCs w:val="0"/>
                <w:sz w:val="17"/>
              </w:rPr>
              <w:t>Rank valid slots and request a confirmation from group members.</w:t>
            </w:r>
          </w:p>
        </w:tc>
        <w:tc>
          <w:tcPr>
            <w:tcW w:w="4320" w:type="dxa"/>
            <w:tcMar>
              <w:top w:w="90" w:type="dxa"/>
              <w:bottom w:w="90" w:type="dxa"/>
            </w:tcMar>
            <w:vAlign w:val="center"/>
          </w:tcPr>
          <w:p>
            <w:r>
              <w:rPr>
                <w:b w:val="0"/>
                <w:bCs w:val="0"/>
                <w:sz w:val="17"/>
              </w:rPr>
              <w:t>Creates an explainable, agreed decision.</w:t>
            </w:r>
          </w:p>
        </w:tc>
      </w:tr>
      <w:tr>
        <w:tc>
          <w:tcPr>
            <w:tcW w:w="1440" w:type="dxa"/>
            <w:tcMar>
              <w:top w:w="90" w:type="dxa"/>
              <w:bottom w:w="90" w:type="dxa"/>
            </w:tcMar>
            <w:vAlign w:val="center"/>
          </w:tcPr>
          <w:p>
            <w:r>
              <w:rPr>
                <w:b w:val="0"/>
                <w:bCs w:val="0"/>
                <w:sz w:val="17"/>
              </w:rPr>
              <w:t>Should</w:t>
            </w:r>
          </w:p>
        </w:tc>
        <w:tc>
          <w:tcPr>
            <w:tcW w:w="3672" w:type="dxa"/>
            <w:tcMar>
              <w:top w:w="90" w:type="dxa"/>
              <w:bottom w:w="90" w:type="dxa"/>
            </w:tcMar>
            <w:vAlign w:val="center"/>
          </w:tcPr>
          <w:p>
            <w:r>
              <w:rPr>
                <w:b w:val="0"/>
                <w:bCs w:val="0"/>
                <w:sz w:val="17"/>
              </w:rPr>
              <w:t>Give priority to 100% attendance, then earlier safe times and stated preferences (Association for Project Management, 2024).</w:t>
            </w:r>
          </w:p>
        </w:tc>
        <w:tc>
          <w:tcPr>
            <w:tcW w:w="4320" w:type="dxa"/>
            <w:tcMar>
              <w:top w:w="90" w:type="dxa"/>
              <w:bottom w:w="90" w:type="dxa"/>
            </w:tcMar>
            <w:vAlign w:val="center"/>
          </w:tcPr>
          <w:p>
            <w:r>
              <w:rPr>
                <w:b w:val="0"/>
                <w:bCs w:val="0"/>
                <w:sz w:val="17"/>
              </w:rPr>
              <w:t>Improves participation and leaves time for follow-up work.</w:t>
            </w:r>
          </w:p>
        </w:tc>
      </w:tr>
      <w:tr>
        <w:tc>
          <w:tcPr>
            <w:tcW w:w="1440" w:type="dxa"/>
            <w:tcMar>
              <w:top w:w="90" w:type="dxa"/>
              <w:bottom w:w="90" w:type="dxa"/>
            </w:tcMar>
            <w:vAlign w:val="center"/>
          </w:tcPr>
          <w:p>
            <w:r>
              <w:rPr>
                <w:b w:val="0"/>
                <w:bCs w:val="0"/>
                <w:sz w:val="17"/>
              </w:rPr>
              <w:t>Should</w:t>
            </w:r>
          </w:p>
        </w:tc>
        <w:tc>
          <w:tcPr>
            <w:tcW w:w="3672" w:type="dxa"/>
            <w:tcMar>
              <w:top w:w="90" w:type="dxa"/>
              <w:bottom w:w="90" w:type="dxa"/>
            </w:tcMar>
            <w:vAlign w:val="center"/>
          </w:tcPr>
          <w:p>
            <w:r>
              <w:rPr>
                <w:b w:val="0"/>
                <w:bCs w:val="0"/>
                <w:sz w:val="17"/>
              </w:rPr>
              <w:t>Send a reminder and store meeting actions.</w:t>
            </w:r>
          </w:p>
        </w:tc>
        <w:tc>
          <w:tcPr>
            <w:tcW w:w="4320" w:type="dxa"/>
            <w:tcMar>
              <w:top w:w="90" w:type="dxa"/>
              <w:bottom w:w="90" w:type="dxa"/>
            </w:tcMar>
            <w:vAlign w:val="center"/>
          </w:tcPr>
          <w:p>
            <w:r>
              <w:rPr>
                <w:b w:val="0"/>
                <w:bCs w:val="0"/>
                <w:sz w:val="17"/>
              </w:rPr>
              <w:t>Reduces forgotten meetings and supports accountability.</w:t>
            </w:r>
          </w:p>
        </w:tc>
      </w:tr>
      <w:tr>
        <w:tc>
          <w:tcPr>
            <w:tcW w:w="1440" w:type="dxa"/>
            <w:tcMar>
              <w:top w:w="90" w:type="dxa"/>
              <w:bottom w:w="90" w:type="dxa"/>
            </w:tcMar>
            <w:vAlign w:val="center"/>
          </w:tcPr>
          <w:p>
            <w:r>
              <w:rPr>
                <w:b w:val="0"/>
                <w:bCs w:val="0"/>
                <w:sz w:val="17"/>
              </w:rPr>
              <w:t>Could</w:t>
            </w:r>
          </w:p>
        </w:tc>
        <w:tc>
          <w:tcPr>
            <w:tcW w:w="3672" w:type="dxa"/>
            <w:tcMar>
              <w:top w:w="90" w:type="dxa"/>
              <w:bottom w:w="90" w:type="dxa"/>
            </w:tcMar>
            <w:vAlign w:val="center"/>
          </w:tcPr>
          <w:p>
            <w:r>
              <w:rPr>
                <w:b w:val="0"/>
                <w:bCs w:val="0"/>
                <w:sz w:val="17"/>
              </w:rPr>
              <w:t>Suggest a physical room, video link or recurring meeting pattern.</w:t>
            </w:r>
          </w:p>
        </w:tc>
        <w:tc>
          <w:tcPr>
            <w:tcW w:w="4320" w:type="dxa"/>
            <w:tcMar>
              <w:top w:w="90" w:type="dxa"/>
              <w:bottom w:w="90" w:type="dxa"/>
            </w:tcMar>
            <w:vAlign w:val="center"/>
          </w:tcPr>
          <w:p>
            <w:r>
              <w:rPr>
                <w:b w:val="0"/>
                <w:bCs w:val="0"/>
                <w:sz w:val="17"/>
              </w:rPr>
              <w:t>Useful convenience feature but not needed for the basic logic.</w:t>
            </w:r>
          </w:p>
        </w:tc>
      </w:tr>
      <w:tr>
        <w:tc>
          <w:tcPr>
            <w:tcW w:w="1440" w:type="dxa"/>
            <w:tcMar>
              <w:top w:w="90" w:type="dxa"/>
              <w:bottom w:w="90" w:type="dxa"/>
            </w:tcMar>
            <w:vAlign w:val="center"/>
          </w:tcPr>
          <w:p>
            <w:r>
              <w:rPr>
                <w:b w:val="0"/>
                <w:bCs w:val="0"/>
                <w:sz w:val="17"/>
              </w:rPr>
              <w:t>Won’t (this version)</w:t>
            </w:r>
          </w:p>
        </w:tc>
        <w:tc>
          <w:tcPr>
            <w:tcW w:w="3672" w:type="dxa"/>
            <w:tcMar>
              <w:top w:w="90" w:type="dxa"/>
              <w:bottom w:w="90" w:type="dxa"/>
            </w:tcMar>
            <w:vAlign w:val="center"/>
          </w:tcPr>
          <w:p>
            <w:r>
              <w:rPr>
                <w:b w:val="0"/>
                <w:bCs w:val="0"/>
                <w:sz w:val="17"/>
              </w:rPr>
              <w:t>Automatically negotiate with employers or alter official college timetables.</w:t>
            </w:r>
          </w:p>
        </w:tc>
        <w:tc>
          <w:tcPr>
            <w:tcW w:w="4320" w:type="dxa"/>
            <w:tcMar>
              <w:top w:w="90" w:type="dxa"/>
              <w:bottom w:w="90" w:type="dxa"/>
            </w:tcMar>
            <w:vAlign w:val="center"/>
          </w:tcPr>
          <w:p>
            <w:r>
              <w:rPr>
                <w:b w:val="0"/>
                <w:bCs w:val="0"/>
                <w:sz w:val="17"/>
              </w:rPr>
              <w:t>Outside the authority and scope of a group scheduler.</w:t>
            </w:r>
          </w:p>
        </w:tc>
      </w:tr>
    </w:tbl>
    <w:p>
      <w:pPr>
        <w:spacing w:after="40"/>
      </w:pPr>
    </w:p>
    <w:p>
      <w:r>
        <w:rPr>
          <w:b w:val="0"/>
          <w:bCs w:val="0"/>
        </w:rPr>
        <w:t>Table 1. MoSCoW prioritisation for the meeting-scheduling process.</w:t>
      </w:r>
    </w:p>
    <w:p>
      <w:pPr>
        <w:pStyle w:val="2"/>
      </w:pPr>
      <w:r>
        <w:t>2.2 Variables Identification</w:t>
      </w:r>
    </w:p>
    <w:p>
      <w:r>
        <w:rPr>
          <w:b w:val="0"/>
          <w:bCs w:val="0"/>
        </w:rPr>
        <w:t>The algorithm requires clear variables. Every time is stored in the same zone and divided into 30-minute increments (Association for Project Management, 2024). The program simply needs to know if a slot may be used, not why a student is absent (Agile Business Consortium, 2026). Minimising personal data is respectful and simplifies data collection (Association for Project Management, 2024).</w:t>
      </w:r>
    </w:p>
    <w:tbl>
      <w:tblPr>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0" w:type="dxa"/>
          <w:left w:w="108" w:type="dxa"/>
          <w:bottom w:w="0" w:type="dxa"/>
          <w:right w:w="108" w:type="dxa"/>
        </w:tblCellMar>
      </w:tblPr>
      <w:tblGrid>
        <w:gridCol w:w="1152"/>
        <w:gridCol w:w="4752"/>
        <w:gridCol w:w="3528"/>
      </w:tblGrid>
      <w:tr>
        <w:trPr>
          <w:tblHeader/>
        </w:trPr>
        <w:tc>
          <w:tcPr>
            <w:tcW w:w="1152" w:type="dxa"/>
            <w:shd w:val="clear" w:color="auto" w:fill="2E74B5"/>
            <w:tcMar>
              <w:top w:w="90" w:type="dxa"/>
              <w:bottom w:w="90" w:type="dxa"/>
            </w:tcMar>
            <w:vAlign w:val="center"/>
          </w:tcPr>
          <w:p>
            <w:r>
              <w:rPr>
                <w:b w:val="0"/>
                <w:bCs w:val="0"/>
                <w:color w:val="FFFFFF"/>
                <w:sz w:val="18"/>
              </w:rPr>
              <w:t>Variable</w:t>
            </w:r>
          </w:p>
        </w:tc>
        <w:tc>
          <w:tcPr>
            <w:tcW w:w="4752" w:type="dxa"/>
            <w:shd w:val="clear" w:color="auto" w:fill="2E74B5"/>
            <w:tcMar>
              <w:top w:w="90" w:type="dxa"/>
              <w:bottom w:w="90" w:type="dxa"/>
            </w:tcMar>
            <w:vAlign w:val="center"/>
          </w:tcPr>
          <w:p>
            <w:r>
              <w:rPr>
                <w:b w:val="0"/>
                <w:bCs w:val="0"/>
                <w:color w:val="FFFFFF"/>
                <w:sz w:val="18"/>
              </w:rPr>
              <w:t>Description</w:t>
            </w:r>
          </w:p>
        </w:tc>
        <w:tc>
          <w:tcPr>
            <w:tcW w:w="3528" w:type="dxa"/>
            <w:shd w:val="clear" w:color="auto" w:fill="2E74B5"/>
            <w:tcMar>
              <w:top w:w="90" w:type="dxa"/>
              <w:bottom w:w="90" w:type="dxa"/>
            </w:tcMar>
            <w:vAlign w:val="center"/>
          </w:tcPr>
          <w:p>
            <w:r>
              <w:rPr>
                <w:b w:val="0"/>
                <w:bCs w:val="0"/>
                <w:color w:val="FFFFFF"/>
                <w:sz w:val="18"/>
              </w:rPr>
              <w:t>Type / example</w:t>
            </w:r>
          </w:p>
        </w:tc>
      </w:tr>
      <w:tr>
        <w:tc>
          <w:tcPr>
            <w:tcW w:w="1152" w:type="dxa"/>
            <w:tcMar>
              <w:top w:w="90" w:type="dxa"/>
              <w:bottom w:w="90" w:type="dxa"/>
            </w:tcMar>
            <w:vAlign w:val="center"/>
          </w:tcPr>
          <w:p>
            <w:r>
              <w:rPr>
                <w:b w:val="0"/>
                <w:bCs w:val="0"/>
                <w:sz w:val="17"/>
              </w:rPr>
              <w:t>G</w:t>
            </w:r>
          </w:p>
        </w:tc>
        <w:tc>
          <w:tcPr>
            <w:tcW w:w="4752" w:type="dxa"/>
            <w:tcMar>
              <w:top w:w="90" w:type="dxa"/>
              <w:bottom w:w="90" w:type="dxa"/>
            </w:tcMar>
            <w:vAlign w:val="center"/>
          </w:tcPr>
          <w:p>
            <w:r>
              <w:rPr>
                <w:b w:val="0"/>
                <w:bCs w:val="0"/>
                <w:sz w:val="17"/>
              </w:rPr>
              <w:t>Set of group members.</w:t>
            </w:r>
          </w:p>
        </w:tc>
        <w:tc>
          <w:tcPr>
            <w:tcW w:w="3528" w:type="dxa"/>
            <w:tcMar>
              <w:top w:w="90" w:type="dxa"/>
              <w:bottom w:w="90" w:type="dxa"/>
            </w:tcMar>
            <w:vAlign w:val="center"/>
          </w:tcPr>
          <w:p>
            <w:r>
              <w:rPr>
                <w:b w:val="0"/>
                <w:bCs w:val="0"/>
                <w:sz w:val="17"/>
              </w:rPr>
              <w:t>{Student 1…Student n}</w:t>
            </w:r>
          </w:p>
        </w:tc>
      </w:tr>
      <w:tr>
        <w:tc>
          <w:tcPr>
            <w:tcW w:w="1152" w:type="dxa"/>
            <w:tcMar>
              <w:top w:w="90" w:type="dxa"/>
              <w:bottom w:w="90" w:type="dxa"/>
            </w:tcMar>
            <w:vAlign w:val="center"/>
          </w:tcPr>
          <w:p>
            <w:r>
              <w:rPr>
                <w:b w:val="0"/>
                <w:bCs w:val="0"/>
                <w:sz w:val="17"/>
              </w:rPr>
              <w:t>T</w:t>
            </w:r>
          </w:p>
        </w:tc>
        <w:tc>
          <w:tcPr>
            <w:tcW w:w="4752" w:type="dxa"/>
            <w:tcMar>
              <w:top w:w="90" w:type="dxa"/>
              <w:bottom w:w="90" w:type="dxa"/>
            </w:tcMar>
            <w:vAlign w:val="center"/>
          </w:tcPr>
          <w:p>
            <w:r>
              <w:rPr>
                <w:b w:val="0"/>
                <w:bCs w:val="0"/>
                <w:sz w:val="17"/>
              </w:rPr>
              <w:t>Candidate 30-minute time slots in the current week.</w:t>
            </w:r>
          </w:p>
        </w:tc>
        <w:tc>
          <w:tcPr>
            <w:tcW w:w="3528" w:type="dxa"/>
            <w:tcMar>
              <w:top w:w="90" w:type="dxa"/>
              <w:bottom w:w="90" w:type="dxa"/>
            </w:tcMar>
            <w:vAlign w:val="center"/>
          </w:tcPr>
          <w:p>
            <w:r>
              <w:rPr>
                <w:b w:val="0"/>
                <w:bCs w:val="0"/>
                <w:sz w:val="17"/>
              </w:rPr>
              <w:t>Tue 16:00–16:30</w:t>
            </w:r>
          </w:p>
        </w:tc>
      </w:tr>
      <w:tr>
        <w:tc>
          <w:tcPr>
            <w:tcW w:w="1152" w:type="dxa"/>
            <w:tcMar>
              <w:top w:w="90" w:type="dxa"/>
              <w:bottom w:w="90" w:type="dxa"/>
            </w:tcMar>
            <w:vAlign w:val="center"/>
          </w:tcPr>
          <w:p>
            <w:r>
              <w:rPr>
                <w:b w:val="0"/>
                <w:bCs w:val="0"/>
                <w:sz w:val="17"/>
              </w:rPr>
              <w:t>A(i,t)</w:t>
            </w:r>
          </w:p>
        </w:tc>
        <w:tc>
          <w:tcPr>
            <w:tcW w:w="4752" w:type="dxa"/>
            <w:tcMar>
              <w:top w:w="90" w:type="dxa"/>
              <w:bottom w:w="90" w:type="dxa"/>
            </w:tcMar>
            <w:vAlign w:val="center"/>
          </w:tcPr>
          <w:p>
            <w:r>
              <w:rPr>
                <w:b w:val="0"/>
                <w:bCs w:val="0"/>
                <w:sz w:val="17"/>
              </w:rPr>
              <w:t>Availability of member i at time t.</w:t>
            </w:r>
          </w:p>
        </w:tc>
        <w:tc>
          <w:tcPr>
            <w:tcW w:w="3528" w:type="dxa"/>
            <w:tcMar>
              <w:top w:w="90" w:type="dxa"/>
              <w:bottom w:w="90" w:type="dxa"/>
            </w:tcMar>
            <w:vAlign w:val="center"/>
          </w:tcPr>
          <w:p>
            <w:r>
              <w:rPr>
                <w:sz w:val="17"/>
              </w:rPr>
              <w:t>1 = free; 0 = unavailable</w:t>
            </w:r>
          </w:p>
        </w:tc>
      </w:tr>
      <w:tr>
        <w:tc>
          <w:tcPr>
            <w:tcW w:w="1152" w:type="dxa"/>
            <w:tcMar>
              <w:top w:w="90" w:type="dxa"/>
              <w:bottom w:w="90" w:type="dxa"/>
            </w:tcMar>
            <w:vAlign w:val="center"/>
          </w:tcPr>
          <w:p>
            <w:r>
              <w:rPr>
                <w:b w:val="0"/>
                <w:bCs w:val="0"/>
                <w:sz w:val="17"/>
              </w:rPr>
              <w:t>D</w:t>
            </w:r>
          </w:p>
        </w:tc>
        <w:tc>
          <w:tcPr>
            <w:tcW w:w="4752" w:type="dxa"/>
            <w:tcMar>
              <w:top w:w="90" w:type="dxa"/>
              <w:bottom w:w="90" w:type="dxa"/>
            </w:tcMar>
            <w:vAlign w:val="center"/>
          </w:tcPr>
          <w:p>
            <w:r>
              <w:rPr>
                <w:b w:val="0"/>
                <w:bCs w:val="0"/>
                <w:sz w:val="17"/>
              </w:rPr>
              <w:t>Weekly project deadline.</w:t>
            </w:r>
          </w:p>
        </w:tc>
        <w:tc>
          <w:tcPr>
            <w:tcW w:w="3528" w:type="dxa"/>
            <w:tcMar>
              <w:top w:w="90" w:type="dxa"/>
              <w:bottom w:w="90" w:type="dxa"/>
            </w:tcMar>
            <w:vAlign w:val="center"/>
          </w:tcPr>
          <w:p>
            <w:r>
              <w:rPr>
                <w:b w:val="0"/>
                <w:bCs w:val="0"/>
                <w:sz w:val="17"/>
              </w:rPr>
              <w:t>Friday 17:00</w:t>
            </w:r>
          </w:p>
        </w:tc>
      </w:tr>
      <w:tr>
        <w:tc>
          <w:tcPr>
            <w:tcW w:w="1152" w:type="dxa"/>
            <w:tcMar>
              <w:top w:w="90" w:type="dxa"/>
              <w:bottom w:w="90" w:type="dxa"/>
            </w:tcMar>
            <w:vAlign w:val="center"/>
          </w:tcPr>
          <w:p>
            <w:r>
              <w:rPr>
                <w:b w:val="0"/>
                <w:bCs w:val="0"/>
                <w:sz w:val="17"/>
              </w:rPr>
              <w:t>L</w:t>
            </w:r>
          </w:p>
        </w:tc>
        <w:tc>
          <w:tcPr>
            <w:tcW w:w="4752" w:type="dxa"/>
            <w:tcMar>
              <w:top w:w="90" w:type="dxa"/>
              <w:bottom w:w="90" w:type="dxa"/>
            </w:tcMar>
            <w:vAlign w:val="center"/>
          </w:tcPr>
          <w:p>
            <w:r>
              <w:rPr>
                <w:b w:val="0"/>
                <w:bCs w:val="0"/>
                <w:sz w:val="17"/>
              </w:rPr>
              <w:t>Minimum meeting length in slots.</w:t>
            </w:r>
          </w:p>
        </w:tc>
        <w:tc>
          <w:tcPr>
            <w:tcW w:w="3528" w:type="dxa"/>
            <w:tcMar>
              <w:top w:w="90" w:type="dxa"/>
              <w:bottom w:w="90" w:type="dxa"/>
            </w:tcMar>
            <w:vAlign w:val="center"/>
          </w:tcPr>
          <w:p>
            <w:r>
              <w:rPr>
                <w:sz w:val="17"/>
              </w:rPr>
              <w:t>2 slots = 60 minutes</w:t>
            </w:r>
          </w:p>
        </w:tc>
      </w:tr>
      <w:tr>
        <w:tc>
          <w:tcPr>
            <w:tcW w:w="1152" w:type="dxa"/>
            <w:tcMar>
              <w:top w:w="90" w:type="dxa"/>
              <w:bottom w:w="90" w:type="dxa"/>
            </w:tcMar>
            <w:vAlign w:val="center"/>
          </w:tcPr>
          <w:p>
            <w:r>
              <w:rPr>
                <w:b w:val="0"/>
                <w:bCs w:val="0"/>
                <w:sz w:val="17"/>
              </w:rPr>
              <w:t>C(t)</w:t>
            </w:r>
          </w:p>
        </w:tc>
        <w:tc>
          <w:tcPr>
            <w:tcW w:w="4752" w:type="dxa"/>
            <w:tcMar>
              <w:top w:w="90" w:type="dxa"/>
              <w:bottom w:w="90" w:type="dxa"/>
            </w:tcMar>
            <w:vAlign w:val="center"/>
          </w:tcPr>
          <w:p>
            <w:r>
              <w:rPr>
                <w:b w:val="0"/>
                <w:bCs w:val="0"/>
                <w:sz w:val="17"/>
              </w:rPr>
              <w:t>Conflict indicator derived from timetable/work/commitments.</w:t>
            </w:r>
          </w:p>
        </w:tc>
        <w:tc>
          <w:tcPr>
            <w:tcW w:w="3528" w:type="dxa"/>
            <w:tcMar>
              <w:top w:w="90" w:type="dxa"/>
              <w:bottom w:w="90" w:type="dxa"/>
            </w:tcMar>
            <w:vAlign w:val="center"/>
          </w:tcPr>
          <w:p>
            <w:r>
              <w:rPr>
                <w:sz w:val="17"/>
              </w:rPr>
              <w:t>1 = conflict; 0 = no conflict</w:t>
            </w:r>
          </w:p>
        </w:tc>
      </w:tr>
      <w:tr>
        <w:tc>
          <w:tcPr>
            <w:tcW w:w="1152" w:type="dxa"/>
            <w:tcMar>
              <w:top w:w="90" w:type="dxa"/>
              <w:bottom w:w="90" w:type="dxa"/>
            </w:tcMar>
            <w:vAlign w:val="center"/>
          </w:tcPr>
          <w:p>
            <w:r>
              <w:rPr>
                <w:b w:val="0"/>
                <w:bCs w:val="0"/>
                <w:sz w:val="17"/>
              </w:rPr>
              <w:t>P(i,t)</w:t>
            </w:r>
          </w:p>
        </w:tc>
        <w:tc>
          <w:tcPr>
            <w:tcW w:w="4752" w:type="dxa"/>
            <w:tcMar>
              <w:top w:w="90" w:type="dxa"/>
              <w:bottom w:w="90" w:type="dxa"/>
            </w:tcMar>
            <w:vAlign w:val="center"/>
          </w:tcPr>
          <w:p>
            <w:r>
              <w:rPr>
                <w:b w:val="0"/>
                <w:bCs w:val="0"/>
                <w:sz w:val="17"/>
              </w:rPr>
              <w:t>Preference score declared by a member.</w:t>
            </w:r>
          </w:p>
        </w:tc>
        <w:tc>
          <w:tcPr>
            <w:tcW w:w="3528" w:type="dxa"/>
            <w:tcMar>
              <w:top w:w="90" w:type="dxa"/>
              <w:bottom w:w="90" w:type="dxa"/>
            </w:tcMar>
            <w:vAlign w:val="center"/>
          </w:tcPr>
          <w:p>
            <w:r>
              <w:rPr>
                <w:b w:val="0"/>
                <w:bCs w:val="0"/>
                <w:sz w:val="17"/>
              </w:rPr>
              <w:t>0–2 points</w:t>
            </w:r>
          </w:p>
        </w:tc>
      </w:tr>
      <w:tr>
        <w:tc>
          <w:tcPr>
            <w:tcW w:w="1152" w:type="dxa"/>
            <w:tcMar>
              <w:top w:w="90" w:type="dxa"/>
              <w:bottom w:w="90" w:type="dxa"/>
            </w:tcMar>
            <w:vAlign w:val="center"/>
          </w:tcPr>
          <w:p>
            <w:r>
              <w:rPr>
                <w:b w:val="0"/>
                <w:bCs w:val="0"/>
                <w:sz w:val="17"/>
              </w:rPr>
              <w:t>N(t)</w:t>
            </w:r>
          </w:p>
        </w:tc>
        <w:tc>
          <w:tcPr>
            <w:tcW w:w="4752" w:type="dxa"/>
            <w:tcMar>
              <w:top w:w="90" w:type="dxa"/>
              <w:bottom w:w="90" w:type="dxa"/>
            </w:tcMar>
            <w:vAlign w:val="center"/>
          </w:tcPr>
          <w:p>
            <w:r>
              <w:rPr>
                <w:b w:val="0"/>
                <w:bCs w:val="0"/>
                <w:sz w:val="17"/>
              </w:rPr>
              <w:t>Number of members free for the full meeting at t.</w:t>
            </w:r>
          </w:p>
        </w:tc>
        <w:tc>
          <w:tcPr>
            <w:tcW w:w="3528" w:type="dxa"/>
            <w:tcMar>
              <w:top w:w="90" w:type="dxa"/>
              <w:bottom w:w="90" w:type="dxa"/>
            </w:tcMar>
            <w:vAlign w:val="center"/>
          </w:tcPr>
          <w:p>
            <w:r>
              <w:rPr>
                <w:sz w:val="17"/>
              </w:rPr>
              <w:t>0 to |G|</w:t>
            </w:r>
          </w:p>
        </w:tc>
      </w:tr>
      <w:tr>
        <w:tc>
          <w:tcPr>
            <w:tcW w:w="1152" w:type="dxa"/>
            <w:tcMar>
              <w:top w:w="90" w:type="dxa"/>
              <w:bottom w:w="90" w:type="dxa"/>
            </w:tcMar>
            <w:vAlign w:val="center"/>
          </w:tcPr>
          <w:p>
            <w:r>
              <w:rPr>
                <w:b w:val="0"/>
                <w:bCs w:val="0"/>
                <w:sz w:val="17"/>
              </w:rPr>
              <w:t>S(t)</w:t>
            </w:r>
          </w:p>
        </w:tc>
        <w:tc>
          <w:tcPr>
            <w:tcW w:w="4752" w:type="dxa"/>
            <w:tcMar>
              <w:top w:w="90" w:type="dxa"/>
              <w:bottom w:w="90" w:type="dxa"/>
            </w:tcMar>
            <w:vAlign w:val="center"/>
          </w:tcPr>
          <w:p>
            <w:r>
              <w:rPr>
                <w:b w:val="0"/>
                <w:bCs w:val="0"/>
                <w:sz w:val="17"/>
              </w:rPr>
              <w:t>Overall suitability score for a candidate.</w:t>
            </w:r>
          </w:p>
        </w:tc>
        <w:tc>
          <w:tcPr>
            <w:tcW w:w="3528" w:type="dxa"/>
            <w:tcMar>
              <w:top w:w="90" w:type="dxa"/>
              <w:bottom w:w="90" w:type="dxa"/>
            </w:tcMar>
            <w:vAlign w:val="center"/>
          </w:tcPr>
          <w:p>
            <w:r>
              <w:rPr>
                <w:b w:val="0"/>
                <w:bCs w:val="0"/>
                <w:sz w:val="17"/>
              </w:rPr>
              <w:t>Calculated ranking value</w:t>
            </w:r>
          </w:p>
        </w:tc>
      </w:tr>
      <w:tr>
        <w:tc>
          <w:tcPr>
            <w:tcW w:w="1152" w:type="dxa"/>
            <w:tcMar>
              <w:top w:w="90" w:type="dxa"/>
              <w:bottom w:w="90" w:type="dxa"/>
            </w:tcMar>
            <w:vAlign w:val="center"/>
          </w:tcPr>
          <w:p>
            <w:r>
              <w:rPr>
                <w:b w:val="0"/>
                <w:bCs w:val="0"/>
                <w:sz w:val="17"/>
              </w:rPr>
              <w:t>R</w:t>
            </w:r>
          </w:p>
        </w:tc>
        <w:tc>
          <w:tcPr>
            <w:tcW w:w="4752" w:type="dxa"/>
            <w:tcMar>
              <w:top w:w="90" w:type="dxa"/>
              <w:bottom w:w="90" w:type="dxa"/>
            </w:tcMar>
            <w:vAlign w:val="center"/>
          </w:tcPr>
          <w:p>
            <w:r>
              <w:rPr>
                <w:b w:val="0"/>
                <w:bCs w:val="0"/>
                <w:sz w:val="17"/>
              </w:rPr>
              <w:t>Confirmation response deadline.</w:t>
            </w:r>
          </w:p>
        </w:tc>
        <w:tc>
          <w:tcPr>
            <w:tcW w:w="3528" w:type="dxa"/>
            <w:tcMar>
              <w:top w:w="90" w:type="dxa"/>
              <w:bottom w:w="90" w:type="dxa"/>
            </w:tcMar>
            <w:vAlign w:val="center"/>
          </w:tcPr>
          <w:p>
            <w:r>
              <w:rPr>
                <w:sz w:val="17"/>
              </w:rPr>
              <w:t>24 hours after proposal</w:t>
            </w:r>
          </w:p>
        </w:tc>
      </w:tr>
    </w:tbl>
    <w:p>
      <w:pPr>
        <w:spacing w:after="40"/>
      </w:pPr>
    </w:p>
    <w:p>
      <w:r>
        <w:rPr>
          <w:b w:val="0"/>
          <w:bCs w:val="0"/>
        </w:rPr>
        <w:t>Table 2. Variables used by the generic scheduling model.</w:t>
      </w:r>
    </w:p>
    <w:p>
      <w:pPr>
        <w:pStyle w:val="1"/>
      </w:pPr>
      <w:r>
        <w:t>3. Proposed Solution</w:t>
      </w:r>
    </w:p>
    <w:p>
      <w:r>
        <w:rPr>
          <w:b w:val="0"/>
          <w:bCs w:val="0"/>
        </w:rPr>
        <w:t>A constraint-satisfaction and ranking process is suggested. A constraint-satisfaction problem involves variables, values, and rules that limit them (Agile Business Consortium, 2026). This is acceptable because a meeting slot is only practicable under certain conditions. University timetabling literature says to allocate events to times and resources while avoiding conflicts. An intelligible filtering and scoring system is better than a sophisticated optimisation engine for this smaller challenge than institution-wide timetabling.</w:t>
      </w:r>
    </w:p>
    <w:p>
      <w:r>
        <w:rPr>
          <w:b w:val="0"/>
          <w:bCs w:val="0"/>
        </w:rPr>
        <w:t>The group administrator or rotating facilitator requests meetings at the start of each week. The request specifies the weekly task deadline, meeting length, hours, and response deadline (ISO/IEC/IEEE, 2018). All group members mark free or busy slots. The system checks missing entries and converts all input to 30-minute slots (Agile Business Consortium, 2026). This generates L-length candidate meeting intervals that end before D. It validates C(t)=0 and whether all A(i,t) values are free across the interval for every candidate. Discard invalid candidates.</w:t>
      </w:r>
    </w:p>
    <w:p>
      <w:r>
        <w:rPr>
          <w:b w:val="0"/>
          <w:bCs w:val="0"/>
        </w:rPr>
        <w:t>Model calculates transparent suitability score for feasible candidate t. A simple formula is: S(t) = 10N(t) + 2E(t) + P(t) − 5W(t) (Association for Project Management, 2024). N(t) is the number of members, E(t) is an earlier-than-deadline safety value from 0 to 5, P(t) is the preference point sum, and W(t) is a penalty for a late evening. In the typical “full overlap” path, the score employs safety and preferences to choose among all remaining candidates because N(t) equals their group size. Customisable policy weights are not universal realities. The group understands why Tuesday at 16:00 was chosen over Friday afternoon (Agile Business Consortium, 2026).</w:t>
      </w:r>
    </w:p>
    <w:p>
      <w:pPr>
        <w:pStyle w:val="2"/>
      </w:pPr>
      <w:r>
        <w:t>3.1 Flowchart</w:t>
      </w:r>
    </w:p>
    <w:p>
      <w:pPr>
        <w:jc w:val="center"/>
      </w:pPr>
      <w:r>
        <w:drawing>
          <wp:inline distT="0" distB="0" distL="114298" distR="114298">
            <wp:extent cx="5166360" cy="7379135"/>
            <wp:effectExtent l="0" t="0" r="0" b="0"/>
            <wp:docPr id="1" name="Imagini 1"/>
            <wp:cNvGraphicFramePr>
              <a:graphicFrameLocks noChangeAspect="1"/>
            </wp:cNvGraphicFramePr>
            <a:graphic>
              <a:graphicData uri="http://schemas.openxmlformats.org/drawingml/2006/picture">
                <pic:pic>
                  <pic:nvPicPr>
                    <pic:cNvPr id="3" name="Imagini 3"/>
                    <pic:cNvPicPr/>
                  </pic:nvPicPr>
                  <pic:blipFill>
                    <a:blip r:embed="rId3"/>
                    <a:stretch>
                      <a:fillRect/>
                    </a:stretch>
                  </pic:blipFill>
                  <pic:spPr>
                    <a:xfrm rot="0">
                      <a:off x="0" y="0"/>
                      <a:ext cx="5166360" cy="7379135"/>
                    </a:xfrm>
                    <a:prstGeom prst="rect"/>
                    <a:noFill/>
                    <a:ln w="12700" cmpd="sng" cap="flat">
                      <a:noFill/>
                      <a:prstDash val="solid"/>
                      <a:miter/>
                    </a:ln>
                  </pic:spPr>
                </pic:pic>
              </a:graphicData>
            </a:graphic>
          </wp:inline>
        </w:drawing>
      </w:r>
    </w:p>
    <w:p>
      <w:pPr>
        <w:jc w:val="center"/>
      </w:pPr>
      <w:r>
        <w:rPr>
          <w:b w:val="0"/>
          <w:bCs w:val="0"/>
          <w:i/>
        </w:rPr>
        <w:t>Figure 1. Logical flowchart for the group meeting scheduling process.</w:t>
      </w:r>
    </w:p>
    <w:p>
      <w:pPr>
        <w:pStyle w:val="2"/>
      </w:pPr>
      <w:r>
        <w:t>3.2 Flowchart Explanation</w:t>
      </w:r>
    </w:p>
    <w:p>
      <w:r>
        <w:rPr>
          <w:b w:val="0"/>
          <w:bCs w:val="0"/>
        </w:rPr>
        <w:t>Create the problem instance: group membership, deadline, and meeting rules in Figure 1. First, gather availability. An interval with a lecture, lab, job shift, or non-negotiable personal commitment should be marked as busy (Association for Project Management, 2024). Private information like employer or medical reasons is not necessary (ISO/IEC/IEEE, 2018). Validation ensures that all current members have submitted a week, the deadline is in the future, and the duration is positive (ISO/IEC/IEEE, 2018). Instead of presuming availability, the system requests missing information.</w:t>
      </w:r>
    </w:p>
    <w:p>
      <w:r>
        <w:rPr>
          <w:b w:val="0"/>
          <w:bCs w:val="0"/>
        </w:rPr>
        <w:t>Normalise the data next. “Wednesday after 4” is too vague for a program, therefore it's translated to periods like 16:00–16:30 and 16:30–17:00. Normalisation is important since comparable messages might be interpreted differently (ISO/IEC/IEEE, 2018). Candidate intervals are generated only during meeting hours and before the weekly deadline. First deadline safeguard: the algorithm cannot suggest a meeting too late to effect the submission (Association for Project Management, 2024).</w:t>
      </w:r>
    </w:p>
    <w:p>
      <w:r>
        <w:rPr>
          <w:b w:val="0"/>
          <w:bCs w:val="0"/>
        </w:rPr>
        <w:t>The first decision diamond checks for entire group overlap. Each candidate interval, the system checks all members and every 30-minute slot as needed. Every person must be free from 16:00 to 17:00 for a Tuesday 16:00 one-hour meeting. Being free for 30 minutes is not enough (Agile Business Consortium, 2026). C(t)—a combination of timeline, work, and personal conflicts—is also checked (Association for Project Management, 2024). A viable set replaces an early, inadvertent response.</w:t>
      </w:r>
    </w:p>
    <w:p>
      <w:r>
        <w:rPr>
          <w:b w:val="0"/>
          <w:bCs w:val="0"/>
        </w:rPr>
        <w:t>Conflicts are removed and options are ranked when the feasible set is non-empty. Due to equal participation in a full-overlap route, prior meetings and member preferences distinguish candidates. “Earlier” should not signify too early in the week. A customisable deadline-safety score can reward breaks that give people enough time to get things done without having to go to a meeting that is too far away from the present work (Association for Project Management, 2024). The facilitator can also choose a suitable window, such as Monday–Thursday 09:00–19:00 (ISO/IEC/IEEE, 2018). This makes the solution equitable for students with jobs and caregiving (Association for Project Management, 2024).</w:t>
      </w:r>
    </w:p>
    <w:p>
      <w:pPr>
        <w:jc w:val="center"/>
      </w:pPr>
      <w:r>
        <w:drawing>
          <wp:inline distT="0" distB="0" distL="114298" distR="114298">
            <wp:extent cx="5257800" cy="2628900"/>
            <wp:effectExtent l="0" t="0" r="0" b="0"/>
            <wp:docPr id="4" name="Imagini 4"/>
            <wp:cNvGraphicFramePr>
              <a:graphicFrameLocks noChangeAspect="1"/>
            </wp:cNvGraphicFramePr>
            <a:graphic>
              <a:graphicData uri="http://schemas.openxmlformats.org/drawingml/2006/picture">
                <pic:pic>
                  <pic:nvPicPr>
                    <pic:cNvPr id="6" name="Imagini 6"/>
                    <pic:cNvPicPr/>
                  </pic:nvPicPr>
                  <pic:blipFill>
                    <a:blip r:embed="rId4"/>
                    <a:stretch>
                      <a:fillRect/>
                    </a:stretch>
                  </pic:blipFill>
                  <pic:spPr>
                    <a:xfrm rot="0">
                      <a:off x="0" y="0"/>
                      <a:ext cx="5257800" cy="2628900"/>
                    </a:xfrm>
                    <a:prstGeom prst="rect"/>
                    <a:noFill/>
                    <a:ln w="12700" cmpd="sng" cap="flat">
                      <a:noFill/>
                      <a:prstDash val="solid"/>
                      <a:miter/>
                    </a:ln>
                  </pic:spPr>
                </pic:pic>
              </a:graphicData>
            </a:graphic>
          </wp:inline>
        </w:drawing>
      </w:r>
    </w:p>
    <w:p>
      <w:pPr>
        <w:jc w:val="center"/>
      </w:pPr>
      <w:r>
        <w:rPr>
          <w:b w:val="0"/>
          <w:bCs w:val="0"/>
          <w:i/>
        </w:rPr>
        <w:t>Figure 2. Ranking data for four spots in a six-person group (no student data).</w:t>
      </w:r>
    </w:p>
    <w:p>
      <w:r>
        <w:rPr>
          <w:b w:val="0"/>
          <w:bCs w:val="0"/>
        </w:rPr>
        <w:t>A group could observe Figure 2's explanation screen. With six members, Tuesday 16:00 is safer than Friday 15:30 since it leaves more time before Friday (ISO/IEC/IEEE, 2018). Thursday 17:00 has a high safety value but just five free members, making it a good backup. An actual system would generate numbers from submitted availability and provide its weighting rule, not the graph. Showing options promotes justice and makes the decision questionable (ISO/IEC/IEEE, 2018).</w:t>
      </w:r>
    </w:p>
    <w:p>
      <w:r>
        <w:rPr>
          <w:b w:val="0"/>
          <w:bCs w:val="0"/>
        </w:rPr>
        <w:t>Second decision diamond asks if R members confirm. Confirmation is crucial because data entry can modify availability. When the first-ranked alternative is rejected or a new hard conflict is reported, the system recommends the next-ranked option and records the reason. If the initial diamond does not overlap, do not pretend the problem is solved. With the best majority-attendance slot before D, it identifies the absent person and creates an asynchronous alternative with a shared agenda, task board, meeting notes, and a brief remark deadline. A group may also prefer two shorter sessions than one long one. Instead of escalation, notify the instructor if the group cannot figure out a solution (ISO/IEC/IEEE, 2018).</w:t>
      </w:r>
    </w:p>
    <w:p>
      <w:r>
        <w:rPr>
          <w:b w:val="0"/>
          <w:bCs w:val="0"/>
        </w:rPr>
        <w:t>After confirmation, the system sends a calendar invitation or message reminder and records the meeting purpose, actions, owners, and next check-in. This final step connects scheduling with project delivery. A meeting without action may nonetheless unevenly distribute workload. This produces a small coordination record, not just a time (Association for Project Management, 2024). Weekly cycles update availability and learn from cancelations and low attendance (Agile Business Consortium, 2026).</w:t>
      </w:r>
    </w:p>
    <w:p>
      <w:pPr>
        <w:pStyle w:val="1"/>
      </w:pPr>
      <w:r>
        <w:t>4. Reflection and Justification</w:t>
      </w:r>
    </w:p>
    <w:p>
      <w:pPr>
        <w:pStyle w:val="2"/>
      </w:pPr>
      <w:r>
        <w:t>4.1 Abstract Thinking</w:t>
      </w:r>
    </w:p>
    <w:p>
      <w:r>
        <w:rPr>
          <w:b w:val="0"/>
          <w:bCs w:val="0"/>
        </w:rPr>
        <w:t>Abstract thinking helped turn individual stories—“I work Tuesday”, “I have a lab”, “I cannot meet late”—into a shared paradigm. Their exact reasons become availability values A(i,t). Time slots provide intervals for each meeting. This eliminates extraneous information while retaining decision-making information (Agile Business Consortium, 2026). It makes the solution generic: it can serve a four-person coursework group, a six-person development team, or another module without altering the logic. Abstraction risky because individuals are not binary variables. The solution keeps optional preference points and a confirmation process.</w:t>
      </w:r>
    </w:p>
    <w:p>
      <w:pPr>
        <w:pStyle w:val="2"/>
      </w:pPr>
      <w:r>
        <w:t>4.2 Sub-dividing</w:t>
      </w:r>
    </w:p>
    <w:p>
      <w:r>
        <w:rPr>
          <w:b w:val="0"/>
          <w:bCs w:val="0"/>
        </w:rPr>
        <w:t>Subdividing simplified the issue. Communication, workload fairness, and timetabling were addressed separately by separating inputs, hard limitations, soft preferences, candidate generation, ranking, confirmation, and follow-up. Is the data complete? Is the interval before D? Does it clash? Will the group accept it? This split is shown in the flowchart. Developers might test deadline filtering and preference score individually (Agile Business Consortium, 2026). After subdivision, systems thinking was needed because feedback reconnects parts: a late response modifies the feasible set, a canceled meeting reranks, and an action list molds the next meeting.</w:t>
      </w:r>
    </w:p>
    <w:p>
      <w:pPr>
        <w:pStyle w:val="2"/>
      </w:pPr>
      <w:r>
        <w:t>4.3 Justification of Solution</w:t>
      </w:r>
    </w:p>
    <w:p>
      <w:r>
        <w:rPr>
          <w:b w:val="0"/>
          <w:bCs w:val="0"/>
        </w:rPr>
        <w:t>The approach is rational, explainable, and implementable without advanced mathematics, making it suitable for foundation computing. It matches the three goals. It calculates overlap between all submitted schedules to locate suitable times (Agile Business Consortium, 2026). Making mandatory classes, work, and declared unavailability periods hard constraints reduces conflicts (ISO/IEC/IEEE, 2018). It protects deadlines by only generating slots that complete before D and rewarding safer earlier alternatives (Agile Business Consortium, 2026). MoSCoW reduces scope creep by prioritizing minimum service over optional features. Requirements should be explicit, checkable descriptions, not hazy wishes.</w:t>
      </w:r>
    </w:p>
    <w:p>
      <w:r>
        <w:rPr>
          <w:b w:val="0"/>
          <w:bCs w:val="0"/>
        </w:rPr>
        <w:t>A full mathematical optimiser could find more solutions and use more complicated weights. Members may understand, debate, and amend rules with the simple filter-then-rank process. Priority limitations, like the weekly deadline, complicate scheduling challenges, according to research. A small group values transparency and weekly use over a complicated system no one trusts. The proposed fallback acknowledges that perfect simultaneity may be unachievable (Agile Business Consortium, 2026). To avoid latency, it supports a documented majority meeting-asynchronous contribution hybrid (Agile Business Consortium, 2026).</w:t>
      </w:r>
    </w:p>
    <w:p>
      <w:pPr>
        <w:pStyle w:val="2"/>
      </w:pPr>
      <w:r>
        <w:t>4.4 Limitations</w:t>
      </w:r>
    </w:p>
    <w:p>
      <w:r>
        <w:rPr>
          <w:b w:val="0"/>
          <w:bCs w:val="0"/>
        </w:rPr>
        <w:t>Several restrictions persist. The algorithm needs honest, current input first. A student may forget a shift or say “busy” to avoid an undesirable period. Second, a binary available/busy value does not account for travel time, exhaustion, accessibility needs, internet quality, or preference vs. real need (Association for Project Management, 2024). Third, scoring weights are subjective. The organization should reconsider awarding 10 points for attendance and two for deadline safety. Fourth, a majority fallback may accidentally exclude the same person (Agile Business Consortium, 2026). Thus, attendance patterns and inconvenience rotation should be recorded.</w:t>
      </w:r>
    </w:p>
    <w:p>
      <w:r>
        <w:rPr>
          <w:b w:val="0"/>
          <w:bCs w:val="0"/>
        </w:rPr>
        <w:t>There are privacy and practical issues. Available data should only be maintained for the project duration, viewed by the group and tutor when needed, and not include sensitive explanations (Agile Business Consortium, 2026). The solution can suggest a time but cannot force a student to attend or ensure a good meeting (Agile Business Consortium, 2026). There must be group standards, explicit task allocation, and tutor intervention for persistent non-participation.</w:t>
      </w:r>
    </w:p>
    <w:p>
      <w:pPr>
        <w:pStyle w:val="2"/>
      </w:pPr>
      <w:r>
        <w:t>4.5 Assumptions</w:t>
      </w:r>
    </w:p>
    <w:p>
      <w:r>
        <w:rPr>
          <w:b w:val="0"/>
          <w:bCs w:val="0"/>
        </w:rPr>
        <w:t>The design assumes each group has a member list, weekly deadline, internet connection, and a communication route. I presume availability can be accurately represented in 30-minute blocks and a one-hour meeting is usually sufficient, but L can be adjusted. It requires class schedules and work obligations are known before scheduling, that everyone uses the same local time zone, and that the group can agree on a basic response deadline. Asynchronous task boards are assumed to be a viable backup when overlap is not complete. Students and the module team should verify these assumptions before implementation (Association for Project Management, 2024).</w:t>
      </w:r>
    </w:p>
    <w:p>
      <w:pPr>
        <w:pStyle w:val="1"/>
      </w:pPr>
      <w:r>
        <w:t>5. Conclusion</w:t>
      </w:r>
    </w:p>
    <w:p>
      <w:r>
        <w:rPr>
          <w:b w:val="0"/>
          <w:bCs w:val="0"/>
        </w:rPr>
        <w:t>This report streamlined a group-work issue into scheduling. Analysis revealed stakeholders, inputs, hard limitations, soft preferences, and output. MoSCoW prioritization found that room ideas and recurrent patterns are optional, but common availability, conflict avoidance, deadline protection, and confirmation are necessary. The flowchart repeats: collect and validate availability, produce eligible intervals, remove conflicts, rank alternatives, confirm the proposal, and record follow-up actions. Systems thinking takes feedback and weekly changes into account, while abstraction and subdivision keep the design generic and accessible. Transparency—group members can see the rule, alternatives, and decision—is its biggest asset. Review, minimum data collection, and a specified asynchronous fallback should handle its data quality, subjective scoring, privacy, and recurrent exclusion issues. The approach can reduce schedule friction and allow groups more time to finish projects before the deadline with these protections.</w:t>
      </w:r>
    </w:p>
    <w:p>
      <w:pPr>
        <w:pStyle w:val="1"/>
      </w:pPr>
      <w:r>
        <w:t>References</w:t>
      </w:r>
    </w:p>
    <w:p>
      <w:r>
        <w:t>[1] ISO/IEC/IEEE, ISO/IEC/IEEE 29148:2018, Systems and software engineering—Life cycle processes—Requirements engineering. Geneva, Switzerland: ISO, 2018.</w:t>
      </w:r>
    </w:p>
    <w:p>
      <w:r>
        <w:t>[2] M. Davison, A. Kheiri and K. G. Zografos, “Modelling and solving the university course timetabling problem with hybrid teaching considerations,” Journal of Scheduling, vol. 28, pp. 195–215, 2025, doi: 10.1007/s10951-024-00817-w.</w:t>
      </w:r>
    </w:p>
    <w:p>
      <w:r>
        <w:t>[3] M. Müller, “University course timetabling,” in Proceedings of PATAT 2016, 2016, pp. 183–187. [Online]. Available: https://www.unitime.org/papers/patat2016.pdf. [Accessed: Aug. 11, 2026].</w:t>
      </w:r>
    </w:p>
    <w:p>
      <w:r>
        <w:t>[4] Association for Project Management, “What is systems thinking?” 2024. [Online]. Available: https://www.apm.org.uk/resources/find-a-resource/what-is-systems-thinking/. [Accessed: Aug. 11, 2026].</w:t>
      </w:r>
    </w:p>
    <w:p>
      <w:r>
        <w:t>[5] Agile Business Consortium, “What is MoSCoW prioritization?” [Online]. Available: https://www.agilebusiness.org/resource/what-is-moscow-prioritization/. [Accessed: Aug. 11, 2026].</w:t>
      </w:r>
    </w:p>
    <w:p>
      <w:r>
        <w:t>[6] J. K. Lenstra and A. H. G. Rinnooy Kan, “Complexity of scheduling under precedence constraints,” Operations Research, vol. 26, no. 1, pp. 22–35, 1978, doi: 10.1287/opre.26.1.22.</w:t>
      </w:r>
    </w:p>
    <w:sectPr>
      <w:footerReference w:type="default" r:id="rId2"/>
      <w:pgSz w:w="12240" w:h="15840"/>
      <w:pgMar w:top="1123" w:right="1181" w:bottom="1037" w:left="1181" w:header="720" w:footer="720" w:gutter="0"/>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auto"/>
    <w:pitch w:val="variable"/>
    <w:sig w:usb0="E0002AFF" w:usb1="C0007841" w:usb2="00000009" w:usb3="00000000" w:csb0="000001F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altName w:val="Droid Sans"/>
    <w:panose1 w:val="00000000000000000000"/>
    <w:charset w:val="80"/>
    <w:family w:val="modern"/>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altName w:val="Droid Sans"/>
    <w:panose1 w:val="00000000000000000000"/>
    <w:charset w:val="80"/>
    <w:family w:val="roman"/>
    <w:pitch w:val="variable"/>
    <w:sig w:usb0="00000001" w:usb1="08070000" w:usb2="00000010" w:usb3="00000000" w:csb0="00020000" w:csb1="00000000"/>
  </w:font>
  <w:font w:name="Courier">
    <w:altName w:val="Courier New"/>
    <w:panose1 w:val="02000500000000000000"/>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16"/>
      <w:tabs>
        <w:tab w:val="center" w:pos="4680"/>
        <w:tab w:val="right" w:pos="9360"/>
      </w:tabs>
      <w:jc w:val="right"/>
    </w:pPr>
    <w:r>
      <w:t xml:space="preserve">ACCA4019 | Problem Analysis and Solution Development | </w:t>
    </w:r>
    <w:r>
      <w:fldChar w:fldCharType="begin"/>
    </w:r>
    <w:r>
      <w:instrText>PAGE</w:instrText>
    </w:r>
    <w:r>
      <w:fldChar w:fldCharType="separate"/>
    </w:r>
    <w:r>
      <w:fldChar w:fldCharType="end"/>
    </w: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singleLevel"/>
    <w:tmpl w:val="29761A62"/>
    <w:lvl w:ilvl="0">
      <w:start w:val="1"/>
      <w:numFmt w:val="bullet"/>
      <w:lvlRestart w:val="0"/>
      <w:pStyle w:val="27"/>
      <w:lvlText w:val=""/>
      <w:lvlJc w:val="left"/>
      <w:pPr>
        <w:tabs>
          <w:tab w:val="num" w:pos="360"/>
        </w:tabs>
        <w:ind w:left="360" w:hanging="360"/>
      </w:pPr>
      <w:rPr>
        <w:rFonts w:ascii="Symbol" w:hAnsi="Symbol" w:hint="default"/>
      </w:rPr>
    </w:lvl>
  </w:abstractNum>
  <w:abstractNum w:abstractNumId="1">
    <w:multiLevelType w:val="singleLevel"/>
    <w:tmpl w:val="3D1EFFD4"/>
    <w:lvl w:ilvl="0">
      <w:start w:val="1"/>
      <w:numFmt w:val="bullet"/>
      <w:lvlRestart w:val="0"/>
      <w:pStyle w:val="28"/>
      <w:lvlText w:val=""/>
      <w:lvlJc w:val="left"/>
      <w:pPr>
        <w:tabs>
          <w:tab w:val="num" w:pos="720"/>
        </w:tabs>
        <w:ind w:left="720" w:hanging="360"/>
      </w:pPr>
      <w:rPr>
        <w:rFonts w:ascii="Symbol" w:hAnsi="Symbol" w:hint="default"/>
      </w:rPr>
    </w:lvl>
  </w:abstractNum>
  <w:abstractNum w:abstractNumId="2">
    <w:multiLevelType w:val="singleLevel"/>
    <w:tmpl w:val="F3EAFDEC"/>
    <w:lvl w:ilvl="0">
      <w:start w:val="1"/>
      <w:numFmt w:val="bullet"/>
      <w:lvlRestart w:val="0"/>
      <w:pStyle w:val="29"/>
      <w:lvlText w:val=""/>
      <w:lvlJc w:val="left"/>
      <w:pPr>
        <w:tabs>
          <w:tab w:val="num" w:pos="1080"/>
        </w:tabs>
        <w:ind w:left="1080" w:hanging="360"/>
      </w:pPr>
      <w:rPr>
        <w:rFonts w:ascii="Symbol" w:hAnsi="Symbol" w:hint="default"/>
      </w:rPr>
    </w:lvl>
  </w:abstractNum>
  <w:abstractNum w:abstractNumId="3">
    <w:multiLevelType w:val="singleLevel"/>
    <w:tmpl w:val="D0A62B40"/>
    <w:lvl w:ilvl="0">
      <w:start w:val="1"/>
      <w:numFmt w:val="decimal"/>
      <w:lvlRestart w:val="0"/>
      <w:pStyle w:val="30"/>
      <w:lvlText w:val="%1."/>
      <w:lvlJc w:val="left"/>
      <w:pPr>
        <w:tabs>
          <w:tab w:val="num" w:pos="360"/>
        </w:tabs>
        <w:ind w:left="360" w:hanging="360"/>
      </w:pPr>
    </w:lvl>
  </w:abstractNum>
  <w:abstractNum w:abstractNumId="4">
    <w:multiLevelType w:val="singleLevel"/>
    <w:tmpl w:val="38441652"/>
    <w:lvl w:ilvl="0">
      <w:start w:val="1"/>
      <w:numFmt w:val="decimal"/>
      <w:lvlRestart w:val="0"/>
      <w:pStyle w:val="31"/>
      <w:lvlText w:val="%1."/>
      <w:lvlJc w:val="left"/>
      <w:pPr>
        <w:tabs>
          <w:tab w:val="num" w:pos="720"/>
        </w:tabs>
        <w:ind w:left="720" w:hanging="360"/>
      </w:pPr>
    </w:lvl>
  </w:abstractNum>
  <w:abstractNum w:abstractNumId="5">
    <w:multiLevelType w:val="singleLevel"/>
    <w:tmpl w:val="FB12693A"/>
    <w:lvl w:ilvl="0">
      <w:start w:val="1"/>
      <w:numFmt w:val="decimal"/>
      <w:lvlRestart w:val="0"/>
      <w:pStyle w:val="32"/>
      <w:lvlText w:val="%1."/>
      <w:lvlJc w:val="left"/>
      <w:pPr>
        <w:tabs>
          <w:tab w:val="num" w:pos="1080"/>
        </w:tabs>
        <w:ind w:left="1080" w:hanging="360"/>
      </w:p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79"/>
  <w:bordersDoNotSurroundHeader/>
  <w:bordersDoNotSurroundFooter/>
  <w:defaultTabStop w:val="720"/>
  <w:drawingGridHorizontalSpacing w:val="105"/>
  <w:drawingGridVerticalSpacing w:val="156"/>
  <w:displayHorizontalDrawingGridEvery w:val="0"/>
  <w:displayVerticalDrawingGridEvery w:val="1"/>
  <w:savePreviewPicture/>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after="120" w:line="271" w:lineRule="auto"/>
    </w:pPr>
    <w:rPr>
      <w:rFonts w:ascii="Arial" w:eastAsia="Arial" w:cs="Arial" w:hAnsi="Arial"/>
      <w:sz w:val="21"/>
      <w:szCs w:val="22"/>
      <w:lang w:val="en-US" w:eastAsia="en-US" w:bidi="ar-SA"/>
    </w:rPr>
  </w:style>
  <w:style w:type="paragraph" w:styleId="1">
    <w:name w:val="heading 1"/>
    <w:basedOn w:val="0"/>
    <w:next w:val="0"/>
    <w:pPr>
      <w:keepNext/>
      <w:keepLines/>
      <w:spacing w:before="240" w:after="120"/>
      <w:outlineLvl w:val="0"/>
    </w:pPr>
    <w:rPr>
      <w:rFonts w:ascii="Arial" w:eastAsia="Arial" w:cs="Times New Roman" w:hAnsi="Arial"/>
      <w:b/>
      <w:bCs/>
      <w:color w:val="17365D"/>
      <w:sz w:val="30"/>
      <w:szCs w:val="28"/>
    </w:rPr>
  </w:style>
  <w:style w:type="paragraph" w:styleId="2">
    <w:name w:val="heading 2"/>
    <w:basedOn w:val="0"/>
    <w:next w:val="0"/>
    <w:pPr>
      <w:keepNext/>
      <w:keepLines/>
      <w:spacing w:before="200" w:after="80"/>
      <w:outlineLvl w:val="1"/>
    </w:pPr>
    <w:rPr>
      <w:rFonts w:ascii="Arial" w:eastAsia="Arial" w:cs="Times New Roman" w:hAnsi="Arial"/>
      <w:b/>
      <w:bCs/>
      <w:color w:val="1F4D78"/>
      <w:sz w:val="25"/>
      <w:szCs w:val="26"/>
    </w:rPr>
  </w:style>
  <w:style w:type="paragraph" w:styleId="3">
    <w:name w:val="heading 3"/>
    <w:basedOn w:val="0"/>
    <w:next w:val="0"/>
    <w:pPr>
      <w:keepNext/>
      <w:keepLines/>
      <w:spacing w:before="160" w:after="60"/>
      <w:outlineLvl w:val="2"/>
    </w:pPr>
    <w:rPr>
      <w:rFonts w:ascii="Arial" w:eastAsia="Arial" w:cs="Times New Roman" w:hAnsi="Arial"/>
      <w:b/>
      <w:bCs/>
      <w:color w:val="1F4D78"/>
      <w:sz w:val="23"/>
    </w:rPr>
  </w:style>
  <w:style w:type="paragraph" w:styleId="4">
    <w:name w:val="heading 4"/>
    <w:basedOn w:val="0"/>
    <w:next w:val="0"/>
    <w:pPr>
      <w:keepNext/>
      <w:keepLines/>
      <w:spacing w:before="200" w:after="0"/>
      <w:outlineLvl w:val="3"/>
    </w:pPr>
    <w:rPr>
      <w:rFonts w:ascii="Calibri" w:eastAsia="ＭＳ ゴシック" w:cs="Times New Roman" w:hAnsi="Calibri"/>
      <w:b/>
      <w:bCs/>
      <w:i/>
      <w:iCs/>
      <w:color w:val="4F81BD"/>
    </w:rPr>
  </w:style>
  <w:style w:type="paragraph" w:styleId="5">
    <w:name w:val="heading 5"/>
    <w:basedOn w:val="0"/>
    <w:next w:val="0"/>
    <w:pPr>
      <w:keepNext/>
      <w:keepLines/>
      <w:spacing w:before="200" w:after="0"/>
      <w:outlineLvl w:val="4"/>
    </w:pPr>
    <w:rPr>
      <w:rFonts w:ascii="Calibri" w:eastAsia="ＭＳ ゴシック" w:cs="Times New Roman" w:hAnsi="Calibri"/>
      <w:color w:val="243F60"/>
    </w:rPr>
  </w:style>
  <w:style w:type="paragraph" w:styleId="6">
    <w:name w:val="heading 6"/>
    <w:basedOn w:val="0"/>
    <w:next w:val="0"/>
    <w:pPr>
      <w:keepNext/>
      <w:keepLines/>
      <w:spacing w:before="200" w:after="0"/>
      <w:outlineLvl w:val="5"/>
    </w:pPr>
    <w:rPr>
      <w:rFonts w:ascii="Calibri" w:eastAsia="ＭＳ ゴシック" w:cs="Times New Roman" w:hAnsi="Calibri"/>
      <w:i/>
      <w:iCs/>
      <w:color w:val="243F60"/>
    </w:rPr>
  </w:style>
  <w:style w:type="paragraph" w:styleId="7">
    <w:name w:val="heading 7"/>
    <w:basedOn w:val="0"/>
    <w:next w:val="0"/>
    <w:pPr>
      <w:keepNext/>
      <w:keepLines/>
      <w:spacing w:before="200" w:after="0"/>
      <w:outlineLvl w:val="6"/>
    </w:pPr>
    <w:rPr>
      <w:rFonts w:ascii="Calibri" w:eastAsia="ＭＳ ゴシック" w:cs="Times New Roman" w:hAnsi="Calibri"/>
      <w:i/>
      <w:iCs/>
      <w:color w:val="404040"/>
    </w:rPr>
  </w:style>
  <w:style w:type="paragraph" w:styleId="8">
    <w:name w:val="heading 8"/>
    <w:basedOn w:val="0"/>
    <w:next w:val="0"/>
    <w:pPr>
      <w:keepNext/>
      <w:keepLines/>
      <w:spacing w:before="200" w:after="0"/>
      <w:outlineLvl w:val="7"/>
    </w:pPr>
    <w:rPr>
      <w:rFonts w:ascii="Calibri" w:eastAsia="ＭＳ ゴシック" w:cs="Times New Roman" w:hAnsi="Calibri"/>
      <w:color w:val="4F81BD"/>
      <w:sz w:val="20"/>
      <w:szCs w:val="20"/>
    </w:rPr>
  </w:style>
  <w:style w:type="paragraph" w:styleId="9">
    <w:name w:val="heading 9"/>
    <w:basedOn w:val="0"/>
    <w:next w:val="0"/>
    <w:pPr>
      <w:keepNext/>
      <w:keepLines/>
      <w:spacing w:before="200" w:after="0"/>
      <w:outlineLvl w:val="8"/>
    </w:pPr>
    <w:rPr>
      <w:rFonts w:ascii="Calibri" w:eastAsia="ＭＳ ゴシック" w:cs="Times New Roman" w:hAnsi="Calibri"/>
      <w:i/>
      <w:iCs/>
      <w:color w:val="404040"/>
      <w:sz w:val="20"/>
      <w:szCs w:val="20"/>
    </w:rPr>
  </w:style>
  <w:style w:type="character" w:default="1" w:styleId="10">
    <w:name w:val="Default Paragraph Font"/>
  </w:style>
  <w:style w:type="paragraph" w:styleId="15">
    <w:name w:val="header"/>
    <w:basedOn w:val="0"/>
    <w:pPr>
      <w:tabs>
        <w:tab w:val="center" w:pos="4680"/>
        <w:tab w:val="right" w:pos="9360"/>
      </w:tabs>
      <w:spacing w:after="0" w:line="240" w:lineRule="auto"/>
    </w:pPr>
  </w:style>
  <w:style w:type="paragraph" w:styleId="16">
    <w:name w:val="footer"/>
    <w:basedOn w:val="0"/>
    <w:pPr>
      <w:tabs>
        <w:tab w:val="center" w:pos="4680"/>
        <w:tab w:val="right" w:pos="9360"/>
      </w:tabs>
      <w:spacing w:after="0" w:line="240" w:lineRule="auto"/>
    </w:pPr>
  </w:style>
  <w:style w:type="paragraph" w:customStyle="1" w:styleId="17">
    <w:name w:val="No Spacing"/>
    <w:pPr>
      <w:spacing w:after="0" w:line="240" w:lineRule="auto"/>
    </w:pPr>
    <w:rPr>
      <w:rFonts w:ascii="Cambria" w:eastAsia="ＭＳ 明朝" w:cs="Arial" w:hAnsi="Cambria"/>
      <w:sz w:val="22"/>
      <w:szCs w:val="22"/>
      <w:lang w:val="en-US" w:eastAsia="en-US" w:bidi="ar-SA"/>
    </w:rPr>
  </w:style>
  <w:style w:type="paragraph" w:styleId="18">
    <w:name w:val="Title"/>
    <w:basedOn w:val="0"/>
    <w:next w:val="0"/>
    <w:pPr>
      <w:pBdr>
        <w:bottom w:val="single" w:sz="8" w:space="4" w:color="4F81BD"/>
      </w:pBdr>
      <w:spacing w:before="0" w:after="160" w:line="240" w:lineRule="auto"/>
      <w:contextualSpacing/>
    </w:pPr>
    <w:rPr>
      <w:rFonts w:ascii="Arial" w:eastAsia="Arial" w:cs="Times New Roman" w:hAnsi="Arial"/>
      <w:b/>
      <w:color w:val="17365D"/>
      <w:spacing w:val="5"/>
      <w:kern w:val="28"/>
      <w:sz w:val="44"/>
      <w:szCs w:val="52"/>
    </w:rPr>
  </w:style>
  <w:style w:type="paragraph" w:styleId="19">
    <w:name w:val="Subtitle"/>
    <w:basedOn w:val="0"/>
    <w:next w:val="0"/>
    <w:rPr>
      <w:rFonts w:ascii="Calibri" w:eastAsia="ＭＳ ゴシック" w:cs="Times New Roman" w:hAnsi="Calibri"/>
      <w:i/>
      <w:iCs/>
      <w:color w:val="4F81BD"/>
      <w:spacing w:val="15"/>
      <w:sz w:val="24"/>
      <w:szCs w:val="24"/>
    </w:rPr>
  </w:style>
  <w:style w:type="paragraph" w:customStyle="1" w:styleId="20">
    <w:name w:val="List Paragraph"/>
    <w:basedOn w:val="0"/>
    <w:pPr>
      <w:ind w:left="720"/>
      <w:contextualSpacing/>
    </w:pPr>
  </w:style>
  <w:style w:type="paragraph" w:styleId="21">
    <w:name w:val="Body Text"/>
    <w:basedOn w:val="0"/>
    <w:pPr>
      <w:spacing w:after="120"/>
    </w:pPr>
  </w:style>
  <w:style w:type="paragraph" w:styleId="22">
    <w:name w:val="Body Text 2"/>
    <w:basedOn w:val="0"/>
    <w:pPr>
      <w:spacing w:after="120" w:line="480" w:lineRule="auto"/>
    </w:pPr>
  </w:style>
  <w:style w:type="paragraph" w:styleId="23">
    <w:name w:val="Body Text 3"/>
    <w:basedOn w:val="0"/>
    <w:pPr>
      <w:spacing w:after="120"/>
    </w:pPr>
    <w:rPr>
      <w:sz w:val="16"/>
      <w:szCs w:val="16"/>
    </w:rPr>
  </w:style>
  <w:style w:type="paragraph" w:styleId="24">
    <w:name w:val="List"/>
    <w:basedOn w:val="0"/>
    <w:pPr>
      <w:ind w:left="360" w:hanging="360"/>
      <w:contextualSpacing/>
    </w:pPr>
  </w:style>
  <w:style w:type="paragraph" w:styleId="25">
    <w:name w:val="List 2"/>
    <w:basedOn w:val="0"/>
    <w:pPr>
      <w:ind w:left="720" w:hanging="360"/>
      <w:contextualSpacing/>
    </w:pPr>
  </w:style>
  <w:style w:type="paragraph" w:styleId="26">
    <w:name w:val="List 3"/>
    <w:basedOn w:val="0"/>
    <w:pPr>
      <w:ind w:left="1080" w:hanging="360"/>
      <w:contextualSpacing/>
    </w:pPr>
  </w:style>
  <w:style w:type="paragraph" w:styleId="27">
    <w:name w:val="List Bullet"/>
    <w:basedOn w:val="0"/>
    <w:pPr>
      <w:numPr>
        <w:ilvl w:val="0"/>
        <w:numId w:val="1"/>
      </w:numPr>
      <w:contextualSpacing/>
    </w:pPr>
  </w:style>
  <w:style w:type="paragraph" w:styleId="28">
    <w:name w:val="List Bullet 2"/>
    <w:basedOn w:val="0"/>
    <w:pPr>
      <w:numPr>
        <w:ilvl w:val="0"/>
        <w:numId w:val="2"/>
      </w:numPr>
      <w:contextualSpacing/>
    </w:pPr>
  </w:style>
  <w:style w:type="paragraph" w:styleId="29">
    <w:name w:val="List Bullet 3"/>
    <w:basedOn w:val="0"/>
    <w:pPr>
      <w:numPr>
        <w:ilvl w:val="0"/>
        <w:numId w:val="3"/>
      </w:numPr>
      <w:contextualSpacing/>
    </w:pPr>
  </w:style>
  <w:style w:type="paragraph" w:styleId="30">
    <w:name w:val="List Number"/>
    <w:basedOn w:val="0"/>
    <w:pPr>
      <w:numPr>
        <w:ilvl w:val="0"/>
        <w:numId w:val="4"/>
      </w:numPr>
      <w:contextualSpacing/>
    </w:pPr>
  </w:style>
  <w:style w:type="paragraph" w:styleId="31">
    <w:name w:val="List Number 2"/>
    <w:basedOn w:val="0"/>
    <w:pPr>
      <w:numPr>
        <w:ilvl w:val="0"/>
        <w:numId w:val="5"/>
      </w:numPr>
      <w:contextualSpacing/>
    </w:pPr>
  </w:style>
  <w:style w:type="paragraph" w:styleId="32">
    <w:name w:val="List Number 3"/>
    <w:basedOn w:val="0"/>
    <w:pPr>
      <w:numPr>
        <w:ilvl w:val="0"/>
        <w:numId w:val="6"/>
      </w:numPr>
      <w:contextualSpacing/>
    </w:pPr>
  </w:style>
  <w:style w:type="paragraph" w:styleId="33">
    <w:name w:val="List Continue"/>
    <w:basedOn w:val="0"/>
    <w:pPr>
      <w:spacing w:after="120"/>
      <w:ind w:left="360"/>
      <w:contextualSpacing/>
    </w:pPr>
  </w:style>
  <w:style w:type="paragraph" w:styleId="34">
    <w:name w:val="List Continue 2"/>
    <w:basedOn w:val="0"/>
    <w:pPr>
      <w:spacing w:after="120"/>
      <w:ind w:left="720"/>
      <w:contextualSpacing/>
    </w:pPr>
  </w:style>
  <w:style w:type="paragraph" w:styleId="35">
    <w:name w:val="List Continue 3"/>
    <w:basedOn w:val="0"/>
    <w:pPr>
      <w:spacing w:after="120"/>
      <w:ind w:left="1080"/>
      <w:contextualSpacing/>
    </w:pPr>
  </w:style>
  <w:style w:type="paragraph" w:styleId="36">
    <w:name w:val="macro"/>
    <w:pPr>
      <w:tabs>
        <w:tab w:val="left" w:pos="576"/>
        <w:tab w:val="left" w:pos="1152"/>
        <w:tab w:val="left" w:pos="1728"/>
        <w:tab w:val="left" w:pos="2304"/>
        <w:tab w:val="left" w:pos="2880"/>
        <w:tab w:val="left" w:pos="3456"/>
        <w:tab w:val="left" w:pos="4032"/>
      </w:tabs>
      <w:spacing w:after="200" w:line="276" w:lineRule="auto"/>
    </w:pPr>
    <w:rPr>
      <w:rFonts w:ascii="Courier" w:eastAsia="ＭＳ 明朝" w:cs="Arial" w:hAnsi="Courier"/>
      <w:sz w:val="20"/>
      <w:szCs w:val="20"/>
      <w:lang w:val="en-US" w:eastAsia="en-US" w:bidi="ar-SA"/>
    </w:rPr>
  </w:style>
  <w:style w:type="paragraph" w:customStyle="1" w:styleId="37">
    <w:name w:val="Quote"/>
    <w:basedOn w:val="0"/>
    <w:next w:val="0"/>
    <w:rPr>
      <w:i/>
      <w:iCs/>
      <w:color w:val="000000"/>
    </w:rPr>
  </w:style>
  <w:style w:type="paragraph" w:styleId="38">
    <w:name w:val="caption"/>
    <w:basedOn w:val="0"/>
    <w:next w:val="0"/>
    <w:pPr>
      <w:spacing w:line="240" w:lineRule="auto"/>
    </w:pPr>
    <w:rPr>
      <w:b/>
      <w:bCs/>
      <w:color w:val="4F81BD"/>
      <w:sz w:val="18"/>
      <w:szCs w:val="18"/>
    </w:rPr>
  </w:style>
  <w:style w:type="character" w:styleId="39">
    <w:name w:val="Strong"/>
    <w:basedOn w:val="10"/>
    <w:rPr>
      <w:b/>
      <w:bCs/>
    </w:rPr>
  </w:style>
  <w:style w:type="character" w:styleId="40">
    <w:name w:val="Emphasis"/>
    <w:basedOn w:val="10"/>
    <w:rPr>
      <w:i/>
      <w:iCs/>
    </w:rPr>
  </w:style>
  <w:style w:type="paragraph" w:customStyle="1" w:styleId="41">
    <w:name w:val="Intense Quote"/>
    <w:basedOn w:val="0"/>
    <w:next w:val="0"/>
    <w:pPr>
      <w:pBdr>
        <w:bottom w:val="single" w:sz="4" w:space="4" w:color="4F81BD"/>
      </w:pBdr>
      <w:spacing w:before="200" w:after="280"/>
      <w:ind w:left="936" w:right="936"/>
    </w:pPr>
    <w:rPr>
      <w:b/>
      <w:bCs/>
      <w:i/>
      <w:iCs/>
      <w:color w:val="4F81BD"/>
    </w:rPr>
  </w:style>
  <w:style w:type="character" w:customStyle="1" w:styleId="42">
    <w:name w:val="Subtle Emphasis"/>
    <w:basedOn w:val="10"/>
    <w:rPr>
      <w:i/>
      <w:iCs/>
      <w:color w:val="808080"/>
    </w:rPr>
  </w:style>
  <w:style w:type="character" w:customStyle="1" w:styleId="43">
    <w:name w:val="Intense Emphasis"/>
    <w:basedOn w:val="10"/>
    <w:rPr>
      <w:b/>
      <w:bCs/>
      <w:i/>
      <w:iCs/>
      <w:color w:val="4F81BD"/>
    </w:rPr>
  </w:style>
  <w:style w:type="character" w:customStyle="1" w:styleId="44">
    <w:name w:val="Subtle Reference"/>
    <w:basedOn w:val="10"/>
    <w:rPr>
      <w:caps w:val="0"/>
      <w:smallCaps/>
      <w:color w:val="C0504D"/>
      <w:u w:val="single"/>
    </w:rPr>
  </w:style>
  <w:style w:type="character" w:customStyle="1" w:styleId="45">
    <w:name w:val="Intense Reference"/>
    <w:basedOn w:val="10"/>
    <w:rPr>
      <w:b/>
      <w:bCs/>
      <w:caps w:val="0"/>
      <w:smallCaps/>
      <w:color w:val="C0504D"/>
      <w:spacing w:val="5"/>
      <w:u w:val="single"/>
    </w:rPr>
  </w:style>
  <w:style w:type="character" w:customStyle="1" w:styleId="46">
    <w:name w:val="Book Title"/>
    <w:basedOn w:val="10"/>
    <w:rPr>
      <w:b/>
      <w:bCs/>
      <w:caps w:val="0"/>
      <w:smallCaps/>
      <w:spacing w:val="5"/>
    </w:rPr>
  </w:style>
  <w:style w:type="paragraph" w:customStyle="1" w:styleId="47">
    <w:name w:val="TOC Heading"/>
    <w:basedOn w:val="1"/>
    <w:next w:val="0"/>
    <w:pPr>
      <w:outlineLvl w:val="9"/>
    </w:p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styles" Target="styles.xml"/><Relationship Id="rId6" Type="http://schemas.openxmlformats.org/officeDocument/2006/relationships/numbering" Target="numbering.xml"/><Relationship Id="rId7" Type="http://schemas.openxmlformats.org/officeDocument/2006/relationships/fontTable" Target="fontTable.xml"/></Relationships>
</file>

<file path=docProps/app.xml><?xml version="1.0" encoding="utf-8"?>
<Properties xmlns="http://schemas.openxmlformats.org/officeDocument/2006/extended-properties">
  <Template>Normal.eit</Template>
  <TotalTime>16</TotalTime>
  <Application>Honor_Office</Application>
  <Pages>10</Pages>
  <Words>2805</Words>
  <Characters>17245</Characters>
  <Lines>315</Lines>
  <Paragraphs>133</Paragraphs>
  <CharactersWithSpaces>19919</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HONOR Docs</cp:lastModifiedBy>
  <cp:revision>1</cp:revision>
  <dcterms:created xsi:type="dcterms:W3CDTF">2000-01-01T00:00:00Z</dcterms:created>
  <dcterms:modified xsi:type="dcterms:W3CDTF">2026-08-11T02:14:04Z</dcterms:modified>
</cp:coreProperties>
</file>