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3F390" w14:textId="77777777" w:rsidR="00B842A5" w:rsidRDefault="00B842A5" w:rsidP="00956158">
      <w:pPr>
        <w:pStyle w:val="Title"/>
        <w:rPr>
          <w:b/>
          <w:bCs/>
          <w:color w:val="2F5496" w:themeColor="accent1" w:themeShade="BF"/>
        </w:rPr>
      </w:pPr>
    </w:p>
    <w:p w14:paraId="40B62FB3" w14:textId="6C91B751" w:rsidR="00B842A5" w:rsidRDefault="00B842A5" w:rsidP="00956158">
      <w:pPr>
        <w:pStyle w:val="Title"/>
        <w:rPr>
          <w:b/>
          <w:bCs/>
          <w:color w:val="2F5496" w:themeColor="accent1" w:themeShade="BF"/>
        </w:rPr>
      </w:pPr>
      <w:r>
        <w:rPr>
          <w:noProof/>
        </w:rPr>
        <w:drawing>
          <wp:inline distT="0" distB="0" distL="0" distR="0" wp14:anchorId="0F296C5D" wp14:editId="432EEDCC">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officeArt object" descr="Discover University of Wales Trinity Saint David"/>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inline>
        </w:drawing>
      </w:r>
    </w:p>
    <w:p w14:paraId="2D329EDB" w14:textId="3B95BDBA" w:rsidR="00B842A5" w:rsidRDefault="00B842A5" w:rsidP="00956158">
      <w:pPr>
        <w:pStyle w:val="Title"/>
        <w:rPr>
          <w:b/>
          <w:bCs/>
          <w:color w:val="2F5496" w:themeColor="accent1" w:themeShade="BF"/>
        </w:rPr>
      </w:pPr>
    </w:p>
    <w:p w14:paraId="7A9C6375" w14:textId="77777777" w:rsidR="00B842A5" w:rsidRDefault="00B842A5" w:rsidP="00956158">
      <w:pPr>
        <w:pStyle w:val="Title"/>
        <w:rPr>
          <w:b/>
          <w:bCs/>
          <w:color w:val="2F5496" w:themeColor="accent1" w:themeShade="BF"/>
        </w:rPr>
      </w:pPr>
    </w:p>
    <w:p w14:paraId="0DC985CD" w14:textId="0FFD980A" w:rsidR="00825697" w:rsidRPr="00777755" w:rsidRDefault="009C1F85" w:rsidP="00956158">
      <w:pPr>
        <w:pStyle w:val="Title"/>
        <w:rPr>
          <w:b/>
          <w:bCs/>
          <w:color w:val="2F5496" w:themeColor="accent1" w:themeShade="BF"/>
        </w:rPr>
      </w:pPr>
      <w:r w:rsidRPr="00777755">
        <w:rPr>
          <w:b/>
          <w:bCs/>
          <w:color w:val="2F5496" w:themeColor="accent1" w:themeShade="BF"/>
        </w:rPr>
        <w:t>Algorithmic Bias and Ethical AI in</w:t>
      </w:r>
      <w:r w:rsidR="00484439">
        <w:rPr>
          <w:b/>
          <w:bCs/>
          <w:color w:val="2F5496" w:themeColor="accent1" w:themeShade="BF"/>
        </w:rPr>
        <w:t xml:space="preserve"> </w:t>
      </w:r>
      <w:r w:rsidRPr="00777755">
        <w:rPr>
          <w:b/>
          <w:bCs/>
          <w:color w:val="2F5496" w:themeColor="accent1" w:themeShade="BF"/>
        </w:rPr>
        <w:t>Credit Decision-Making</w:t>
      </w:r>
      <w:r w:rsidR="00250B1E" w:rsidRPr="00777755">
        <w:rPr>
          <w:b/>
          <w:bCs/>
          <w:color w:val="2F5496" w:themeColor="accent1" w:themeShade="BF"/>
        </w:rPr>
        <w:t>:</w:t>
      </w:r>
      <w:r w:rsidR="00484439">
        <w:rPr>
          <w:b/>
          <w:bCs/>
          <w:color w:val="2F5496" w:themeColor="accent1" w:themeShade="BF"/>
        </w:rPr>
        <w:t xml:space="preserve"> </w:t>
      </w:r>
      <w:r w:rsidRPr="00777755">
        <w:rPr>
          <w:b/>
          <w:bCs/>
          <w:color w:val="2F5496" w:themeColor="accent1" w:themeShade="BF"/>
        </w:rPr>
        <w:t>A Strategic Analysis of Barclays PLC</w:t>
      </w:r>
    </w:p>
    <w:p w14:paraId="071EB190" w14:textId="77777777" w:rsidR="00825697" w:rsidRPr="00777755" w:rsidRDefault="00825697" w:rsidP="00956158">
      <w:pPr>
        <w:spacing w:line="360" w:lineRule="auto"/>
        <w:rPr>
          <w:b/>
          <w:bCs/>
          <w:color w:val="2F5496" w:themeColor="accent1" w:themeShade="BF"/>
          <w:sz w:val="24"/>
          <w:szCs w:val="24"/>
        </w:rPr>
      </w:pPr>
    </w:p>
    <w:p w14:paraId="47ACD571" w14:textId="77777777" w:rsidR="00B842A5" w:rsidRDefault="00B842A5" w:rsidP="00956158">
      <w:pPr>
        <w:spacing w:line="360" w:lineRule="auto"/>
        <w:jc w:val="center"/>
        <w:rPr>
          <w:b/>
          <w:bCs/>
          <w:color w:val="2F5496" w:themeColor="accent1" w:themeShade="BF"/>
          <w:sz w:val="24"/>
          <w:szCs w:val="24"/>
        </w:rPr>
      </w:pPr>
    </w:p>
    <w:p w14:paraId="2CE3F325" w14:textId="77777777" w:rsidR="00B842A5" w:rsidRDefault="00B842A5" w:rsidP="00956158">
      <w:pPr>
        <w:spacing w:line="360" w:lineRule="auto"/>
        <w:jc w:val="center"/>
        <w:rPr>
          <w:b/>
          <w:bCs/>
          <w:color w:val="2F5496" w:themeColor="accent1" w:themeShade="BF"/>
          <w:sz w:val="24"/>
          <w:szCs w:val="24"/>
        </w:rPr>
      </w:pPr>
    </w:p>
    <w:p w14:paraId="3F8E9B9B" w14:textId="4C853235" w:rsidR="00825697" w:rsidRPr="00777755" w:rsidRDefault="00616D8C" w:rsidP="00956158">
      <w:pPr>
        <w:spacing w:line="360" w:lineRule="auto"/>
        <w:jc w:val="center"/>
        <w:rPr>
          <w:b/>
          <w:bCs/>
          <w:color w:val="2F5496" w:themeColor="accent1" w:themeShade="BF"/>
          <w:sz w:val="24"/>
          <w:szCs w:val="24"/>
        </w:rPr>
      </w:pPr>
      <w:r w:rsidRPr="00777755">
        <w:rPr>
          <w:b/>
          <w:bCs/>
          <w:color w:val="2F5496" w:themeColor="accent1" w:themeShade="BF"/>
          <w:sz w:val="24"/>
          <w:szCs w:val="24"/>
        </w:rPr>
        <w:t>Module: BMMB7006</w:t>
      </w:r>
      <w:r w:rsidR="00282C36" w:rsidRPr="00777755">
        <w:rPr>
          <w:b/>
          <w:bCs/>
          <w:color w:val="2F5496" w:themeColor="accent1" w:themeShade="BF"/>
          <w:sz w:val="24"/>
          <w:szCs w:val="24"/>
        </w:rPr>
        <w:t xml:space="preserve"> </w:t>
      </w:r>
      <w:r w:rsidRPr="00777755">
        <w:rPr>
          <w:b/>
          <w:bCs/>
          <w:color w:val="2F5496" w:themeColor="accent1" w:themeShade="BF"/>
          <w:sz w:val="24"/>
          <w:szCs w:val="24"/>
        </w:rPr>
        <w:t>Global Business Challenges</w:t>
      </w:r>
    </w:p>
    <w:p w14:paraId="765F3F96" w14:textId="5CA06601" w:rsidR="00B842A5" w:rsidRDefault="00B842A5" w:rsidP="00956158">
      <w:pPr>
        <w:spacing w:line="360" w:lineRule="auto"/>
        <w:jc w:val="center"/>
        <w:rPr>
          <w:b/>
          <w:bCs/>
          <w:color w:val="2F5496" w:themeColor="accent1" w:themeShade="BF"/>
          <w:sz w:val="24"/>
          <w:szCs w:val="24"/>
        </w:rPr>
      </w:pPr>
    </w:p>
    <w:p w14:paraId="4B7E1BF1" w14:textId="370E75FA" w:rsidR="00B842A5" w:rsidRDefault="00B842A5" w:rsidP="00956158">
      <w:pPr>
        <w:spacing w:line="360" w:lineRule="auto"/>
        <w:jc w:val="center"/>
        <w:rPr>
          <w:b/>
          <w:bCs/>
          <w:color w:val="2F5496" w:themeColor="accent1" w:themeShade="BF"/>
          <w:sz w:val="24"/>
          <w:szCs w:val="24"/>
        </w:rPr>
      </w:pPr>
      <w:r>
        <w:rPr>
          <w:b/>
          <w:bCs/>
          <w:color w:val="2F5496" w:themeColor="accent1" w:themeShade="BF"/>
          <w:sz w:val="24"/>
          <w:szCs w:val="24"/>
        </w:rPr>
        <w:t xml:space="preserve">Name: </w:t>
      </w:r>
      <w:proofErr w:type="spellStart"/>
      <w:r w:rsidRPr="00B842A5">
        <w:rPr>
          <w:b/>
          <w:bCs/>
          <w:color w:val="2F5496" w:themeColor="accent1" w:themeShade="BF"/>
          <w:sz w:val="24"/>
          <w:szCs w:val="24"/>
        </w:rPr>
        <w:t>Nayem</w:t>
      </w:r>
      <w:proofErr w:type="spellEnd"/>
      <w:r w:rsidRPr="00B842A5">
        <w:rPr>
          <w:b/>
          <w:bCs/>
          <w:color w:val="2F5496" w:themeColor="accent1" w:themeShade="BF"/>
          <w:sz w:val="24"/>
          <w:szCs w:val="24"/>
        </w:rPr>
        <w:t xml:space="preserve"> Mia </w:t>
      </w:r>
    </w:p>
    <w:p w14:paraId="107620CA" w14:textId="4730E89A" w:rsidR="00B842A5" w:rsidRDefault="00B842A5" w:rsidP="00956158">
      <w:pPr>
        <w:spacing w:line="360" w:lineRule="auto"/>
        <w:jc w:val="center"/>
        <w:rPr>
          <w:b/>
          <w:bCs/>
          <w:color w:val="2F5496" w:themeColor="accent1" w:themeShade="BF"/>
          <w:sz w:val="24"/>
          <w:szCs w:val="24"/>
        </w:rPr>
      </w:pPr>
      <w:r w:rsidRPr="00B842A5">
        <w:rPr>
          <w:b/>
          <w:bCs/>
          <w:color w:val="2F5496" w:themeColor="accent1" w:themeShade="BF"/>
          <w:sz w:val="24"/>
          <w:szCs w:val="24"/>
        </w:rPr>
        <w:t>ID: 2514695</w:t>
      </w:r>
    </w:p>
    <w:p w14:paraId="7A9B33A3" w14:textId="2F18F0E6" w:rsidR="00B842A5" w:rsidRDefault="00B842A5" w:rsidP="00956158">
      <w:pPr>
        <w:spacing w:line="360" w:lineRule="auto"/>
        <w:jc w:val="center"/>
        <w:rPr>
          <w:b/>
          <w:bCs/>
          <w:color w:val="2F5496" w:themeColor="accent1" w:themeShade="BF"/>
          <w:sz w:val="24"/>
          <w:szCs w:val="24"/>
        </w:rPr>
      </w:pPr>
    </w:p>
    <w:p w14:paraId="6ADE649E" w14:textId="77777777" w:rsidR="00B842A5" w:rsidRPr="00777755" w:rsidRDefault="00B842A5" w:rsidP="00956158">
      <w:pPr>
        <w:spacing w:line="360" w:lineRule="auto"/>
        <w:jc w:val="center"/>
        <w:rPr>
          <w:b/>
          <w:bCs/>
          <w:color w:val="2F5496" w:themeColor="accent1" w:themeShade="BF"/>
          <w:sz w:val="24"/>
          <w:szCs w:val="24"/>
        </w:rPr>
      </w:pPr>
    </w:p>
    <w:p w14:paraId="2B059C31" w14:textId="77777777" w:rsidR="00825697" w:rsidRPr="007E756D" w:rsidRDefault="009C1F85" w:rsidP="00956158">
      <w:pPr>
        <w:spacing w:line="360" w:lineRule="auto"/>
        <w:rPr>
          <w:color w:val="2F5496" w:themeColor="accent1" w:themeShade="BF"/>
          <w:sz w:val="24"/>
          <w:szCs w:val="24"/>
        </w:rPr>
      </w:pPr>
      <w:r w:rsidRPr="007E756D">
        <w:rPr>
          <w:color w:val="2F5496" w:themeColor="accent1" w:themeShade="BF"/>
          <w:sz w:val="24"/>
          <w:szCs w:val="24"/>
        </w:rPr>
        <w:br w:type="page"/>
      </w:r>
    </w:p>
    <w:p w14:paraId="1145D480" w14:textId="77777777" w:rsidR="00825697" w:rsidRPr="00D11EE4" w:rsidRDefault="009C1F85" w:rsidP="00D11EE4">
      <w:pPr>
        <w:pStyle w:val="Heading1"/>
        <w:numPr>
          <w:ilvl w:val="0"/>
          <w:numId w:val="0"/>
        </w:numPr>
        <w:ind w:left="432" w:hanging="432"/>
      </w:pPr>
      <w:bookmarkStart w:id="0" w:name="_Toc228047115"/>
      <w:r w:rsidRPr="00D11EE4">
        <w:lastRenderedPageBreak/>
        <w:t>Executive Summary</w:t>
      </w:r>
      <w:bookmarkEnd w:id="0"/>
    </w:p>
    <w:p w14:paraId="5EAB2547" w14:textId="77777777" w:rsidR="003A7F40" w:rsidRPr="003A7F40" w:rsidRDefault="003A7F40" w:rsidP="003A7F40">
      <w:pPr>
        <w:spacing w:line="360" w:lineRule="auto"/>
        <w:jc w:val="both"/>
        <w:rPr>
          <w:sz w:val="24"/>
          <w:szCs w:val="24"/>
        </w:rPr>
      </w:pPr>
      <w:r w:rsidRPr="003A7F40">
        <w:rPr>
          <w:sz w:val="24"/>
          <w:szCs w:val="24"/>
        </w:rPr>
        <w:t>The application of artificial intelligence (AI) is fundamentally transforming credit decision-making in the bank industry globally, offering efficiency benefits, but risking bias in the algorithm, regulatory violations, and loss of customer trust. This report proposes how Barclays PLC can address these obstacles, in light of a PESTLE analysis of the UK and the European Union (EU) regulatory environments, and the competitive analysis in terms of Porters Five Forces.</w:t>
      </w:r>
    </w:p>
    <w:p w14:paraId="6CF08FF6" w14:textId="66C2093B" w:rsidR="00361A6D" w:rsidRPr="00D11EE4" w:rsidRDefault="003A7F40" w:rsidP="003A7F40">
      <w:pPr>
        <w:spacing w:line="360" w:lineRule="auto"/>
        <w:jc w:val="both"/>
        <w:rPr>
          <w:sz w:val="24"/>
          <w:szCs w:val="24"/>
        </w:rPr>
      </w:pPr>
      <w:r w:rsidRPr="003A7F40">
        <w:rPr>
          <w:sz w:val="24"/>
          <w:szCs w:val="24"/>
        </w:rPr>
        <w:t>The analysis also gives four major points of risk i.e. discriminatory practices in AI-based credit scoring; lacks capacity to explain automated decision; cross-regulatory expectations; and reputational risk through failure of AI-related ethical practices. These are strategic risks that could undermine the market positioning and competitiveness of Barclays in the long term. The central thesis of the report is that the regulation of AI should not be a compliance measure, but rather an ethical standard, and the research facts supplied within it allow justifying this idea.</w:t>
      </w:r>
    </w:p>
    <w:p w14:paraId="0D807712" w14:textId="771F703F" w:rsidR="00825697" w:rsidRPr="00D11EE4" w:rsidRDefault="00361A6D" w:rsidP="00361A6D">
      <w:pPr>
        <w:spacing w:line="360" w:lineRule="auto"/>
        <w:jc w:val="both"/>
        <w:rPr>
          <w:sz w:val="24"/>
          <w:szCs w:val="24"/>
        </w:rPr>
      </w:pPr>
      <w:r w:rsidRPr="00D11EE4">
        <w:rPr>
          <w:sz w:val="24"/>
          <w:szCs w:val="24"/>
        </w:rPr>
        <w:t xml:space="preserve">The report suggests three </w:t>
      </w:r>
      <w:r w:rsidR="00254EDE">
        <w:rPr>
          <w:sz w:val="24"/>
          <w:szCs w:val="24"/>
        </w:rPr>
        <w:t>implementation steps, including short-term governance reforms (0-12 months), mid-term integration of Explainable AI (XAI) and fairness-conscious modelling (1-3 years), and long-term establishment of</w:t>
      </w:r>
      <w:r w:rsidRPr="00D11EE4">
        <w:rPr>
          <w:sz w:val="24"/>
          <w:szCs w:val="24"/>
        </w:rPr>
        <w:t xml:space="preserve"> ethical AI as a strategic differentiator (3-5 years). Recommendations are priced, outcome-based, and </w:t>
      </w:r>
      <w:r w:rsidR="00254EDE">
        <w:rPr>
          <w:sz w:val="24"/>
          <w:szCs w:val="24"/>
        </w:rPr>
        <w:t>include specific checklists</w:t>
      </w:r>
      <w:r w:rsidRPr="00D11EE4">
        <w:rPr>
          <w:sz w:val="24"/>
          <w:szCs w:val="24"/>
        </w:rPr>
        <w:t xml:space="preserve">. Barclays can also strategically position itself to set sector-wide standards </w:t>
      </w:r>
      <w:r w:rsidR="00254EDE">
        <w:rPr>
          <w:sz w:val="24"/>
          <w:szCs w:val="24"/>
        </w:rPr>
        <w:t>for responsible AI rather than</w:t>
      </w:r>
      <w:r w:rsidRPr="00D11EE4">
        <w:rPr>
          <w:sz w:val="24"/>
          <w:szCs w:val="24"/>
        </w:rPr>
        <w:t xml:space="preserve"> responding to external directives.</w:t>
      </w:r>
    </w:p>
    <w:p w14:paraId="2146D04E" w14:textId="77777777" w:rsidR="006B235C" w:rsidRPr="00D11EE4" w:rsidRDefault="009C1F85" w:rsidP="00D12CA8">
      <w:pPr>
        <w:rPr>
          <w:sz w:val="24"/>
          <w:szCs w:val="24"/>
        </w:rPr>
      </w:pPr>
      <w:r w:rsidRPr="00D11EE4">
        <w:rPr>
          <w:sz w:val="24"/>
          <w:szCs w:val="24"/>
        </w:rPr>
        <w:br w:type="page"/>
      </w:r>
    </w:p>
    <w:sdt>
      <w:sdtPr>
        <w:rPr>
          <w:rFonts w:ascii="Arial" w:eastAsia="Arial" w:hAnsi="Arial" w:cs="Arial"/>
          <w:color w:val="auto"/>
          <w:sz w:val="20"/>
          <w:szCs w:val="20"/>
        </w:rPr>
        <w:id w:val="785696993"/>
        <w:docPartObj>
          <w:docPartGallery w:val="Table of Contents"/>
          <w:docPartUnique/>
        </w:docPartObj>
      </w:sdtPr>
      <w:sdtEndPr>
        <w:rPr>
          <w:b/>
          <w:bCs/>
          <w:noProof/>
        </w:rPr>
      </w:sdtEndPr>
      <w:sdtContent>
        <w:p w14:paraId="34B205F2" w14:textId="5C7F36E8" w:rsidR="006B235C" w:rsidRPr="00D11EE4" w:rsidRDefault="006B235C" w:rsidP="00D11EE4">
          <w:pPr>
            <w:pStyle w:val="TOCHeading"/>
            <w:rPr>
              <w:rFonts w:ascii="Arial" w:hAnsi="Arial" w:cs="Arial"/>
            </w:rPr>
          </w:pPr>
          <w:r w:rsidRPr="00D11EE4">
            <w:rPr>
              <w:rFonts w:ascii="Arial" w:hAnsi="Arial" w:cs="Arial"/>
            </w:rPr>
            <w:t>Table of Contents</w:t>
          </w:r>
        </w:p>
        <w:p w14:paraId="1E6AA8A8" w14:textId="7E444347" w:rsidR="00D11EE4" w:rsidRPr="00965412" w:rsidRDefault="006B235C">
          <w:pPr>
            <w:pStyle w:val="TOC1"/>
            <w:tabs>
              <w:tab w:val="right" w:leader="dot" w:pos="9016"/>
            </w:tabs>
            <w:rPr>
              <w:rFonts w:eastAsiaTheme="minorEastAsia"/>
              <w:noProof/>
              <w:kern w:val="2"/>
              <w:sz w:val="32"/>
              <w:szCs w:val="32"/>
              <w14:ligatures w14:val="standardContextual"/>
            </w:rPr>
          </w:pPr>
          <w:r w:rsidRPr="00965412">
            <w:rPr>
              <w:sz w:val="24"/>
              <w:szCs w:val="24"/>
            </w:rPr>
            <w:fldChar w:fldCharType="begin"/>
          </w:r>
          <w:r w:rsidRPr="00965412">
            <w:rPr>
              <w:sz w:val="24"/>
              <w:szCs w:val="24"/>
            </w:rPr>
            <w:instrText xml:space="preserve"> TOC \o "1-3" \h \z \u </w:instrText>
          </w:r>
          <w:r w:rsidRPr="00965412">
            <w:rPr>
              <w:sz w:val="24"/>
              <w:szCs w:val="24"/>
            </w:rPr>
            <w:fldChar w:fldCharType="separate"/>
          </w:r>
          <w:hyperlink w:anchor="_Toc228047115" w:history="1">
            <w:r w:rsidR="00D11EE4" w:rsidRPr="00965412">
              <w:rPr>
                <w:rStyle w:val="Hyperlink"/>
                <w:noProof/>
                <w:sz w:val="24"/>
                <w:szCs w:val="24"/>
              </w:rPr>
              <w:t>Executive Summary</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_Toc228047115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2</w:t>
            </w:r>
            <w:r w:rsidR="00D11EE4" w:rsidRPr="00965412">
              <w:rPr>
                <w:noProof/>
                <w:webHidden/>
                <w:sz w:val="24"/>
                <w:szCs w:val="24"/>
              </w:rPr>
              <w:fldChar w:fldCharType="end"/>
            </w:r>
          </w:hyperlink>
        </w:p>
        <w:p w14:paraId="7CD4E7D4" w14:textId="79C32920" w:rsidR="00D11EE4" w:rsidRPr="00965412" w:rsidRDefault="0015439D">
          <w:pPr>
            <w:pStyle w:val="TOC1"/>
            <w:tabs>
              <w:tab w:val="left" w:pos="480"/>
              <w:tab w:val="right" w:leader="dot" w:pos="9016"/>
            </w:tabs>
            <w:rPr>
              <w:rFonts w:eastAsiaTheme="minorEastAsia"/>
              <w:noProof/>
              <w:kern w:val="2"/>
              <w:sz w:val="32"/>
              <w:szCs w:val="32"/>
              <w14:ligatures w14:val="standardContextual"/>
            </w:rPr>
          </w:pPr>
          <w:hyperlink w:anchor="_Toc228047116" w:history="1">
            <w:r w:rsidR="00D11EE4" w:rsidRPr="00965412">
              <w:rPr>
                <w:rStyle w:val="Hyperlink"/>
                <w:noProof/>
                <w:sz w:val="24"/>
                <w:szCs w:val="24"/>
              </w:rPr>
              <w:t>1.</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Introduction</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_Toc228047116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4</w:t>
            </w:r>
            <w:r w:rsidR="00D11EE4" w:rsidRPr="00965412">
              <w:rPr>
                <w:noProof/>
                <w:webHidden/>
                <w:sz w:val="24"/>
                <w:szCs w:val="24"/>
              </w:rPr>
              <w:fldChar w:fldCharType="end"/>
            </w:r>
          </w:hyperlink>
        </w:p>
        <w:p w14:paraId="0ECEB611" w14:textId="57EA0D5B" w:rsidR="00D11EE4" w:rsidRPr="00965412" w:rsidRDefault="0015439D">
          <w:pPr>
            <w:pStyle w:val="TOC1"/>
            <w:tabs>
              <w:tab w:val="left" w:pos="480"/>
              <w:tab w:val="right" w:leader="dot" w:pos="9016"/>
            </w:tabs>
            <w:rPr>
              <w:rFonts w:eastAsiaTheme="minorEastAsia"/>
              <w:noProof/>
              <w:kern w:val="2"/>
              <w:sz w:val="32"/>
              <w:szCs w:val="32"/>
              <w14:ligatures w14:val="standardContextual"/>
            </w:rPr>
          </w:pPr>
          <w:hyperlink w:anchor="_Toc228047117" w:history="1">
            <w:r w:rsidR="00D11EE4" w:rsidRPr="00965412">
              <w:rPr>
                <w:rStyle w:val="Hyperlink"/>
                <w:noProof/>
                <w:sz w:val="24"/>
                <w:szCs w:val="24"/>
              </w:rPr>
              <w:t>2.</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Company Overview and AI Context</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_Toc228047117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4</w:t>
            </w:r>
            <w:r w:rsidR="00D11EE4" w:rsidRPr="00965412">
              <w:rPr>
                <w:noProof/>
                <w:webHidden/>
                <w:sz w:val="24"/>
                <w:szCs w:val="24"/>
              </w:rPr>
              <w:fldChar w:fldCharType="end"/>
            </w:r>
          </w:hyperlink>
        </w:p>
        <w:p w14:paraId="2B2B5C01" w14:textId="6831A31D" w:rsidR="00D11EE4" w:rsidRPr="00965412" w:rsidRDefault="0015439D">
          <w:pPr>
            <w:pStyle w:val="TOC1"/>
            <w:tabs>
              <w:tab w:val="left" w:pos="480"/>
              <w:tab w:val="right" w:leader="dot" w:pos="9016"/>
            </w:tabs>
            <w:rPr>
              <w:rFonts w:eastAsiaTheme="minorEastAsia"/>
              <w:noProof/>
              <w:kern w:val="2"/>
              <w:sz w:val="32"/>
              <w:szCs w:val="32"/>
              <w14:ligatures w14:val="standardContextual"/>
            </w:rPr>
          </w:pPr>
          <w:hyperlink w:anchor="_Toc228047118" w:history="1">
            <w:r w:rsidR="00D11EE4" w:rsidRPr="00965412">
              <w:rPr>
                <w:rStyle w:val="Hyperlink"/>
                <w:noProof/>
                <w:sz w:val="24"/>
                <w:szCs w:val="24"/>
              </w:rPr>
              <w:t>3.</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PESTLE Analysis</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_Toc228047118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5</w:t>
            </w:r>
            <w:r w:rsidR="00D11EE4" w:rsidRPr="00965412">
              <w:rPr>
                <w:noProof/>
                <w:webHidden/>
                <w:sz w:val="24"/>
                <w:szCs w:val="24"/>
              </w:rPr>
              <w:fldChar w:fldCharType="end"/>
            </w:r>
          </w:hyperlink>
        </w:p>
        <w:p w14:paraId="39756430" w14:textId="0F8C343F"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19" w:history="1">
            <w:r w:rsidR="00D11EE4" w:rsidRPr="00965412">
              <w:rPr>
                <w:rStyle w:val="Hyperlink"/>
                <w:noProof/>
                <w:sz w:val="24"/>
                <w:szCs w:val="24"/>
              </w:rPr>
              <w:t>3.1</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Political and Regulatory Environment</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_Toc228047119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5</w:t>
            </w:r>
            <w:r w:rsidR="00D11EE4" w:rsidRPr="00965412">
              <w:rPr>
                <w:noProof/>
                <w:webHidden/>
                <w:sz w:val="24"/>
                <w:szCs w:val="24"/>
              </w:rPr>
              <w:fldChar w:fldCharType="end"/>
            </w:r>
          </w:hyperlink>
        </w:p>
        <w:p w14:paraId="67914666" w14:textId="425222CA"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20" w:history="1">
            <w:r w:rsidR="00D11EE4" w:rsidRPr="00965412">
              <w:rPr>
                <w:rStyle w:val="Hyperlink"/>
                <w:noProof/>
                <w:sz w:val="24"/>
                <w:szCs w:val="24"/>
              </w:rPr>
              <w:t>3.2</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Technological Change</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_Toc228047120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6</w:t>
            </w:r>
            <w:r w:rsidR="00D11EE4" w:rsidRPr="00965412">
              <w:rPr>
                <w:noProof/>
                <w:webHidden/>
                <w:sz w:val="24"/>
                <w:szCs w:val="24"/>
              </w:rPr>
              <w:fldChar w:fldCharType="end"/>
            </w:r>
          </w:hyperlink>
        </w:p>
        <w:p w14:paraId="4B46A367" w14:textId="732FBA0A"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21" w:history="1">
            <w:r w:rsidR="00D11EE4" w:rsidRPr="00965412">
              <w:rPr>
                <w:rStyle w:val="Hyperlink"/>
                <w:noProof/>
                <w:sz w:val="24"/>
                <w:szCs w:val="24"/>
              </w:rPr>
              <w:t>3.3</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Economic and Policy Context</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_Toc228047121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7</w:t>
            </w:r>
            <w:r w:rsidR="00D11EE4" w:rsidRPr="00965412">
              <w:rPr>
                <w:noProof/>
                <w:webHidden/>
                <w:sz w:val="24"/>
                <w:szCs w:val="24"/>
              </w:rPr>
              <w:fldChar w:fldCharType="end"/>
            </w:r>
          </w:hyperlink>
        </w:p>
        <w:p w14:paraId="6FF772EB" w14:textId="0A272448" w:rsidR="00D11EE4" w:rsidRPr="00965412" w:rsidRDefault="0015439D">
          <w:pPr>
            <w:pStyle w:val="TOC1"/>
            <w:tabs>
              <w:tab w:val="left" w:pos="480"/>
              <w:tab w:val="right" w:leader="dot" w:pos="9016"/>
            </w:tabs>
            <w:rPr>
              <w:rFonts w:eastAsiaTheme="minorEastAsia"/>
              <w:noProof/>
              <w:kern w:val="2"/>
              <w:sz w:val="32"/>
              <w:szCs w:val="32"/>
              <w14:ligatures w14:val="standardContextual"/>
            </w:rPr>
          </w:pPr>
          <w:hyperlink w:anchor="_Toc228047122" w:history="1">
            <w:r w:rsidR="00D11EE4" w:rsidRPr="00965412">
              <w:rPr>
                <w:rStyle w:val="Hyperlink"/>
                <w:noProof/>
                <w:sz w:val="24"/>
                <w:szCs w:val="24"/>
              </w:rPr>
              <w:t>4.</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AI Risk Management Analysis</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_Toc228047122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8</w:t>
            </w:r>
            <w:r w:rsidR="00D11EE4" w:rsidRPr="00965412">
              <w:rPr>
                <w:noProof/>
                <w:webHidden/>
                <w:sz w:val="24"/>
                <w:szCs w:val="24"/>
              </w:rPr>
              <w:fldChar w:fldCharType="end"/>
            </w:r>
          </w:hyperlink>
        </w:p>
        <w:p w14:paraId="03008CAC" w14:textId="2A625BD3"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23" w:history="1">
            <w:r w:rsidR="00D11EE4" w:rsidRPr="00965412">
              <w:rPr>
                <w:rStyle w:val="Hyperlink"/>
                <w:noProof/>
                <w:sz w:val="24"/>
                <w:szCs w:val="24"/>
              </w:rPr>
              <w:t>4.1</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Taxonomy of AI Risks in Credit Decision-Making</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_Toc228047123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8</w:t>
            </w:r>
            <w:r w:rsidR="00D11EE4" w:rsidRPr="00965412">
              <w:rPr>
                <w:noProof/>
                <w:webHidden/>
                <w:sz w:val="24"/>
                <w:szCs w:val="24"/>
              </w:rPr>
              <w:fldChar w:fldCharType="end"/>
            </w:r>
          </w:hyperlink>
        </w:p>
        <w:p w14:paraId="47215A28" w14:textId="5D1B22F8"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24" w:history="1">
            <w:r w:rsidR="00D11EE4" w:rsidRPr="00965412">
              <w:rPr>
                <w:rStyle w:val="Hyperlink"/>
                <w:noProof/>
                <w:sz w:val="24"/>
                <w:szCs w:val="24"/>
              </w:rPr>
              <w:t>4.2</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Risk Management Frameworks</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_Toc228047124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9</w:t>
            </w:r>
            <w:r w:rsidR="00D11EE4" w:rsidRPr="00965412">
              <w:rPr>
                <w:noProof/>
                <w:webHidden/>
                <w:sz w:val="24"/>
                <w:szCs w:val="24"/>
              </w:rPr>
              <w:fldChar w:fldCharType="end"/>
            </w:r>
          </w:hyperlink>
        </w:p>
        <w:p w14:paraId="658C88CC" w14:textId="6D8259F6"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25" w:history="1">
            <w:r w:rsidR="00D11EE4" w:rsidRPr="00965412">
              <w:rPr>
                <w:rStyle w:val="Hyperlink"/>
                <w:noProof/>
                <w:sz w:val="24"/>
                <w:szCs w:val="24"/>
              </w:rPr>
              <w:t>4.3</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Competitive Context: Porter's Five Forces</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_Toc228047125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10</w:t>
            </w:r>
            <w:r w:rsidR="00D11EE4" w:rsidRPr="00965412">
              <w:rPr>
                <w:noProof/>
                <w:webHidden/>
                <w:sz w:val="24"/>
                <w:szCs w:val="24"/>
              </w:rPr>
              <w:fldChar w:fldCharType="end"/>
            </w:r>
          </w:hyperlink>
        </w:p>
        <w:p w14:paraId="5B68E9E7" w14:textId="003AA6E1" w:rsidR="00D11EE4" w:rsidRPr="00965412" w:rsidRDefault="0015439D">
          <w:pPr>
            <w:pStyle w:val="TOC1"/>
            <w:tabs>
              <w:tab w:val="left" w:pos="480"/>
              <w:tab w:val="right" w:leader="dot" w:pos="9016"/>
            </w:tabs>
            <w:rPr>
              <w:rFonts w:eastAsiaTheme="minorEastAsia"/>
              <w:noProof/>
              <w:kern w:val="2"/>
              <w:sz w:val="32"/>
              <w:szCs w:val="32"/>
              <w14:ligatures w14:val="standardContextual"/>
            </w:rPr>
          </w:pPr>
          <w:hyperlink w:anchor="_Toc228047126" w:history="1">
            <w:r w:rsidR="00D11EE4" w:rsidRPr="00965412">
              <w:rPr>
                <w:rStyle w:val="Hyperlink"/>
                <w:noProof/>
                <w:sz w:val="24"/>
                <w:szCs w:val="24"/>
              </w:rPr>
              <w:t>5.</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Regulatory Comparison: UK and European Union</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_Toc228047126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12</w:t>
            </w:r>
            <w:r w:rsidR="00D11EE4" w:rsidRPr="00965412">
              <w:rPr>
                <w:noProof/>
                <w:webHidden/>
                <w:sz w:val="24"/>
                <w:szCs w:val="24"/>
              </w:rPr>
              <w:fldChar w:fldCharType="end"/>
            </w:r>
          </w:hyperlink>
        </w:p>
        <w:p w14:paraId="62E21D0E" w14:textId="30D64288"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27" w:history="1">
            <w:r w:rsidR="00D11EE4" w:rsidRPr="00965412">
              <w:rPr>
                <w:rStyle w:val="Hyperlink"/>
                <w:noProof/>
                <w:sz w:val="24"/>
                <w:szCs w:val="24"/>
              </w:rPr>
              <w:t>5.1</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The UK Regulatory Landscape</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_Toc228047127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12</w:t>
            </w:r>
            <w:r w:rsidR="00D11EE4" w:rsidRPr="00965412">
              <w:rPr>
                <w:noProof/>
                <w:webHidden/>
                <w:sz w:val="24"/>
                <w:szCs w:val="24"/>
              </w:rPr>
              <w:fldChar w:fldCharType="end"/>
            </w:r>
          </w:hyperlink>
        </w:p>
        <w:p w14:paraId="17818FA2" w14:textId="25245A02"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28" w:history="1">
            <w:r w:rsidR="00D11EE4" w:rsidRPr="00965412">
              <w:rPr>
                <w:rStyle w:val="Hyperlink"/>
                <w:noProof/>
                <w:sz w:val="24"/>
                <w:szCs w:val="24"/>
              </w:rPr>
              <w:t>5.2</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The EU Regulatory Landscape</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_Toc228047128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12</w:t>
            </w:r>
            <w:r w:rsidR="00D11EE4" w:rsidRPr="00965412">
              <w:rPr>
                <w:noProof/>
                <w:webHidden/>
                <w:sz w:val="24"/>
                <w:szCs w:val="24"/>
              </w:rPr>
              <w:fldChar w:fldCharType="end"/>
            </w:r>
          </w:hyperlink>
        </w:p>
        <w:p w14:paraId="607002C1" w14:textId="04039878"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29" w:history="1">
            <w:r w:rsidR="00D11EE4" w:rsidRPr="00965412">
              <w:rPr>
                <w:rStyle w:val="Hyperlink"/>
                <w:noProof/>
                <w:sz w:val="24"/>
                <w:szCs w:val="24"/>
              </w:rPr>
              <w:t>5.3</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Critical Evaluation of Regulatory Divergence</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_Toc228047129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13</w:t>
            </w:r>
            <w:r w:rsidR="00D11EE4" w:rsidRPr="00965412">
              <w:rPr>
                <w:noProof/>
                <w:webHidden/>
                <w:sz w:val="24"/>
                <w:szCs w:val="24"/>
              </w:rPr>
              <w:fldChar w:fldCharType="end"/>
            </w:r>
          </w:hyperlink>
        </w:p>
        <w:p w14:paraId="44269C33" w14:textId="3AD75C97" w:rsidR="00D11EE4" w:rsidRPr="00965412" w:rsidRDefault="0015439D">
          <w:pPr>
            <w:pStyle w:val="TOC1"/>
            <w:tabs>
              <w:tab w:val="left" w:pos="480"/>
              <w:tab w:val="right" w:leader="dot" w:pos="9016"/>
            </w:tabs>
            <w:rPr>
              <w:rFonts w:eastAsiaTheme="minorEastAsia"/>
              <w:noProof/>
              <w:kern w:val="2"/>
              <w:sz w:val="32"/>
              <w:szCs w:val="32"/>
              <w14:ligatures w14:val="standardContextual"/>
            </w:rPr>
          </w:pPr>
          <w:hyperlink w:anchor="_Toc228047130" w:history="1">
            <w:r w:rsidR="00D11EE4" w:rsidRPr="00965412">
              <w:rPr>
                <w:rStyle w:val="Hyperlink"/>
                <w:noProof/>
                <w:sz w:val="24"/>
                <w:szCs w:val="24"/>
              </w:rPr>
              <w:t>6.</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Data Governance and Ethical AI</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_Toc228047130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14</w:t>
            </w:r>
            <w:r w:rsidR="00D11EE4" w:rsidRPr="00965412">
              <w:rPr>
                <w:noProof/>
                <w:webHidden/>
                <w:sz w:val="24"/>
                <w:szCs w:val="24"/>
              </w:rPr>
              <w:fldChar w:fldCharType="end"/>
            </w:r>
          </w:hyperlink>
        </w:p>
        <w:p w14:paraId="1843348F" w14:textId="0E66EC27"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31" w:history="1">
            <w:r w:rsidR="00D11EE4" w:rsidRPr="00965412">
              <w:rPr>
                <w:rStyle w:val="Hyperlink"/>
                <w:noProof/>
                <w:sz w:val="24"/>
                <w:szCs w:val="24"/>
              </w:rPr>
              <w:t>6.1</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Algorithmic Fairness in Credit Scoring</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_Toc228047131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14</w:t>
            </w:r>
            <w:r w:rsidR="00D11EE4" w:rsidRPr="00965412">
              <w:rPr>
                <w:noProof/>
                <w:webHidden/>
                <w:sz w:val="24"/>
                <w:szCs w:val="24"/>
              </w:rPr>
              <w:fldChar w:fldCharType="end"/>
            </w:r>
          </w:hyperlink>
        </w:p>
        <w:p w14:paraId="6544183B" w14:textId="12F0BB33"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32" w:history="1">
            <w:r w:rsidR="00D11EE4" w:rsidRPr="00965412">
              <w:rPr>
                <w:rStyle w:val="Hyperlink"/>
                <w:noProof/>
                <w:sz w:val="24"/>
                <w:szCs w:val="24"/>
              </w:rPr>
              <w:t>6.2</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Explainability and Transparency</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_Toc228047132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15</w:t>
            </w:r>
            <w:r w:rsidR="00D11EE4" w:rsidRPr="00965412">
              <w:rPr>
                <w:noProof/>
                <w:webHidden/>
                <w:sz w:val="24"/>
                <w:szCs w:val="24"/>
              </w:rPr>
              <w:fldChar w:fldCharType="end"/>
            </w:r>
          </w:hyperlink>
        </w:p>
        <w:p w14:paraId="006277D0" w14:textId="15CEF4D0" w:rsidR="00D11EE4" w:rsidRPr="00965412" w:rsidRDefault="0015439D">
          <w:pPr>
            <w:pStyle w:val="TOC2"/>
            <w:tabs>
              <w:tab w:val="left" w:pos="720"/>
              <w:tab w:val="right" w:leader="dot" w:pos="9016"/>
            </w:tabs>
            <w:rPr>
              <w:rFonts w:eastAsiaTheme="minorEastAsia"/>
              <w:noProof/>
              <w:kern w:val="2"/>
              <w:sz w:val="32"/>
              <w:szCs w:val="32"/>
              <w14:ligatures w14:val="standardContextual"/>
            </w:rPr>
          </w:pPr>
          <w:hyperlink w:anchor="_Toc228047133" w:history="1">
            <w:r w:rsidR="00D11EE4" w:rsidRPr="00965412">
              <w:rPr>
                <w:rStyle w:val="Hyperlink"/>
                <w:noProof/>
                <w:sz w:val="24"/>
                <w:szCs w:val="24"/>
              </w:rPr>
              <w:t>6.3</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Customer Trust and Reputational Risk</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_Toc228047133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16</w:t>
            </w:r>
            <w:r w:rsidR="00D11EE4" w:rsidRPr="00965412">
              <w:rPr>
                <w:noProof/>
                <w:webHidden/>
                <w:sz w:val="24"/>
                <w:szCs w:val="24"/>
              </w:rPr>
              <w:fldChar w:fldCharType="end"/>
            </w:r>
          </w:hyperlink>
        </w:p>
        <w:p w14:paraId="5C9B1B03" w14:textId="73B6DCEC" w:rsidR="00D11EE4" w:rsidRPr="00965412" w:rsidRDefault="0015439D">
          <w:pPr>
            <w:pStyle w:val="TOC1"/>
            <w:tabs>
              <w:tab w:val="left" w:pos="480"/>
              <w:tab w:val="right" w:leader="dot" w:pos="9016"/>
            </w:tabs>
            <w:rPr>
              <w:rFonts w:eastAsiaTheme="minorEastAsia"/>
              <w:noProof/>
              <w:kern w:val="2"/>
              <w:sz w:val="32"/>
              <w:szCs w:val="32"/>
              <w14:ligatures w14:val="standardContextual"/>
            </w:rPr>
          </w:pPr>
          <w:hyperlink w:anchor="_Toc228047134" w:history="1">
            <w:r w:rsidR="00D11EE4" w:rsidRPr="00965412">
              <w:rPr>
                <w:rStyle w:val="Hyperlink"/>
                <w:noProof/>
                <w:sz w:val="24"/>
                <w:szCs w:val="24"/>
              </w:rPr>
              <w:t>7.</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Limitations</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_Toc228047134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17</w:t>
            </w:r>
            <w:r w:rsidR="00D11EE4" w:rsidRPr="00965412">
              <w:rPr>
                <w:noProof/>
                <w:webHidden/>
                <w:sz w:val="24"/>
                <w:szCs w:val="24"/>
              </w:rPr>
              <w:fldChar w:fldCharType="end"/>
            </w:r>
          </w:hyperlink>
        </w:p>
        <w:p w14:paraId="456821A0" w14:textId="25E32CB7" w:rsidR="00D11EE4" w:rsidRPr="00965412" w:rsidRDefault="0015439D">
          <w:pPr>
            <w:pStyle w:val="TOC1"/>
            <w:tabs>
              <w:tab w:val="left" w:pos="480"/>
              <w:tab w:val="right" w:leader="dot" w:pos="9016"/>
            </w:tabs>
            <w:rPr>
              <w:rFonts w:eastAsiaTheme="minorEastAsia"/>
              <w:noProof/>
              <w:kern w:val="2"/>
              <w:sz w:val="32"/>
              <w:szCs w:val="32"/>
              <w14:ligatures w14:val="standardContextual"/>
            </w:rPr>
          </w:pPr>
          <w:hyperlink w:anchor="_Toc228047135" w:history="1">
            <w:r w:rsidR="00D11EE4" w:rsidRPr="00965412">
              <w:rPr>
                <w:rStyle w:val="Hyperlink"/>
                <w:noProof/>
                <w:sz w:val="24"/>
                <w:szCs w:val="24"/>
              </w:rPr>
              <w:t>8.</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Implementation Plan</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_Toc228047135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18</w:t>
            </w:r>
            <w:r w:rsidR="00D11EE4" w:rsidRPr="00965412">
              <w:rPr>
                <w:noProof/>
                <w:webHidden/>
                <w:sz w:val="24"/>
                <w:szCs w:val="24"/>
              </w:rPr>
              <w:fldChar w:fldCharType="end"/>
            </w:r>
          </w:hyperlink>
        </w:p>
        <w:p w14:paraId="46DECFB1" w14:textId="3C7406EC" w:rsidR="00D11EE4" w:rsidRPr="00965412" w:rsidRDefault="0015439D">
          <w:pPr>
            <w:pStyle w:val="TOC1"/>
            <w:tabs>
              <w:tab w:val="left" w:pos="480"/>
              <w:tab w:val="right" w:leader="dot" w:pos="9016"/>
            </w:tabs>
            <w:rPr>
              <w:rFonts w:eastAsiaTheme="minorEastAsia"/>
              <w:noProof/>
              <w:kern w:val="2"/>
              <w:sz w:val="32"/>
              <w:szCs w:val="32"/>
              <w14:ligatures w14:val="standardContextual"/>
            </w:rPr>
          </w:pPr>
          <w:hyperlink w:anchor="_Toc228047136" w:history="1">
            <w:r w:rsidR="00D11EE4" w:rsidRPr="00965412">
              <w:rPr>
                <w:rStyle w:val="Hyperlink"/>
                <w:noProof/>
                <w:sz w:val="24"/>
                <w:szCs w:val="24"/>
              </w:rPr>
              <w:t>9.</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Conclusion</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_Toc228047136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22</w:t>
            </w:r>
            <w:r w:rsidR="00D11EE4" w:rsidRPr="00965412">
              <w:rPr>
                <w:noProof/>
                <w:webHidden/>
                <w:sz w:val="24"/>
                <w:szCs w:val="24"/>
              </w:rPr>
              <w:fldChar w:fldCharType="end"/>
            </w:r>
          </w:hyperlink>
        </w:p>
        <w:p w14:paraId="6CD28799" w14:textId="3A694BD4" w:rsidR="00D11EE4" w:rsidRPr="00965412" w:rsidRDefault="0015439D">
          <w:pPr>
            <w:pStyle w:val="TOC1"/>
            <w:tabs>
              <w:tab w:val="left" w:pos="720"/>
              <w:tab w:val="right" w:leader="dot" w:pos="9016"/>
            </w:tabs>
            <w:rPr>
              <w:rFonts w:eastAsiaTheme="minorEastAsia"/>
              <w:noProof/>
              <w:kern w:val="2"/>
              <w:sz w:val="32"/>
              <w:szCs w:val="32"/>
              <w14:ligatures w14:val="standardContextual"/>
            </w:rPr>
          </w:pPr>
          <w:hyperlink w:anchor="_Toc228047137" w:history="1">
            <w:r w:rsidR="00D11EE4" w:rsidRPr="00965412">
              <w:rPr>
                <w:rStyle w:val="Hyperlink"/>
                <w:noProof/>
                <w:sz w:val="24"/>
                <w:szCs w:val="24"/>
              </w:rPr>
              <w:t>10.</w:t>
            </w:r>
            <w:r w:rsidR="00D11EE4" w:rsidRPr="00965412">
              <w:rPr>
                <w:rFonts w:eastAsiaTheme="minorEastAsia"/>
                <w:noProof/>
                <w:kern w:val="2"/>
                <w:sz w:val="32"/>
                <w:szCs w:val="32"/>
                <w14:ligatures w14:val="standardContextual"/>
              </w:rPr>
              <w:tab/>
            </w:r>
            <w:r w:rsidR="00D11EE4" w:rsidRPr="00965412">
              <w:rPr>
                <w:rStyle w:val="Hyperlink"/>
                <w:noProof/>
                <w:sz w:val="24"/>
                <w:szCs w:val="24"/>
              </w:rPr>
              <w:t>Bibliography</w:t>
            </w:r>
            <w:r w:rsidR="00D11EE4" w:rsidRPr="00965412">
              <w:rPr>
                <w:noProof/>
                <w:webHidden/>
                <w:sz w:val="24"/>
                <w:szCs w:val="24"/>
              </w:rPr>
              <w:tab/>
            </w:r>
            <w:r w:rsidR="00D11EE4" w:rsidRPr="00965412">
              <w:rPr>
                <w:noProof/>
                <w:webHidden/>
                <w:sz w:val="24"/>
                <w:szCs w:val="24"/>
              </w:rPr>
              <w:fldChar w:fldCharType="begin"/>
            </w:r>
            <w:r w:rsidR="00D11EE4" w:rsidRPr="00965412">
              <w:rPr>
                <w:noProof/>
                <w:webHidden/>
                <w:sz w:val="24"/>
                <w:szCs w:val="24"/>
              </w:rPr>
              <w:instrText xml:space="preserve"> PAGEREF _Toc228047137 \h </w:instrText>
            </w:r>
            <w:r w:rsidR="00D11EE4" w:rsidRPr="00965412">
              <w:rPr>
                <w:noProof/>
                <w:webHidden/>
                <w:sz w:val="24"/>
                <w:szCs w:val="24"/>
              </w:rPr>
            </w:r>
            <w:r w:rsidR="00D11EE4" w:rsidRPr="00965412">
              <w:rPr>
                <w:noProof/>
                <w:webHidden/>
                <w:sz w:val="24"/>
                <w:szCs w:val="24"/>
              </w:rPr>
              <w:fldChar w:fldCharType="separate"/>
            </w:r>
            <w:r w:rsidR="00D11EE4" w:rsidRPr="00965412">
              <w:rPr>
                <w:noProof/>
                <w:webHidden/>
                <w:sz w:val="24"/>
                <w:szCs w:val="24"/>
              </w:rPr>
              <w:t>24</w:t>
            </w:r>
            <w:r w:rsidR="00D11EE4" w:rsidRPr="00965412">
              <w:rPr>
                <w:noProof/>
                <w:webHidden/>
                <w:sz w:val="24"/>
                <w:szCs w:val="24"/>
              </w:rPr>
              <w:fldChar w:fldCharType="end"/>
            </w:r>
          </w:hyperlink>
        </w:p>
        <w:p w14:paraId="2C9AE4F0" w14:textId="63A8F1AA" w:rsidR="006B235C" w:rsidRPr="00D11EE4" w:rsidRDefault="006B235C">
          <w:r w:rsidRPr="00965412">
            <w:rPr>
              <w:b/>
              <w:bCs/>
              <w:noProof/>
              <w:sz w:val="24"/>
              <w:szCs w:val="24"/>
            </w:rPr>
            <w:fldChar w:fldCharType="end"/>
          </w:r>
        </w:p>
      </w:sdtContent>
    </w:sdt>
    <w:p w14:paraId="36C5E84C" w14:textId="724A23A8" w:rsidR="00825697" w:rsidRPr="00D11EE4" w:rsidRDefault="00D12CA8" w:rsidP="00D12CA8">
      <w:pPr>
        <w:rPr>
          <w:sz w:val="24"/>
          <w:szCs w:val="24"/>
        </w:rPr>
      </w:pPr>
      <w:r w:rsidRPr="00D11EE4">
        <w:rPr>
          <w:sz w:val="24"/>
          <w:szCs w:val="24"/>
        </w:rPr>
        <w:br w:type="page"/>
      </w:r>
    </w:p>
    <w:p w14:paraId="729072FC" w14:textId="2F725154" w:rsidR="00825697" w:rsidRPr="00D11EE4" w:rsidRDefault="009C1F85" w:rsidP="00D11EE4">
      <w:pPr>
        <w:pStyle w:val="Heading1"/>
      </w:pPr>
      <w:bookmarkStart w:id="1" w:name="_Toc228047116"/>
      <w:r w:rsidRPr="00D11EE4">
        <w:lastRenderedPageBreak/>
        <w:t>Introduction</w:t>
      </w:r>
      <w:bookmarkEnd w:id="1"/>
    </w:p>
    <w:p w14:paraId="14CFC780" w14:textId="77777777" w:rsidR="00505A63" w:rsidRPr="00505A63" w:rsidRDefault="00361A6D" w:rsidP="00505A63">
      <w:pPr>
        <w:spacing w:line="360" w:lineRule="auto"/>
        <w:jc w:val="both"/>
        <w:rPr>
          <w:sz w:val="24"/>
          <w:szCs w:val="24"/>
        </w:rPr>
      </w:pPr>
      <w:r w:rsidRPr="00D11EE4">
        <w:rPr>
          <w:sz w:val="24"/>
          <w:szCs w:val="24"/>
        </w:rPr>
        <w:t xml:space="preserve">The spread of artificial intelligence within the financial services sector has shifted to experimental deployment to operational infrastructure. In the credit markets, machines have now taken over lending </w:t>
      </w:r>
      <w:r w:rsidR="00254EDE">
        <w:rPr>
          <w:sz w:val="24"/>
          <w:szCs w:val="24"/>
        </w:rPr>
        <w:t xml:space="preserve">decisions for millions of consumers, with claims of efficiency and accuracy, but systemic risks that regulators, academics, and civil society have only just begun to </w:t>
      </w:r>
      <w:proofErr w:type="spellStart"/>
      <w:r w:rsidR="00254EDE">
        <w:rPr>
          <w:sz w:val="24"/>
          <w:szCs w:val="24"/>
        </w:rPr>
        <w:t>scrutinise</w:t>
      </w:r>
      <w:proofErr w:type="spellEnd"/>
      <w:r w:rsidRPr="00D11EE4">
        <w:rPr>
          <w:sz w:val="24"/>
          <w:szCs w:val="24"/>
        </w:rPr>
        <w:t xml:space="preserve"> in their full dimensions. </w:t>
      </w:r>
      <w:r w:rsidR="00505A63" w:rsidRPr="00505A63">
        <w:rPr>
          <w:sz w:val="24"/>
          <w:szCs w:val="24"/>
        </w:rPr>
        <w:t>The implementation of AI in credit scoring and lending in the case of Barclays PLC, one of the most geographically diversified and the largest banking groups in the world, is not the future but a present reality with both short-term and long-term consequences of strategy.</w:t>
      </w:r>
    </w:p>
    <w:p w14:paraId="0225434F" w14:textId="77777777" w:rsidR="00505A63" w:rsidRPr="00505A63" w:rsidRDefault="00505A63" w:rsidP="00505A63">
      <w:pPr>
        <w:spacing w:line="360" w:lineRule="auto"/>
        <w:jc w:val="both"/>
        <w:rPr>
          <w:sz w:val="24"/>
          <w:szCs w:val="24"/>
        </w:rPr>
      </w:pPr>
      <w:r w:rsidRPr="00505A63">
        <w:rPr>
          <w:sz w:val="24"/>
          <w:szCs w:val="24"/>
        </w:rPr>
        <w:t xml:space="preserve">The report is presented to RFD Global in competition internship application and to top executives in Barclays risk, compliance and strategy areas. It is founded on the thesis that. </w:t>
      </w:r>
    </w:p>
    <w:p w14:paraId="6A93DDF3" w14:textId="77777777" w:rsidR="00505A63" w:rsidRPr="00505A63" w:rsidRDefault="00505A63" w:rsidP="00505A63">
      <w:pPr>
        <w:spacing w:line="360" w:lineRule="auto"/>
        <w:jc w:val="both"/>
        <w:rPr>
          <w:sz w:val="24"/>
          <w:szCs w:val="24"/>
        </w:rPr>
      </w:pPr>
      <w:r w:rsidRPr="00505A63">
        <w:rPr>
          <w:sz w:val="24"/>
          <w:szCs w:val="24"/>
        </w:rPr>
        <w:t>This report has been designed to be used on behalf of RFD Global as a competition internship application to a top decision-maker in the risk, compliance and strategy departments of Barclays. It is anchored on the main thesis that ethical AI governance is a precondition to competitive advantage and not a compliance issue. The primary distinguishing factor of retail banks is the trust of consumers, and the control of algorithmic systems is becoming increasingly more rigid. Those institutions that have observed fairness, explainability and accountability best will be at a better position when it comes to retaining their franchises and reshape the sector. The analysis, risk management and implementation sections that follow support the construction and support of this thesis.</w:t>
      </w:r>
    </w:p>
    <w:p w14:paraId="46346B75" w14:textId="45B6B295" w:rsidR="00825697" w:rsidRPr="00D11EE4" w:rsidRDefault="00505A63" w:rsidP="00505A63">
      <w:pPr>
        <w:spacing w:line="360" w:lineRule="auto"/>
        <w:jc w:val="both"/>
        <w:rPr>
          <w:sz w:val="24"/>
          <w:szCs w:val="24"/>
        </w:rPr>
      </w:pPr>
      <w:r w:rsidRPr="00505A63">
        <w:rPr>
          <w:sz w:val="24"/>
          <w:szCs w:val="24"/>
        </w:rPr>
        <w:t>Two regulatory environments have been analyzed, the United Kingdom and the European Union. It applies the PESTLE framework and Five Forces of Porter to put the problems of Barclays in the competition and macroeconomic context. The report focuses specifically on credit scoring and the automated decisions on lending, where the tension between the efficiency of operations and the ethical duty is the most acute. It comes after the discovery that the reactive compliance is not sufficient as a long-term strategic posture.</w:t>
      </w:r>
    </w:p>
    <w:p w14:paraId="640B44DD" w14:textId="6F1BD138" w:rsidR="00825697" w:rsidRPr="00D11EE4" w:rsidRDefault="009C1F85" w:rsidP="00D11EE4">
      <w:pPr>
        <w:pStyle w:val="Heading1"/>
      </w:pPr>
      <w:bookmarkStart w:id="2" w:name="_Toc228047117"/>
      <w:r w:rsidRPr="00D11EE4">
        <w:t>Company Overview and AI Context</w:t>
      </w:r>
      <w:bookmarkEnd w:id="2"/>
    </w:p>
    <w:p w14:paraId="151EC346" w14:textId="7BC0C269" w:rsidR="00361A6D" w:rsidRPr="00D11EE4" w:rsidRDefault="00361A6D" w:rsidP="00361A6D">
      <w:pPr>
        <w:spacing w:line="360" w:lineRule="auto"/>
        <w:jc w:val="both"/>
        <w:rPr>
          <w:sz w:val="24"/>
          <w:szCs w:val="24"/>
        </w:rPr>
      </w:pPr>
      <w:r w:rsidRPr="00D11EE4">
        <w:rPr>
          <w:sz w:val="24"/>
          <w:szCs w:val="24"/>
        </w:rPr>
        <w:t>Barclays PLC is a universal British multinational bank based in London</w:t>
      </w:r>
      <w:r w:rsidR="00254EDE">
        <w:rPr>
          <w:sz w:val="24"/>
          <w:szCs w:val="24"/>
        </w:rPr>
        <w:t>, operating in over 40 countries, employing around 83,500 people, and possessing total assets of</w:t>
      </w:r>
      <w:r w:rsidRPr="00D11EE4">
        <w:rPr>
          <w:sz w:val="24"/>
          <w:szCs w:val="24"/>
        </w:rPr>
        <w:t xml:space="preserve"> more than 1.5 trillion (Barclays, 2024b). The company has two major divisions</w:t>
      </w:r>
      <w:r w:rsidR="00254EDE">
        <w:rPr>
          <w:sz w:val="24"/>
          <w:szCs w:val="24"/>
        </w:rPr>
        <w:t xml:space="preserve">: </w:t>
      </w:r>
      <w:r w:rsidR="00254EDE">
        <w:rPr>
          <w:sz w:val="24"/>
          <w:szCs w:val="24"/>
        </w:rPr>
        <w:lastRenderedPageBreak/>
        <w:t>Barclays UK, which serves retail and small-business customers, and Barclays International, which includes corporate and investment banking, as well as</w:t>
      </w:r>
      <w:r w:rsidRPr="00D11EE4">
        <w:rPr>
          <w:sz w:val="24"/>
          <w:szCs w:val="24"/>
        </w:rPr>
        <w:t xml:space="preserve"> a large consumer credit portfolio in the United States. This two-jurisdiction exposure means that Barclays is </w:t>
      </w:r>
      <w:r w:rsidR="00254EDE">
        <w:rPr>
          <w:sz w:val="24"/>
          <w:szCs w:val="24"/>
        </w:rPr>
        <w:t>simultaneously subject to the principles-based regulatory regime of the UK and the more prescriptive</w:t>
      </w:r>
      <w:r w:rsidRPr="00D11EE4">
        <w:rPr>
          <w:sz w:val="24"/>
          <w:szCs w:val="24"/>
        </w:rPr>
        <w:t xml:space="preserve"> legislative regime of the EU.</w:t>
      </w:r>
    </w:p>
    <w:p w14:paraId="697E43D4" w14:textId="3CF29D60" w:rsidR="00825697" w:rsidRPr="00D11EE4" w:rsidRDefault="00361A6D" w:rsidP="00361A6D">
      <w:pPr>
        <w:spacing w:line="360" w:lineRule="auto"/>
        <w:jc w:val="both"/>
        <w:rPr>
          <w:sz w:val="24"/>
          <w:szCs w:val="24"/>
        </w:rPr>
      </w:pPr>
      <w:r w:rsidRPr="00D11EE4">
        <w:rPr>
          <w:sz w:val="24"/>
          <w:szCs w:val="24"/>
        </w:rPr>
        <w:t xml:space="preserve">Barclays has </w:t>
      </w:r>
      <w:r w:rsidR="00254EDE">
        <w:rPr>
          <w:sz w:val="24"/>
          <w:szCs w:val="24"/>
        </w:rPr>
        <w:t>made</w:t>
      </w:r>
      <w:r w:rsidRPr="00D11EE4">
        <w:rPr>
          <w:sz w:val="24"/>
          <w:szCs w:val="24"/>
        </w:rPr>
        <w:t xml:space="preserve"> a significant investment in machine learning and AI. The 2024 annual report </w:t>
      </w:r>
      <w:proofErr w:type="spellStart"/>
      <w:r w:rsidRPr="00D11EE4">
        <w:rPr>
          <w:sz w:val="24"/>
          <w:szCs w:val="24"/>
        </w:rPr>
        <w:t>recognises</w:t>
      </w:r>
      <w:proofErr w:type="spellEnd"/>
      <w:r w:rsidRPr="00D11EE4">
        <w:rPr>
          <w:sz w:val="24"/>
          <w:szCs w:val="24"/>
        </w:rPr>
        <w:t xml:space="preserve"> the use of AI in the bank to model credit risk, detect fraud, </w:t>
      </w:r>
      <w:proofErr w:type="spellStart"/>
      <w:r w:rsidRPr="00D11EE4">
        <w:rPr>
          <w:sz w:val="24"/>
          <w:szCs w:val="24"/>
        </w:rPr>
        <w:t>analyse</w:t>
      </w:r>
      <w:proofErr w:type="spellEnd"/>
      <w:r w:rsidRPr="00D11EE4">
        <w:rPr>
          <w:sz w:val="24"/>
          <w:szCs w:val="24"/>
        </w:rPr>
        <w:t xml:space="preserve"> customer </w:t>
      </w:r>
      <w:proofErr w:type="spellStart"/>
      <w:r w:rsidRPr="00D11EE4">
        <w:rPr>
          <w:sz w:val="24"/>
          <w:szCs w:val="24"/>
        </w:rPr>
        <w:t>behaviour</w:t>
      </w:r>
      <w:proofErr w:type="spellEnd"/>
      <w:r w:rsidRPr="00D11EE4">
        <w:rPr>
          <w:sz w:val="24"/>
          <w:szCs w:val="24"/>
        </w:rPr>
        <w:t xml:space="preserve">, and </w:t>
      </w:r>
      <w:proofErr w:type="spellStart"/>
      <w:r w:rsidR="00254EDE">
        <w:rPr>
          <w:sz w:val="24"/>
          <w:szCs w:val="24"/>
        </w:rPr>
        <w:t>optimise</w:t>
      </w:r>
      <w:proofErr w:type="spellEnd"/>
      <w:r w:rsidRPr="00D11EE4">
        <w:rPr>
          <w:sz w:val="24"/>
          <w:szCs w:val="24"/>
        </w:rPr>
        <w:t xml:space="preserve"> operations, but </w:t>
      </w:r>
      <w:r w:rsidR="00254EDE">
        <w:rPr>
          <w:sz w:val="24"/>
          <w:szCs w:val="24"/>
        </w:rPr>
        <w:t>also</w:t>
      </w:r>
      <w:r w:rsidRPr="00D11EE4">
        <w:rPr>
          <w:sz w:val="24"/>
          <w:szCs w:val="24"/>
        </w:rPr>
        <w:t xml:space="preserve"> notes AI-related model risk, data governance lapses, and regulatory uncertainty as significant risk factors (Barclays, 2024a). This is a frank admission of a wider industry truth: a survey of AI adoption in UK financial services, commissioned by the Bank of England (2024), revealed that machine learning models have become embedded into primary credit decision pipelines of most of the largest retail banks, but internal governance structures often remain behind the implementation. The main issue </w:t>
      </w:r>
      <w:r w:rsidR="00254EDE">
        <w:rPr>
          <w:sz w:val="24"/>
          <w:szCs w:val="24"/>
        </w:rPr>
        <w:t xml:space="preserve">this report will address is the discrepancy between what Barclays has committed to in terms of governance (Barclays, 2022) and what is actually done in </w:t>
      </w:r>
      <w:r w:rsidRPr="00D11EE4">
        <w:rPr>
          <w:sz w:val="24"/>
          <w:szCs w:val="24"/>
        </w:rPr>
        <w:t>model development and output monitoring.</w:t>
      </w:r>
    </w:p>
    <w:p w14:paraId="2BFCFBDA" w14:textId="6976BEC1" w:rsidR="00825697" w:rsidRPr="00D11EE4" w:rsidRDefault="009C1F85" w:rsidP="00D11EE4">
      <w:pPr>
        <w:pStyle w:val="Heading1"/>
      </w:pPr>
      <w:bookmarkStart w:id="3" w:name="_Toc228047118"/>
      <w:r w:rsidRPr="00D11EE4">
        <w:t>PESTLE Analysis</w:t>
      </w:r>
      <w:bookmarkEnd w:id="3"/>
    </w:p>
    <w:p w14:paraId="4C6897A6" w14:textId="77777777" w:rsidR="00752CE8" w:rsidRPr="00D11EE4" w:rsidRDefault="00752CE8" w:rsidP="00696072">
      <w:r w:rsidRPr="00D11EE4">
        <w:rPr>
          <w:noProof/>
        </w:rPr>
        <w:drawing>
          <wp:inline distT="0" distB="0" distL="0" distR="0" wp14:anchorId="2754FC96" wp14:editId="5576C37E">
            <wp:extent cx="5596890" cy="2491740"/>
            <wp:effectExtent l="0" t="0" r="3810" b="3810"/>
            <wp:docPr id="1090959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5596890" cy="2491740"/>
                    </a:xfrm>
                    <a:prstGeom prst="rect">
                      <a:avLst/>
                    </a:prstGeom>
                    <a:noFill/>
                    <a:ln>
                      <a:noFill/>
                    </a:ln>
                    <a:extLst>
                      <a:ext uri="{53640926-AAD7-44D8-BBD7-CCE9431645EC}">
                        <a14:shadowObscured xmlns:a14="http://schemas.microsoft.com/office/drawing/2010/main"/>
                      </a:ext>
                    </a:extLst>
                  </pic:spPr>
                </pic:pic>
              </a:graphicData>
            </a:graphic>
          </wp:inline>
        </w:drawing>
      </w:r>
    </w:p>
    <w:p w14:paraId="6CCDB7AA" w14:textId="2F667D78" w:rsidR="00752CE8" w:rsidRPr="00D11EE4" w:rsidRDefault="00752CE8" w:rsidP="000412E1">
      <w:pPr>
        <w:pStyle w:val="Caption"/>
        <w:spacing w:after="0" w:line="360" w:lineRule="auto"/>
        <w:rPr>
          <w:sz w:val="24"/>
          <w:szCs w:val="24"/>
        </w:rPr>
      </w:pPr>
      <w:r w:rsidRPr="00D11EE4">
        <w:t xml:space="preserve">Figure </w:t>
      </w:r>
      <w:r w:rsidR="0015439D">
        <w:fldChar w:fldCharType="begin"/>
      </w:r>
      <w:r w:rsidR="0015439D">
        <w:instrText xml:space="preserve"> SEQ Figure \* ARABIC </w:instrText>
      </w:r>
      <w:r w:rsidR="0015439D">
        <w:fldChar w:fldCharType="separate"/>
      </w:r>
      <w:r w:rsidR="000412E1" w:rsidRPr="00D11EE4">
        <w:rPr>
          <w:noProof/>
        </w:rPr>
        <w:t>1</w:t>
      </w:r>
      <w:r w:rsidR="0015439D">
        <w:rPr>
          <w:noProof/>
        </w:rPr>
        <w:fldChar w:fldCharType="end"/>
      </w:r>
      <w:r w:rsidRPr="00D11EE4">
        <w:t xml:space="preserve">: PESTLE factors influencing AI credit decision </w:t>
      </w:r>
      <w:r w:rsidR="00254EDE">
        <w:t>environment</w:t>
      </w:r>
      <w:r w:rsidRPr="00D11EE4">
        <w:t xml:space="preserve"> (Self-made)</w:t>
      </w:r>
    </w:p>
    <w:p w14:paraId="235699E3" w14:textId="0F4595CE" w:rsidR="00825697" w:rsidRPr="00D11EE4" w:rsidRDefault="009C1F85" w:rsidP="00BE7BB0">
      <w:pPr>
        <w:pStyle w:val="Heading2"/>
      </w:pPr>
      <w:bookmarkStart w:id="4" w:name="_Toc228047119"/>
      <w:r w:rsidRPr="00D11EE4">
        <w:t>Political and Regulatory Environment</w:t>
      </w:r>
      <w:bookmarkEnd w:id="4"/>
    </w:p>
    <w:p w14:paraId="6787A8A9" w14:textId="6D3FF04D" w:rsidR="00361A6D" w:rsidRPr="00D11EE4" w:rsidRDefault="00361A6D" w:rsidP="00361A6D">
      <w:pPr>
        <w:spacing w:line="360" w:lineRule="auto"/>
        <w:jc w:val="both"/>
        <w:rPr>
          <w:sz w:val="24"/>
          <w:szCs w:val="24"/>
        </w:rPr>
      </w:pPr>
      <w:r w:rsidRPr="00D11EE4">
        <w:rPr>
          <w:sz w:val="24"/>
          <w:szCs w:val="24"/>
        </w:rPr>
        <w:t xml:space="preserve">The political and regulatory context of AI in financial services is defined by both pressure on one hand, on national regulatory reform, and at the same time, on the other, on the international level, and increased parliamentary oversight of automated decision-making. The 2023 white paper on AI regulation by the UK government </w:t>
      </w:r>
      <w:r w:rsidR="00254EDE">
        <w:rPr>
          <w:sz w:val="24"/>
          <w:szCs w:val="24"/>
        </w:rPr>
        <w:lastRenderedPageBreak/>
        <w:t>adopted a notably non-regulatory, principles-based framework and shared regulation across the current sectoral regulators, rather than</w:t>
      </w:r>
      <w:r w:rsidRPr="00D11EE4">
        <w:rPr>
          <w:sz w:val="24"/>
          <w:szCs w:val="24"/>
        </w:rPr>
        <w:t xml:space="preserve"> creating a dedicated AI regulator (GOV.UK, 2023). This attitude of promoting innovation </w:t>
      </w:r>
      <w:r w:rsidR="00254EDE">
        <w:rPr>
          <w:sz w:val="24"/>
          <w:szCs w:val="24"/>
        </w:rPr>
        <w:t>creates uncertainty in governance, as firms interpret general principles into their own operational requirements</w:t>
      </w:r>
      <w:r w:rsidRPr="00D11EE4">
        <w:rPr>
          <w:sz w:val="24"/>
          <w:szCs w:val="24"/>
        </w:rPr>
        <w:t>.</w:t>
      </w:r>
    </w:p>
    <w:p w14:paraId="418B3119" w14:textId="645B50D6" w:rsidR="00825697" w:rsidRPr="00D11EE4" w:rsidRDefault="00361A6D" w:rsidP="00361A6D">
      <w:pPr>
        <w:spacing w:line="360" w:lineRule="auto"/>
        <w:jc w:val="both"/>
        <w:rPr>
          <w:sz w:val="24"/>
          <w:szCs w:val="24"/>
        </w:rPr>
      </w:pPr>
      <w:r w:rsidRPr="00D11EE4">
        <w:rPr>
          <w:sz w:val="24"/>
          <w:szCs w:val="24"/>
        </w:rPr>
        <w:t xml:space="preserve">The primary responsibility in AI regulation in retail credit markets has been taken over by the Financial Conduct Authority (FCA). The introduction of its Consumer Duty in 2022 </w:t>
      </w:r>
      <w:r w:rsidR="00254EDE">
        <w:rPr>
          <w:sz w:val="24"/>
          <w:szCs w:val="24"/>
        </w:rPr>
        <w:t>imposes a substantive duty to deliver good outcomes for retail customers, and this</w:t>
      </w:r>
      <w:r w:rsidRPr="00D11EE4">
        <w:rPr>
          <w:sz w:val="24"/>
          <w:szCs w:val="24"/>
        </w:rPr>
        <w:t xml:space="preserve"> duty is expressly applied to automated decision-making processes (FCA, 2022a). The </w:t>
      </w:r>
      <w:r w:rsidR="00254EDE">
        <w:rPr>
          <w:sz w:val="24"/>
          <w:szCs w:val="24"/>
        </w:rPr>
        <w:t xml:space="preserve">FCA's feedback statement on AI and machine learning is an indicator of the regulator shifting towards more proactive supervision of model risk management, without yet prescribing technical standards </w:t>
      </w:r>
      <w:r w:rsidRPr="00D11EE4">
        <w:rPr>
          <w:sz w:val="24"/>
          <w:szCs w:val="24"/>
        </w:rPr>
        <w:t xml:space="preserve">(FCA, 2022b). The government guidance on applying AI regulatory principles in 2024 asks regulators to incorporate five AI principles safety, transparency, fairness, accountability, and contestability into the existing supervisory frameworks, i.e. model governance should be integrated in the Senior Managers and Certification Regime (SM&amp;CR) infrastructure (GOV.UK, 2024). The political intent to take action against perceived AI discrimination is strong, supported by the </w:t>
      </w:r>
      <w:r w:rsidR="00254EDE">
        <w:rPr>
          <w:sz w:val="24"/>
          <w:szCs w:val="24"/>
        </w:rPr>
        <w:t>2020 review of algorithmic bias, which found that automated systems were generating discriminatory results based on race and socioeconomic status,</w:t>
      </w:r>
      <w:r w:rsidRPr="00D11EE4">
        <w:rPr>
          <w:sz w:val="24"/>
          <w:szCs w:val="24"/>
        </w:rPr>
        <w:t xml:space="preserve"> with insufficient mechanisms to challenge them (GOV.UK, 2020). The increased involvement of responsible AI in ESG disclosure systems also increases the pressure in politics and institutions (</w:t>
      </w:r>
      <w:proofErr w:type="spellStart"/>
      <w:r w:rsidRPr="00D11EE4">
        <w:rPr>
          <w:sz w:val="24"/>
          <w:szCs w:val="24"/>
        </w:rPr>
        <w:t>Vukovic</w:t>
      </w:r>
      <w:proofErr w:type="spellEnd"/>
      <w:r w:rsidRPr="00D11EE4">
        <w:rPr>
          <w:sz w:val="24"/>
          <w:szCs w:val="24"/>
        </w:rPr>
        <w:t xml:space="preserve">, </w:t>
      </w:r>
      <w:proofErr w:type="spellStart"/>
      <w:r w:rsidRPr="00D11EE4">
        <w:rPr>
          <w:sz w:val="24"/>
          <w:szCs w:val="24"/>
        </w:rPr>
        <w:t>Dekpo-Adza</w:t>
      </w:r>
      <w:proofErr w:type="spellEnd"/>
      <w:r w:rsidRPr="00D11EE4">
        <w:rPr>
          <w:sz w:val="24"/>
          <w:szCs w:val="24"/>
        </w:rPr>
        <w:t xml:space="preserve">, and </w:t>
      </w:r>
      <w:proofErr w:type="spellStart"/>
      <w:r w:rsidRPr="00D11EE4">
        <w:rPr>
          <w:sz w:val="24"/>
          <w:szCs w:val="24"/>
        </w:rPr>
        <w:t>Matovic</w:t>
      </w:r>
      <w:proofErr w:type="spellEnd"/>
      <w:r w:rsidRPr="00D11EE4">
        <w:rPr>
          <w:sz w:val="24"/>
          <w:szCs w:val="24"/>
        </w:rPr>
        <w:t>, 2025).</w:t>
      </w:r>
    </w:p>
    <w:p w14:paraId="13E77103" w14:textId="588CB06F" w:rsidR="00825697" w:rsidRPr="00D11EE4" w:rsidRDefault="009C1F85" w:rsidP="00BE7BB0">
      <w:pPr>
        <w:pStyle w:val="Heading2"/>
      </w:pPr>
      <w:bookmarkStart w:id="5" w:name="_Toc228047120"/>
      <w:r w:rsidRPr="00D11EE4">
        <w:t>Technological Change</w:t>
      </w:r>
      <w:bookmarkEnd w:id="5"/>
    </w:p>
    <w:p w14:paraId="51908348" w14:textId="5796637B" w:rsidR="00361A6D" w:rsidRPr="00D11EE4" w:rsidRDefault="00361A6D" w:rsidP="00361A6D">
      <w:pPr>
        <w:spacing w:line="360" w:lineRule="auto"/>
        <w:jc w:val="both"/>
        <w:rPr>
          <w:sz w:val="24"/>
          <w:szCs w:val="24"/>
        </w:rPr>
      </w:pPr>
      <w:r w:rsidRPr="00D11EE4">
        <w:rPr>
          <w:sz w:val="24"/>
          <w:szCs w:val="24"/>
        </w:rPr>
        <w:t xml:space="preserve">The technology behind the AI-based credit scoring has changed significantly, as the gradient boosting algorithms, deep neural networks, and ensemble models have replaced the traditional logistic regression throughout the industry. The report on machine learning in UK financial services by the Bank of England (2022) cited this interpretability deficit as the biggest governance issue in the sector, with the most accurate models being the least transparent about how they make their decisions. This systematic review by Helmi </w:t>
      </w:r>
      <w:proofErr w:type="spellStart"/>
      <w:r w:rsidRPr="00D11EE4">
        <w:rPr>
          <w:sz w:val="24"/>
          <w:szCs w:val="24"/>
        </w:rPr>
        <w:t>Ayari</w:t>
      </w:r>
      <w:proofErr w:type="spellEnd"/>
      <w:r w:rsidRPr="00D11EE4">
        <w:rPr>
          <w:sz w:val="24"/>
          <w:szCs w:val="24"/>
        </w:rPr>
        <w:t xml:space="preserve">, </w:t>
      </w:r>
      <w:proofErr w:type="spellStart"/>
      <w:r w:rsidRPr="00D11EE4">
        <w:rPr>
          <w:sz w:val="24"/>
          <w:szCs w:val="24"/>
        </w:rPr>
        <w:t>Guetari</w:t>
      </w:r>
      <w:proofErr w:type="spellEnd"/>
      <w:r w:rsidR="00254EDE">
        <w:rPr>
          <w:sz w:val="24"/>
          <w:szCs w:val="24"/>
        </w:rPr>
        <w:t xml:space="preserve">, and </w:t>
      </w:r>
      <w:proofErr w:type="spellStart"/>
      <w:r w:rsidR="00254EDE">
        <w:rPr>
          <w:sz w:val="24"/>
          <w:szCs w:val="24"/>
        </w:rPr>
        <w:t>Kraiem</w:t>
      </w:r>
      <w:proofErr w:type="spellEnd"/>
      <w:r w:rsidR="00254EDE">
        <w:rPr>
          <w:sz w:val="24"/>
          <w:szCs w:val="24"/>
        </w:rPr>
        <w:t xml:space="preserve"> (2025) confirms that performance-interpretability trade-offs continue to be a characteristic of state-of-the-art credit scoring systems, and that agreement is needed on how institutions ought to handle the tension between the two within</w:t>
      </w:r>
      <w:r w:rsidRPr="00D11EE4">
        <w:rPr>
          <w:sz w:val="24"/>
          <w:szCs w:val="24"/>
        </w:rPr>
        <w:t xml:space="preserve"> regulatory expectations.</w:t>
      </w:r>
    </w:p>
    <w:p w14:paraId="348C06FD" w14:textId="5CBABF3D" w:rsidR="00825697" w:rsidRPr="00D11EE4" w:rsidRDefault="00505A63" w:rsidP="00361A6D">
      <w:pPr>
        <w:spacing w:line="360" w:lineRule="auto"/>
        <w:jc w:val="both"/>
        <w:rPr>
          <w:sz w:val="24"/>
          <w:szCs w:val="24"/>
        </w:rPr>
      </w:pPr>
      <w:r w:rsidRPr="00505A63">
        <w:rPr>
          <w:sz w:val="24"/>
          <w:szCs w:val="24"/>
        </w:rPr>
        <w:lastRenderedPageBreak/>
        <w:t xml:space="preserve">Open banking data and </w:t>
      </w:r>
      <w:proofErr w:type="spellStart"/>
      <w:r w:rsidRPr="00505A63">
        <w:rPr>
          <w:sz w:val="24"/>
          <w:szCs w:val="24"/>
        </w:rPr>
        <w:t>behavioural</w:t>
      </w:r>
      <w:proofErr w:type="spellEnd"/>
      <w:r w:rsidRPr="00505A63">
        <w:rPr>
          <w:sz w:val="24"/>
          <w:szCs w:val="24"/>
        </w:rPr>
        <w:t xml:space="preserve"> analytics, among other alternative data, are the new sources of credit scoring pipelines and they pose profound questions on data provenance and bias. The inclusion of non-traditional data, whether deliberately or not, can be a surrogate of the attribute that has been preserved, leading to discriminatory results, which are difficult to detect according to traditional validation tools. It is against this that new Explainable AI (XAI) software, including SHAP, LIME, and post-hoc interpretability techniques, could provide viable technical solutions to the problem of opacity, and a systematic review by Yeo et al. (2025) has shown that such techniques are being increasingly empirically validated in financial applications.</w:t>
      </w:r>
    </w:p>
    <w:p w14:paraId="7AF4F737" w14:textId="0DED0B39" w:rsidR="00825697" w:rsidRPr="00D11EE4" w:rsidRDefault="009C1F85" w:rsidP="00BE7BB0">
      <w:pPr>
        <w:pStyle w:val="Heading2"/>
      </w:pPr>
      <w:bookmarkStart w:id="6" w:name="_Toc228047121"/>
      <w:r w:rsidRPr="00D11EE4">
        <w:t>Economic and Policy Context</w:t>
      </w:r>
      <w:bookmarkEnd w:id="6"/>
    </w:p>
    <w:p w14:paraId="22BCFAFC" w14:textId="7F13C6D4" w:rsidR="00825697" w:rsidRPr="00D11EE4" w:rsidRDefault="00361A6D" w:rsidP="000412E1">
      <w:pPr>
        <w:spacing w:line="360" w:lineRule="auto"/>
        <w:jc w:val="both"/>
        <w:rPr>
          <w:sz w:val="24"/>
          <w:szCs w:val="24"/>
        </w:rPr>
      </w:pPr>
      <w:r w:rsidRPr="00D11EE4">
        <w:rPr>
          <w:sz w:val="24"/>
          <w:szCs w:val="24"/>
        </w:rPr>
        <w:t xml:space="preserve">The macroeconomic environment </w:t>
      </w:r>
      <w:r w:rsidR="00254EDE">
        <w:rPr>
          <w:sz w:val="24"/>
          <w:szCs w:val="24"/>
        </w:rPr>
        <w:t>significantly affects</w:t>
      </w:r>
      <w:r w:rsidRPr="00D11EE4">
        <w:rPr>
          <w:sz w:val="24"/>
          <w:szCs w:val="24"/>
        </w:rPr>
        <w:t xml:space="preserve"> the risk profile of AI-based credit models. Pre-pandemic trained models were systematically </w:t>
      </w:r>
      <w:proofErr w:type="spellStart"/>
      <w:r w:rsidRPr="00D11EE4">
        <w:rPr>
          <w:sz w:val="24"/>
          <w:szCs w:val="24"/>
        </w:rPr>
        <w:t>miscalibrated</w:t>
      </w:r>
      <w:proofErr w:type="spellEnd"/>
      <w:r w:rsidRPr="00D11EE4">
        <w:rPr>
          <w:sz w:val="24"/>
          <w:szCs w:val="24"/>
        </w:rPr>
        <w:t xml:space="preserve"> </w:t>
      </w:r>
      <w:r w:rsidR="00254EDE">
        <w:rPr>
          <w:sz w:val="24"/>
          <w:szCs w:val="24"/>
        </w:rPr>
        <w:t xml:space="preserve">during the COVID-19 economic shock, as </w:t>
      </w:r>
      <w:proofErr w:type="spellStart"/>
      <w:r w:rsidR="00254EDE">
        <w:rPr>
          <w:sz w:val="24"/>
          <w:szCs w:val="24"/>
        </w:rPr>
        <w:t>behavioural</w:t>
      </w:r>
      <w:proofErr w:type="spellEnd"/>
      <w:r w:rsidR="00254EDE">
        <w:rPr>
          <w:sz w:val="24"/>
          <w:szCs w:val="24"/>
        </w:rPr>
        <w:t xml:space="preserve"> patterns were no longer representative of</w:t>
      </w:r>
      <w:r w:rsidRPr="00D11EE4">
        <w:rPr>
          <w:sz w:val="24"/>
          <w:szCs w:val="24"/>
        </w:rPr>
        <w:t xml:space="preserve"> the past. The </w:t>
      </w:r>
      <w:r w:rsidR="00254EDE">
        <w:rPr>
          <w:sz w:val="24"/>
          <w:szCs w:val="24"/>
        </w:rPr>
        <w:t xml:space="preserve">current wave of high inflation and rising interest rates has added further pressure on consumer credit portfolios, heightening the stakes for credit scoring accuracy and the </w:t>
      </w:r>
      <w:r w:rsidRPr="00D11EE4">
        <w:rPr>
          <w:sz w:val="24"/>
          <w:szCs w:val="24"/>
        </w:rPr>
        <w:t xml:space="preserve">distributional implications of algorithmic credit denial. </w:t>
      </w:r>
      <w:r w:rsidR="00254EDE">
        <w:rPr>
          <w:sz w:val="24"/>
          <w:szCs w:val="24"/>
        </w:rPr>
        <w:t>In a higher-rate environment, discriminatory lending outcomes increase the social and political costs for affected consumers,</w:t>
      </w:r>
      <w:r w:rsidRPr="00D11EE4">
        <w:rPr>
          <w:sz w:val="24"/>
          <w:szCs w:val="24"/>
        </w:rPr>
        <w:t xml:space="preserve"> as they find it more difficult to access alternative finance. Governments under strain </w:t>
      </w:r>
      <w:r w:rsidR="00254EDE">
        <w:rPr>
          <w:sz w:val="24"/>
          <w:szCs w:val="24"/>
        </w:rPr>
        <w:t>from housing affordability and financial exclusion are increasingly concerned about evidence that AI-supported lending will contribute to inequality and, thus, the possibility of regulatory or legislative action in response to documented</w:t>
      </w:r>
      <w:r w:rsidRPr="00D11EE4">
        <w:rPr>
          <w:sz w:val="24"/>
          <w:szCs w:val="24"/>
        </w:rPr>
        <w:t xml:space="preserve"> discriminatory consequences.</w:t>
      </w:r>
    </w:p>
    <w:p w14:paraId="295B90D9" w14:textId="3DDB5199" w:rsidR="00752CE8" w:rsidRPr="00D11EE4" w:rsidRDefault="00752CE8" w:rsidP="000412E1">
      <w:pPr>
        <w:pStyle w:val="Caption"/>
        <w:keepNext/>
        <w:spacing w:after="0" w:line="360" w:lineRule="auto"/>
      </w:pPr>
      <w:r w:rsidRPr="00D11EE4">
        <w:t xml:space="preserve">Table </w:t>
      </w:r>
      <w:r w:rsidR="0015439D">
        <w:fldChar w:fldCharType="begin"/>
      </w:r>
      <w:r w:rsidR="0015439D">
        <w:instrText xml:space="preserve"> SEQ Table \* ARABIC </w:instrText>
      </w:r>
      <w:r w:rsidR="0015439D">
        <w:fldChar w:fldCharType="separate"/>
      </w:r>
      <w:r w:rsidR="00601C9B" w:rsidRPr="00D11EE4">
        <w:rPr>
          <w:noProof/>
        </w:rPr>
        <w:t>1</w:t>
      </w:r>
      <w:r w:rsidR="0015439D">
        <w:rPr>
          <w:noProof/>
        </w:rPr>
        <w:fldChar w:fldCharType="end"/>
      </w:r>
      <w:r w:rsidRPr="00D11EE4">
        <w:t>: Focused PESTLE Summary AI in Credit Decision-Making at Barclays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7"/>
        <w:gridCol w:w="2469"/>
        <w:gridCol w:w="4650"/>
      </w:tblGrid>
      <w:tr w:rsidR="00825697" w:rsidRPr="00D11EE4" w14:paraId="5680D473" w14:textId="77777777">
        <w:trPr>
          <w:tblHeader/>
        </w:trPr>
        <w:tc>
          <w:tcPr>
            <w:tcW w:w="12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79B5C046" w14:textId="77777777" w:rsidR="00825697" w:rsidRPr="00D11EE4" w:rsidRDefault="009C1F85" w:rsidP="000412E1">
            <w:pPr>
              <w:spacing w:line="360" w:lineRule="auto"/>
              <w:jc w:val="center"/>
              <w:rPr>
                <w:sz w:val="24"/>
                <w:szCs w:val="24"/>
              </w:rPr>
            </w:pPr>
            <w:r w:rsidRPr="00D11EE4">
              <w:rPr>
                <w:b/>
                <w:bCs/>
                <w:color w:val="FFFFFF"/>
                <w:sz w:val="24"/>
                <w:szCs w:val="24"/>
              </w:rPr>
              <w:t>Factor</w:t>
            </w:r>
          </w:p>
        </w:tc>
        <w:tc>
          <w:tcPr>
            <w:tcW w:w="26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4C9E2821" w14:textId="77777777" w:rsidR="00825697" w:rsidRPr="00D11EE4" w:rsidRDefault="009C1F85" w:rsidP="000412E1">
            <w:pPr>
              <w:spacing w:line="360" w:lineRule="auto"/>
              <w:jc w:val="center"/>
              <w:rPr>
                <w:sz w:val="24"/>
                <w:szCs w:val="24"/>
              </w:rPr>
            </w:pPr>
            <w:r w:rsidRPr="00D11EE4">
              <w:rPr>
                <w:b/>
                <w:bCs/>
                <w:color w:val="FFFFFF"/>
                <w:sz w:val="24"/>
                <w:szCs w:val="24"/>
              </w:rPr>
              <w:t>Key Dynamic</w:t>
            </w:r>
          </w:p>
        </w:tc>
        <w:tc>
          <w:tcPr>
            <w:tcW w:w="5226"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6A7646A3" w14:textId="77777777" w:rsidR="00825697" w:rsidRPr="00D11EE4" w:rsidRDefault="009C1F85" w:rsidP="000412E1">
            <w:pPr>
              <w:spacing w:line="360" w:lineRule="auto"/>
              <w:jc w:val="center"/>
              <w:rPr>
                <w:sz w:val="24"/>
                <w:szCs w:val="24"/>
              </w:rPr>
            </w:pPr>
            <w:r w:rsidRPr="00D11EE4">
              <w:rPr>
                <w:b/>
                <w:bCs/>
                <w:color w:val="FFFFFF"/>
                <w:sz w:val="24"/>
                <w:szCs w:val="24"/>
              </w:rPr>
              <w:t>Implication for Barclays</w:t>
            </w:r>
          </w:p>
        </w:tc>
      </w:tr>
      <w:tr w:rsidR="00825697" w:rsidRPr="00D11EE4" w14:paraId="5A4140BC" w14:textId="77777777">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27631592" w14:textId="77777777" w:rsidR="00825697" w:rsidRPr="00D11EE4" w:rsidRDefault="009C1F85" w:rsidP="000412E1">
            <w:pPr>
              <w:spacing w:line="360" w:lineRule="auto"/>
              <w:rPr>
                <w:sz w:val="24"/>
                <w:szCs w:val="24"/>
              </w:rPr>
            </w:pPr>
            <w:r w:rsidRPr="00D11EE4">
              <w:rPr>
                <w:b/>
                <w:bCs/>
                <w:sz w:val="24"/>
                <w:szCs w:val="24"/>
              </w:rPr>
              <w:t>Political</w:t>
            </w:r>
          </w:p>
        </w:tc>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1F3F5B0E" w14:textId="77777777" w:rsidR="00825697" w:rsidRPr="00D11EE4" w:rsidRDefault="009C1F85" w:rsidP="000412E1">
            <w:pPr>
              <w:spacing w:line="360" w:lineRule="auto"/>
              <w:rPr>
                <w:sz w:val="24"/>
                <w:szCs w:val="24"/>
              </w:rPr>
            </w:pPr>
            <w:r w:rsidRPr="00D11EE4">
              <w:rPr>
                <w:sz w:val="24"/>
                <w:szCs w:val="24"/>
              </w:rPr>
              <w:t>UK principles-based AI regulation; growing parliamentary scrutiny</w:t>
            </w:r>
          </w:p>
        </w:tc>
        <w:tc>
          <w:tcPr>
            <w:tcW w:w="5226"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5C94F9D5" w14:textId="01AB9BFA" w:rsidR="00825697" w:rsidRPr="00D11EE4" w:rsidRDefault="009C1F85" w:rsidP="000412E1">
            <w:pPr>
              <w:spacing w:line="360" w:lineRule="auto"/>
              <w:rPr>
                <w:sz w:val="24"/>
                <w:szCs w:val="24"/>
              </w:rPr>
            </w:pPr>
            <w:r w:rsidRPr="00D11EE4">
              <w:rPr>
                <w:sz w:val="24"/>
                <w:szCs w:val="24"/>
              </w:rPr>
              <w:t xml:space="preserve">Regulatory ambiguity creates interpretation risk; proactive FCA engagement </w:t>
            </w:r>
            <w:r w:rsidR="00B62729" w:rsidRPr="00D11EE4">
              <w:rPr>
                <w:sz w:val="24"/>
                <w:szCs w:val="24"/>
              </w:rPr>
              <w:t xml:space="preserve">is </w:t>
            </w:r>
            <w:r w:rsidRPr="00D11EE4">
              <w:rPr>
                <w:sz w:val="24"/>
                <w:szCs w:val="24"/>
              </w:rPr>
              <w:t>advisable</w:t>
            </w:r>
          </w:p>
        </w:tc>
      </w:tr>
      <w:tr w:rsidR="00825697" w:rsidRPr="00D11EE4" w14:paraId="71AA8F84" w14:textId="77777777">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45D5CC4" w14:textId="77777777" w:rsidR="00825697" w:rsidRPr="00D11EE4" w:rsidRDefault="009C1F85" w:rsidP="000412E1">
            <w:pPr>
              <w:spacing w:line="360" w:lineRule="auto"/>
              <w:rPr>
                <w:sz w:val="24"/>
                <w:szCs w:val="24"/>
              </w:rPr>
            </w:pPr>
            <w:r w:rsidRPr="00D11EE4">
              <w:rPr>
                <w:b/>
                <w:bCs/>
                <w:sz w:val="24"/>
                <w:szCs w:val="24"/>
              </w:rPr>
              <w:t>Economic</w:t>
            </w:r>
          </w:p>
        </w:tc>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CBC9754" w14:textId="77777777" w:rsidR="00825697" w:rsidRPr="00D11EE4" w:rsidRDefault="009C1F85" w:rsidP="000412E1">
            <w:pPr>
              <w:spacing w:line="360" w:lineRule="auto"/>
              <w:rPr>
                <w:sz w:val="24"/>
                <w:szCs w:val="24"/>
              </w:rPr>
            </w:pPr>
            <w:r w:rsidRPr="00D11EE4">
              <w:rPr>
                <w:sz w:val="24"/>
                <w:szCs w:val="24"/>
              </w:rPr>
              <w:t xml:space="preserve">Higher-rate environment amplifies </w:t>
            </w:r>
            <w:r w:rsidRPr="00D11EE4">
              <w:rPr>
                <w:sz w:val="24"/>
                <w:szCs w:val="24"/>
              </w:rPr>
              <w:lastRenderedPageBreak/>
              <w:t>consequences of credit miscalibration</w:t>
            </w:r>
          </w:p>
        </w:tc>
        <w:tc>
          <w:tcPr>
            <w:tcW w:w="5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A066056" w14:textId="77777777" w:rsidR="00825697" w:rsidRPr="00D11EE4" w:rsidRDefault="009C1F85" w:rsidP="000412E1">
            <w:pPr>
              <w:spacing w:line="360" w:lineRule="auto"/>
              <w:rPr>
                <w:sz w:val="24"/>
                <w:szCs w:val="24"/>
              </w:rPr>
            </w:pPr>
            <w:r w:rsidRPr="00D11EE4">
              <w:rPr>
                <w:sz w:val="24"/>
                <w:szCs w:val="24"/>
              </w:rPr>
              <w:lastRenderedPageBreak/>
              <w:t>Greater reputational and political exposure if AI systems discriminate</w:t>
            </w:r>
          </w:p>
        </w:tc>
      </w:tr>
      <w:tr w:rsidR="00825697" w:rsidRPr="00D11EE4" w14:paraId="758023F1" w14:textId="77777777">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3750B7B6" w14:textId="77777777" w:rsidR="00825697" w:rsidRPr="00D11EE4" w:rsidRDefault="009C1F85" w:rsidP="000412E1">
            <w:pPr>
              <w:spacing w:line="360" w:lineRule="auto"/>
              <w:rPr>
                <w:sz w:val="24"/>
                <w:szCs w:val="24"/>
              </w:rPr>
            </w:pPr>
            <w:r w:rsidRPr="00D11EE4">
              <w:rPr>
                <w:b/>
                <w:bCs/>
                <w:sz w:val="24"/>
                <w:szCs w:val="24"/>
              </w:rPr>
              <w:t>Social</w:t>
            </w:r>
          </w:p>
        </w:tc>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2EA4853A" w14:textId="77777777" w:rsidR="00825697" w:rsidRPr="00D11EE4" w:rsidRDefault="009C1F85" w:rsidP="000412E1">
            <w:pPr>
              <w:spacing w:line="360" w:lineRule="auto"/>
              <w:rPr>
                <w:sz w:val="24"/>
                <w:szCs w:val="24"/>
              </w:rPr>
            </w:pPr>
            <w:r w:rsidRPr="00D11EE4">
              <w:rPr>
                <w:sz w:val="24"/>
                <w:szCs w:val="24"/>
              </w:rPr>
              <w:t>Consumer awareness of automated decisions; declining trust in opaque systems</w:t>
            </w:r>
          </w:p>
        </w:tc>
        <w:tc>
          <w:tcPr>
            <w:tcW w:w="5226"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7897E02D" w14:textId="77777777" w:rsidR="00825697" w:rsidRPr="00D11EE4" w:rsidRDefault="009C1F85" w:rsidP="000412E1">
            <w:pPr>
              <w:spacing w:line="360" w:lineRule="auto"/>
              <w:rPr>
                <w:sz w:val="24"/>
                <w:szCs w:val="24"/>
              </w:rPr>
            </w:pPr>
            <w:r w:rsidRPr="00D11EE4">
              <w:rPr>
                <w:sz w:val="24"/>
                <w:szCs w:val="24"/>
              </w:rPr>
              <w:t>Customer attrition and reputational risk if explainability is inadequate</w:t>
            </w:r>
          </w:p>
        </w:tc>
      </w:tr>
      <w:tr w:rsidR="00825697" w:rsidRPr="00D11EE4" w14:paraId="39274779" w14:textId="77777777">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FEFCFA8" w14:textId="77777777" w:rsidR="00825697" w:rsidRPr="00D11EE4" w:rsidRDefault="009C1F85" w:rsidP="000412E1">
            <w:pPr>
              <w:spacing w:line="360" w:lineRule="auto"/>
              <w:rPr>
                <w:sz w:val="24"/>
                <w:szCs w:val="24"/>
              </w:rPr>
            </w:pPr>
            <w:r w:rsidRPr="00D11EE4">
              <w:rPr>
                <w:b/>
                <w:bCs/>
                <w:sz w:val="24"/>
                <w:szCs w:val="24"/>
              </w:rPr>
              <w:t>Technological</w:t>
            </w:r>
          </w:p>
        </w:tc>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DFE4AA8" w14:textId="77777777" w:rsidR="00825697" w:rsidRPr="00D11EE4" w:rsidRDefault="009C1F85" w:rsidP="000412E1">
            <w:pPr>
              <w:spacing w:line="360" w:lineRule="auto"/>
              <w:rPr>
                <w:sz w:val="24"/>
                <w:szCs w:val="24"/>
              </w:rPr>
            </w:pPr>
            <w:r w:rsidRPr="00D11EE4">
              <w:rPr>
                <w:sz w:val="24"/>
                <w:szCs w:val="24"/>
              </w:rPr>
              <w:t>Rapid AI model evolution; maturing XAI methods; alternative data expanding</w:t>
            </w:r>
          </w:p>
        </w:tc>
        <w:tc>
          <w:tcPr>
            <w:tcW w:w="5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F82D4B7" w14:textId="77777777" w:rsidR="00825697" w:rsidRPr="00D11EE4" w:rsidRDefault="009C1F85" w:rsidP="000412E1">
            <w:pPr>
              <w:spacing w:line="360" w:lineRule="auto"/>
              <w:rPr>
                <w:sz w:val="24"/>
                <w:szCs w:val="24"/>
              </w:rPr>
            </w:pPr>
            <w:r w:rsidRPr="00D11EE4">
              <w:rPr>
                <w:sz w:val="24"/>
                <w:szCs w:val="24"/>
              </w:rPr>
              <w:t>Opportunity to deploy XAI for compliance and trust; risk of bias via proxy variables</w:t>
            </w:r>
          </w:p>
        </w:tc>
      </w:tr>
      <w:tr w:rsidR="00825697" w:rsidRPr="00D11EE4" w14:paraId="3FAF019F" w14:textId="77777777">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32EDC260" w14:textId="77777777" w:rsidR="00825697" w:rsidRPr="00D11EE4" w:rsidRDefault="009C1F85" w:rsidP="000412E1">
            <w:pPr>
              <w:spacing w:line="360" w:lineRule="auto"/>
              <w:rPr>
                <w:sz w:val="24"/>
                <w:szCs w:val="24"/>
              </w:rPr>
            </w:pPr>
            <w:r w:rsidRPr="00D11EE4">
              <w:rPr>
                <w:b/>
                <w:bCs/>
                <w:sz w:val="24"/>
                <w:szCs w:val="24"/>
              </w:rPr>
              <w:t>Legal</w:t>
            </w:r>
          </w:p>
        </w:tc>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6646B969" w14:textId="77777777" w:rsidR="00825697" w:rsidRPr="00D11EE4" w:rsidRDefault="009C1F85" w:rsidP="000412E1">
            <w:pPr>
              <w:spacing w:line="360" w:lineRule="auto"/>
              <w:rPr>
                <w:sz w:val="24"/>
                <w:szCs w:val="24"/>
              </w:rPr>
            </w:pPr>
            <w:r w:rsidRPr="00D11EE4">
              <w:rPr>
                <w:sz w:val="24"/>
                <w:szCs w:val="24"/>
              </w:rPr>
              <w:t>FCA Consumer Duty; UK GDPR Article 22; EU AI Act extraterritorial reach</w:t>
            </w:r>
          </w:p>
        </w:tc>
        <w:tc>
          <w:tcPr>
            <w:tcW w:w="5226"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4243D77F" w14:textId="77777777" w:rsidR="00825697" w:rsidRPr="00D11EE4" w:rsidRDefault="009C1F85" w:rsidP="000412E1">
            <w:pPr>
              <w:spacing w:line="360" w:lineRule="auto"/>
              <w:rPr>
                <w:sz w:val="24"/>
                <w:szCs w:val="24"/>
              </w:rPr>
            </w:pPr>
            <w:r w:rsidRPr="00D11EE4">
              <w:rPr>
                <w:sz w:val="24"/>
                <w:szCs w:val="24"/>
              </w:rPr>
              <w:t>Compliance obligations span jurisdictions; divergent standards require differentiated governance</w:t>
            </w:r>
          </w:p>
        </w:tc>
      </w:tr>
      <w:tr w:rsidR="00825697" w:rsidRPr="00D11EE4" w14:paraId="2D2D95AE" w14:textId="77777777">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DE0C7A" w14:textId="77777777" w:rsidR="00825697" w:rsidRPr="00D11EE4" w:rsidRDefault="009C1F85" w:rsidP="000412E1">
            <w:pPr>
              <w:spacing w:line="360" w:lineRule="auto"/>
              <w:rPr>
                <w:sz w:val="24"/>
                <w:szCs w:val="24"/>
              </w:rPr>
            </w:pPr>
            <w:r w:rsidRPr="00D11EE4">
              <w:rPr>
                <w:b/>
                <w:bCs/>
                <w:sz w:val="24"/>
                <w:szCs w:val="24"/>
              </w:rPr>
              <w:t>Environmental</w:t>
            </w:r>
          </w:p>
        </w:tc>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C916462" w14:textId="77777777" w:rsidR="00825697" w:rsidRPr="00D11EE4" w:rsidRDefault="009C1F85" w:rsidP="000412E1">
            <w:pPr>
              <w:spacing w:line="360" w:lineRule="auto"/>
              <w:rPr>
                <w:sz w:val="24"/>
                <w:szCs w:val="24"/>
              </w:rPr>
            </w:pPr>
            <w:r w:rsidRPr="00D11EE4">
              <w:rPr>
                <w:sz w:val="24"/>
                <w:szCs w:val="24"/>
              </w:rPr>
              <w:t>ESG integration in AI governance; social footprint of algorithmic exclusion</w:t>
            </w:r>
          </w:p>
        </w:tc>
        <w:tc>
          <w:tcPr>
            <w:tcW w:w="5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0C4E90E" w14:textId="60B0AD48" w:rsidR="00825697" w:rsidRPr="00D11EE4" w:rsidRDefault="009C1F85" w:rsidP="000412E1">
            <w:pPr>
              <w:spacing w:line="360" w:lineRule="auto"/>
              <w:rPr>
                <w:sz w:val="24"/>
                <w:szCs w:val="24"/>
              </w:rPr>
            </w:pPr>
            <w:r w:rsidRPr="00D11EE4">
              <w:rPr>
                <w:sz w:val="24"/>
                <w:szCs w:val="24"/>
              </w:rPr>
              <w:t>Responsible AI narratives intersect with ESG disclosure obligations</w:t>
            </w:r>
            <w:r w:rsidR="00B62729" w:rsidRPr="00D11EE4">
              <w:rPr>
                <w:sz w:val="24"/>
                <w:szCs w:val="24"/>
              </w:rPr>
              <w:t>.</w:t>
            </w:r>
          </w:p>
        </w:tc>
      </w:tr>
    </w:tbl>
    <w:p w14:paraId="065D663D" w14:textId="1E0B0B06" w:rsidR="00825697" w:rsidRPr="00D11EE4" w:rsidRDefault="009C1F85" w:rsidP="00D11EE4">
      <w:pPr>
        <w:pStyle w:val="Heading1"/>
      </w:pPr>
      <w:bookmarkStart w:id="7" w:name="_Toc228047122"/>
      <w:r w:rsidRPr="00D11EE4">
        <w:t>AI Risk Management Analysis</w:t>
      </w:r>
      <w:bookmarkEnd w:id="7"/>
    </w:p>
    <w:p w14:paraId="4827F525" w14:textId="7200EA82" w:rsidR="00825697" w:rsidRPr="00D11EE4" w:rsidRDefault="009C1F85" w:rsidP="00BE7BB0">
      <w:pPr>
        <w:pStyle w:val="Heading2"/>
      </w:pPr>
      <w:bookmarkStart w:id="8" w:name="_Toc228047123"/>
      <w:r w:rsidRPr="00D11EE4">
        <w:t>Taxonomy of AI Risks in Credit Decision-Making</w:t>
      </w:r>
      <w:bookmarkEnd w:id="8"/>
    </w:p>
    <w:p w14:paraId="3FF4751E" w14:textId="3822B1E5" w:rsidR="00825697" w:rsidRPr="00D11EE4" w:rsidRDefault="00361A6D" w:rsidP="000412E1">
      <w:pPr>
        <w:spacing w:line="360" w:lineRule="auto"/>
        <w:jc w:val="both"/>
        <w:rPr>
          <w:sz w:val="24"/>
          <w:szCs w:val="24"/>
        </w:rPr>
      </w:pPr>
      <w:r w:rsidRPr="00D11EE4">
        <w:rPr>
          <w:sz w:val="24"/>
          <w:szCs w:val="24"/>
        </w:rPr>
        <w:t xml:space="preserve">The risk environment that Barclays will face in AI-based credit operations can be </w:t>
      </w:r>
      <w:proofErr w:type="spellStart"/>
      <w:r w:rsidR="00254EDE">
        <w:rPr>
          <w:sz w:val="24"/>
          <w:szCs w:val="24"/>
        </w:rPr>
        <w:t>organised</w:t>
      </w:r>
      <w:proofErr w:type="spellEnd"/>
      <w:r w:rsidR="00254EDE">
        <w:rPr>
          <w:sz w:val="24"/>
          <w:szCs w:val="24"/>
        </w:rPr>
        <w:t xml:space="preserve"> into</w:t>
      </w:r>
      <w:r w:rsidRPr="00D11EE4">
        <w:rPr>
          <w:sz w:val="24"/>
          <w:szCs w:val="24"/>
        </w:rPr>
        <w:t xml:space="preserve"> four dimensions</w:t>
      </w:r>
      <w:r w:rsidR="00254EDE">
        <w:rPr>
          <w:sz w:val="24"/>
          <w:szCs w:val="24"/>
        </w:rPr>
        <w:t>, interconnected with one another</w:t>
      </w:r>
      <w:r w:rsidRPr="00D11EE4">
        <w:rPr>
          <w:sz w:val="24"/>
          <w:szCs w:val="24"/>
        </w:rPr>
        <w:t xml:space="preserve">. The former is model risk: the possibility that credit scoring models can generate systematically misleading predictions </w:t>
      </w:r>
      <w:r w:rsidR="00254EDE">
        <w:rPr>
          <w:sz w:val="24"/>
          <w:szCs w:val="24"/>
        </w:rPr>
        <w:t>due to bad assumptions, poor training data, or distributional drift between the training and deployment settings</w:t>
      </w:r>
      <w:r w:rsidRPr="00D11EE4">
        <w:rPr>
          <w:sz w:val="24"/>
          <w:szCs w:val="24"/>
        </w:rPr>
        <w:t xml:space="preserve">. The qualitative model risk of AI systems cannot be compared to the traditional statistical model risk </w:t>
      </w:r>
      <w:r w:rsidR="00254EDE">
        <w:rPr>
          <w:sz w:val="24"/>
          <w:szCs w:val="24"/>
        </w:rPr>
        <w:t>because the complexity of algorithms</w:t>
      </w:r>
      <w:r w:rsidRPr="00D11EE4">
        <w:rPr>
          <w:sz w:val="24"/>
          <w:szCs w:val="24"/>
        </w:rPr>
        <w:t xml:space="preserve"> </w:t>
      </w:r>
      <w:r w:rsidR="00254EDE">
        <w:rPr>
          <w:sz w:val="24"/>
          <w:szCs w:val="24"/>
        </w:rPr>
        <w:t>renders the usual methods of validating models</w:t>
      </w:r>
      <w:r w:rsidRPr="00D11EE4">
        <w:rPr>
          <w:sz w:val="24"/>
          <w:szCs w:val="24"/>
        </w:rPr>
        <w:t xml:space="preserve"> partially ineffective (Abbas, </w:t>
      </w:r>
      <w:r w:rsidRPr="00D11EE4">
        <w:rPr>
          <w:sz w:val="24"/>
          <w:szCs w:val="24"/>
        </w:rPr>
        <w:lastRenderedPageBreak/>
        <w:t xml:space="preserve">2025). It has been shown that models with high aggregate performance </w:t>
      </w:r>
      <w:r w:rsidR="00254EDE">
        <w:rPr>
          <w:sz w:val="24"/>
          <w:szCs w:val="24"/>
        </w:rPr>
        <w:t xml:space="preserve">can incorporate systematic error concentrated within safeguarded demographic groups (Chen, Calabrese, and </w:t>
      </w:r>
      <w:proofErr w:type="spellStart"/>
      <w:r w:rsidR="00254EDE">
        <w:rPr>
          <w:sz w:val="24"/>
          <w:szCs w:val="24"/>
        </w:rPr>
        <w:t>Belén</w:t>
      </w:r>
      <w:proofErr w:type="spellEnd"/>
      <w:r w:rsidR="00254EDE">
        <w:rPr>
          <w:sz w:val="24"/>
          <w:szCs w:val="24"/>
        </w:rPr>
        <w:t xml:space="preserve"> Martín-</w:t>
      </w:r>
      <w:proofErr w:type="spellStart"/>
      <w:r w:rsidR="00254EDE">
        <w:rPr>
          <w:sz w:val="24"/>
          <w:szCs w:val="24"/>
        </w:rPr>
        <w:t>Barragana</w:t>
      </w:r>
      <w:proofErr w:type="spellEnd"/>
      <w:r w:rsidRPr="00D11EE4">
        <w:rPr>
          <w:sz w:val="24"/>
          <w:szCs w:val="24"/>
        </w:rPr>
        <w:t>, 2024).</w:t>
      </w:r>
    </w:p>
    <w:p w14:paraId="3E8D4134" w14:textId="77777777" w:rsidR="007E5B59" w:rsidRPr="00D11EE4" w:rsidRDefault="00E62E7F" w:rsidP="000412E1">
      <w:pPr>
        <w:keepNext/>
        <w:spacing w:line="360" w:lineRule="auto"/>
        <w:jc w:val="both"/>
      </w:pPr>
      <w:r w:rsidRPr="00D11EE4">
        <w:rPr>
          <w:noProof/>
          <w:sz w:val="24"/>
          <w:szCs w:val="24"/>
        </w:rPr>
        <w:drawing>
          <wp:inline distT="0" distB="0" distL="0" distR="0" wp14:anchorId="2B28F588" wp14:editId="3D5A8A41">
            <wp:extent cx="5690056" cy="2110740"/>
            <wp:effectExtent l="0" t="0" r="6350" b="3810"/>
            <wp:docPr id="5146839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83980" name="Picture 514683980"/>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5697383" cy="2113458"/>
                    </a:xfrm>
                    <a:prstGeom prst="rect">
                      <a:avLst/>
                    </a:prstGeom>
                    <a:ln>
                      <a:noFill/>
                    </a:ln>
                    <a:extLst>
                      <a:ext uri="{53640926-AAD7-44D8-BBD7-CCE9431645EC}">
                        <a14:shadowObscured xmlns:a14="http://schemas.microsoft.com/office/drawing/2010/main"/>
                      </a:ext>
                    </a:extLst>
                  </pic:spPr>
                </pic:pic>
              </a:graphicData>
            </a:graphic>
          </wp:inline>
        </w:drawing>
      </w:r>
    </w:p>
    <w:p w14:paraId="519D51B2" w14:textId="4E9D2D7E" w:rsidR="00E62E7F" w:rsidRPr="00D11EE4" w:rsidRDefault="007E5B59" w:rsidP="000412E1">
      <w:pPr>
        <w:pStyle w:val="Caption"/>
        <w:spacing w:after="0" w:line="360" w:lineRule="auto"/>
        <w:jc w:val="both"/>
        <w:rPr>
          <w:sz w:val="24"/>
          <w:szCs w:val="24"/>
        </w:rPr>
      </w:pPr>
      <w:r w:rsidRPr="00D11EE4">
        <w:t xml:space="preserve">Figure </w:t>
      </w:r>
      <w:r w:rsidR="0015439D">
        <w:fldChar w:fldCharType="begin"/>
      </w:r>
      <w:r w:rsidR="0015439D">
        <w:instrText xml:space="preserve"> SEQ Figure \* ARABIC </w:instrText>
      </w:r>
      <w:r w:rsidR="0015439D">
        <w:fldChar w:fldCharType="separate"/>
      </w:r>
      <w:r w:rsidR="000412E1" w:rsidRPr="00D11EE4">
        <w:rPr>
          <w:noProof/>
        </w:rPr>
        <w:t>2</w:t>
      </w:r>
      <w:r w:rsidR="0015439D">
        <w:rPr>
          <w:noProof/>
        </w:rPr>
        <w:fldChar w:fldCharType="end"/>
      </w:r>
      <w:r w:rsidRPr="00D11EE4">
        <w:t>: Taxonomy of AI risks in credit decision-making (Self-made)</w:t>
      </w:r>
    </w:p>
    <w:p w14:paraId="203DD039" w14:textId="4C198485" w:rsidR="00825697" w:rsidRPr="00D11EE4" w:rsidRDefault="00361A6D" w:rsidP="000412E1">
      <w:pPr>
        <w:spacing w:line="360" w:lineRule="auto"/>
        <w:jc w:val="both"/>
        <w:rPr>
          <w:sz w:val="24"/>
          <w:szCs w:val="24"/>
        </w:rPr>
      </w:pPr>
      <w:r w:rsidRPr="00D11EE4">
        <w:rPr>
          <w:sz w:val="24"/>
          <w:szCs w:val="24"/>
        </w:rPr>
        <w:t xml:space="preserve">The second is discrimination and risk of algorithm bias. Variables that are often used in credit prediction, even </w:t>
      </w:r>
      <w:r w:rsidR="00254EDE">
        <w:rPr>
          <w:sz w:val="24"/>
          <w:szCs w:val="24"/>
        </w:rPr>
        <w:t xml:space="preserve">when protected characteristics are explicitly not included in the model inputs, such as postcode, employment sector, and transaction </w:t>
      </w:r>
      <w:proofErr w:type="spellStart"/>
      <w:r w:rsidR="00254EDE">
        <w:rPr>
          <w:sz w:val="24"/>
          <w:szCs w:val="24"/>
        </w:rPr>
        <w:t>behaviour</w:t>
      </w:r>
      <w:proofErr w:type="spellEnd"/>
      <w:r w:rsidR="00254EDE">
        <w:rPr>
          <w:sz w:val="24"/>
          <w:szCs w:val="24"/>
        </w:rPr>
        <w:t>, can serve</w:t>
      </w:r>
      <w:r w:rsidRPr="00D11EE4">
        <w:rPr>
          <w:sz w:val="24"/>
          <w:szCs w:val="24"/>
        </w:rPr>
        <w:t xml:space="preserve"> as proxies, carrying historical social inequalities into automated lending decisions. The implications </w:t>
      </w:r>
      <w:r w:rsidR="00254EDE">
        <w:rPr>
          <w:sz w:val="24"/>
          <w:szCs w:val="24"/>
        </w:rPr>
        <w:t>for Barclays include regulatory actions, civil suits, and reputational loss, which are not commensurate with the</w:t>
      </w:r>
      <w:r w:rsidRPr="00D11EE4">
        <w:rPr>
          <w:sz w:val="24"/>
          <w:szCs w:val="24"/>
        </w:rPr>
        <w:t xml:space="preserve"> operational cost reductions AI brings. The third dimension is operational and systemic risk: a failure in one model can spread thousands of credit decisions before it is discovered, and the interdependence of AI systems across financial institutions can result in correlated failures that increase systemic risk in sectors (Sargeant, 2022). Fourth is strategic risk, which includes over-dependence on AI systems, lock-in with third-party model providers, and the loss of the human skills in credit evaluation (</w:t>
      </w:r>
      <w:proofErr w:type="spellStart"/>
      <w:r w:rsidRPr="00D11EE4">
        <w:rPr>
          <w:sz w:val="24"/>
          <w:szCs w:val="24"/>
        </w:rPr>
        <w:t>Jammalamadaka</w:t>
      </w:r>
      <w:proofErr w:type="spellEnd"/>
      <w:r w:rsidRPr="00D11EE4">
        <w:rPr>
          <w:sz w:val="24"/>
          <w:szCs w:val="24"/>
        </w:rPr>
        <w:t xml:space="preserve"> and </w:t>
      </w:r>
      <w:proofErr w:type="spellStart"/>
      <w:r w:rsidRPr="00D11EE4">
        <w:rPr>
          <w:sz w:val="24"/>
          <w:szCs w:val="24"/>
        </w:rPr>
        <w:t>Itapu</w:t>
      </w:r>
      <w:proofErr w:type="spellEnd"/>
      <w:r w:rsidRPr="00D11EE4">
        <w:rPr>
          <w:sz w:val="24"/>
          <w:szCs w:val="24"/>
        </w:rPr>
        <w:t>, 2022).</w:t>
      </w:r>
    </w:p>
    <w:p w14:paraId="7E69E9C1" w14:textId="7FF7F82C" w:rsidR="00825697" w:rsidRPr="00D11EE4" w:rsidRDefault="009C1F85" w:rsidP="00BE7BB0">
      <w:pPr>
        <w:pStyle w:val="Heading2"/>
      </w:pPr>
      <w:bookmarkStart w:id="9" w:name="_Toc228047124"/>
      <w:r w:rsidRPr="00D11EE4">
        <w:t>Risk Management Frameworks</w:t>
      </w:r>
      <w:bookmarkEnd w:id="9"/>
    </w:p>
    <w:p w14:paraId="0809AB6B" w14:textId="6E96C8C1" w:rsidR="00361A6D" w:rsidRPr="00D11EE4" w:rsidRDefault="00361A6D" w:rsidP="00361A6D">
      <w:pPr>
        <w:spacing w:line="360" w:lineRule="auto"/>
        <w:jc w:val="both"/>
        <w:rPr>
          <w:sz w:val="24"/>
          <w:szCs w:val="24"/>
        </w:rPr>
      </w:pPr>
      <w:r w:rsidRPr="00D11EE4">
        <w:rPr>
          <w:sz w:val="24"/>
          <w:szCs w:val="24"/>
        </w:rPr>
        <w:t>The risk management standard</w:t>
      </w:r>
      <w:r w:rsidR="00254EDE">
        <w:rPr>
          <w:sz w:val="24"/>
          <w:szCs w:val="24"/>
        </w:rPr>
        <w:t xml:space="preserve"> ISO 31000 provides a framework for integrating</w:t>
      </w:r>
      <w:r w:rsidRPr="00D11EE4">
        <w:rPr>
          <w:sz w:val="24"/>
          <w:szCs w:val="24"/>
        </w:rPr>
        <w:t xml:space="preserve"> AI-specific risks. The ISO 31000 standard </w:t>
      </w:r>
      <w:r w:rsidR="00254EDE">
        <w:rPr>
          <w:sz w:val="24"/>
          <w:szCs w:val="24"/>
        </w:rPr>
        <w:t>establishes a framework for risk identification, assessment, treatment, monitoring, and review that</w:t>
      </w:r>
      <w:r w:rsidRPr="00D11EE4">
        <w:rPr>
          <w:sz w:val="24"/>
          <w:szCs w:val="24"/>
        </w:rPr>
        <w:t xml:space="preserve"> is flexible enough to be adapted to AI-specific problems (GrooveSquid.com, 2025). Nevertheless, </w:t>
      </w:r>
      <w:r w:rsidR="00254EDE">
        <w:rPr>
          <w:sz w:val="24"/>
          <w:szCs w:val="24"/>
        </w:rPr>
        <w:t>implementing ISO 31000 for AI risk requires</w:t>
      </w:r>
      <w:r w:rsidRPr="00D11EE4">
        <w:rPr>
          <w:sz w:val="24"/>
          <w:szCs w:val="24"/>
        </w:rPr>
        <w:t xml:space="preserve"> considerable modification. The assumption in the standard that risks can be identified with reasonable precision </w:t>
      </w:r>
      <w:r w:rsidR="00254EDE">
        <w:rPr>
          <w:sz w:val="24"/>
          <w:szCs w:val="24"/>
        </w:rPr>
        <w:t>before</w:t>
      </w:r>
      <w:r w:rsidRPr="00D11EE4">
        <w:rPr>
          <w:sz w:val="24"/>
          <w:szCs w:val="24"/>
        </w:rPr>
        <w:t xml:space="preserve"> </w:t>
      </w:r>
      <w:proofErr w:type="spellStart"/>
      <w:r w:rsidRPr="00D11EE4">
        <w:rPr>
          <w:sz w:val="24"/>
          <w:szCs w:val="24"/>
        </w:rPr>
        <w:t>materialisation</w:t>
      </w:r>
      <w:proofErr w:type="spellEnd"/>
      <w:r w:rsidRPr="00D11EE4">
        <w:rPr>
          <w:sz w:val="24"/>
          <w:szCs w:val="24"/>
        </w:rPr>
        <w:t xml:space="preserve"> </w:t>
      </w:r>
      <w:r w:rsidR="00254EDE">
        <w:rPr>
          <w:sz w:val="24"/>
          <w:szCs w:val="24"/>
        </w:rPr>
        <w:t xml:space="preserve">is disputed by the very fact that complex machine learning models are inherently opaque and that </w:t>
      </w:r>
      <w:r w:rsidR="00254EDE">
        <w:rPr>
          <w:sz w:val="24"/>
          <w:szCs w:val="24"/>
        </w:rPr>
        <w:lastRenderedPageBreak/>
        <w:t>failure modes can only be discovered through post-deployment monitoring,</w:t>
      </w:r>
      <w:r w:rsidRPr="00D11EE4">
        <w:rPr>
          <w:sz w:val="24"/>
          <w:szCs w:val="24"/>
        </w:rPr>
        <w:t xml:space="preserve"> not through pre-deployment validation.</w:t>
      </w:r>
    </w:p>
    <w:p w14:paraId="79695AB0" w14:textId="1958E896" w:rsidR="00825697" w:rsidRPr="00D11EE4" w:rsidRDefault="00361A6D" w:rsidP="00361A6D">
      <w:pPr>
        <w:spacing w:line="360" w:lineRule="auto"/>
        <w:jc w:val="both"/>
        <w:rPr>
          <w:sz w:val="24"/>
          <w:szCs w:val="24"/>
        </w:rPr>
      </w:pPr>
      <w:r w:rsidRPr="00D11EE4">
        <w:rPr>
          <w:sz w:val="24"/>
          <w:szCs w:val="24"/>
        </w:rPr>
        <w:t xml:space="preserve">One of the major shortcomings of </w:t>
      </w:r>
      <w:r w:rsidR="00254EDE">
        <w:rPr>
          <w:sz w:val="24"/>
          <w:szCs w:val="24"/>
        </w:rPr>
        <w:t>current frameworks is their insufficient</w:t>
      </w:r>
      <w:r w:rsidRPr="00D11EE4">
        <w:rPr>
          <w:sz w:val="24"/>
          <w:szCs w:val="24"/>
        </w:rPr>
        <w:t xml:space="preserve"> attention to distributional outcomes. In traditional model risk management, aggregate performance is measured; it is not measured whether model errors occur randomly over the population, or are concentrated in particular demographic groups. To do so, it is necessary to incorporate fairness indicators into model validation processes, which </w:t>
      </w:r>
      <w:r w:rsidR="00254EDE">
        <w:rPr>
          <w:sz w:val="24"/>
          <w:szCs w:val="24"/>
        </w:rPr>
        <w:t>remain an emerging feature in</w:t>
      </w:r>
      <w:r w:rsidRPr="00D11EE4">
        <w:rPr>
          <w:sz w:val="24"/>
          <w:szCs w:val="24"/>
        </w:rPr>
        <w:t xml:space="preserve"> most large banks (Bank of England, 2022). Various competing mathematical definitions of fairness</w:t>
      </w:r>
      <w:r w:rsidR="00254EDE">
        <w:rPr>
          <w:sz w:val="24"/>
          <w:szCs w:val="24"/>
        </w:rPr>
        <w:t xml:space="preserve">, such as demographic parity, </w:t>
      </w:r>
      <w:proofErr w:type="spellStart"/>
      <w:r w:rsidR="00254EDE">
        <w:rPr>
          <w:sz w:val="24"/>
          <w:szCs w:val="24"/>
        </w:rPr>
        <w:t>equalised</w:t>
      </w:r>
      <w:proofErr w:type="spellEnd"/>
      <w:r w:rsidR="00254EDE">
        <w:rPr>
          <w:sz w:val="24"/>
          <w:szCs w:val="24"/>
        </w:rPr>
        <w:t xml:space="preserve"> odds, and calibration,</w:t>
      </w:r>
      <w:r w:rsidRPr="00D11EE4">
        <w:rPr>
          <w:sz w:val="24"/>
          <w:szCs w:val="24"/>
        </w:rPr>
        <w:t xml:space="preserve"> are often mutually incompatible, e.g. </w:t>
      </w:r>
      <w:proofErr w:type="spellStart"/>
      <w:r w:rsidRPr="00D11EE4">
        <w:rPr>
          <w:sz w:val="24"/>
          <w:szCs w:val="24"/>
        </w:rPr>
        <w:t>optimising</w:t>
      </w:r>
      <w:proofErr w:type="spellEnd"/>
      <w:r w:rsidRPr="00D11EE4">
        <w:rPr>
          <w:sz w:val="24"/>
          <w:szCs w:val="24"/>
        </w:rPr>
        <w:t xml:space="preserve"> one criterion could violate another. This technical complication requires that institutions explicitly and in writing decide </w:t>
      </w:r>
      <w:r w:rsidR="00254EDE">
        <w:rPr>
          <w:sz w:val="24"/>
          <w:szCs w:val="24"/>
        </w:rPr>
        <w:t>which fairness criteria take</w:t>
      </w:r>
      <w:r w:rsidRPr="00D11EE4">
        <w:rPr>
          <w:sz w:val="24"/>
          <w:szCs w:val="24"/>
        </w:rPr>
        <w:t xml:space="preserve"> priority and why.</w:t>
      </w:r>
    </w:p>
    <w:p w14:paraId="59C904E0" w14:textId="007DAC83" w:rsidR="00825697" w:rsidRPr="00D11EE4" w:rsidRDefault="009C1F85" w:rsidP="00BE7BB0">
      <w:pPr>
        <w:pStyle w:val="Heading2"/>
      </w:pPr>
      <w:bookmarkStart w:id="10" w:name="_Toc228047125"/>
      <w:r w:rsidRPr="00D11EE4">
        <w:t>Competitive Context: Porter's Five Forces</w:t>
      </w:r>
      <w:bookmarkEnd w:id="10"/>
    </w:p>
    <w:p w14:paraId="54F0828B" w14:textId="77777777" w:rsidR="00505A63" w:rsidRPr="00505A63" w:rsidRDefault="00505A63" w:rsidP="00505A63">
      <w:pPr>
        <w:spacing w:line="360" w:lineRule="auto"/>
        <w:jc w:val="both"/>
        <w:rPr>
          <w:sz w:val="24"/>
          <w:szCs w:val="24"/>
        </w:rPr>
      </w:pPr>
      <w:r w:rsidRPr="00505A63">
        <w:rPr>
          <w:sz w:val="24"/>
          <w:szCs w:val="24"/>
        </w:rPr>
        <w:t>Five Forces analysis (Porter, 2008) is a methodical way of appreciating the forces of competition that informs the reaction of Barclays to AI governance pressures. It helps to uphold the thesis of the report that responsible AI governance is a strategic resource and not a liability.</w:t>
      </w:r>
    </w:p>
    <w:p w14:paraId="29CCF0E1" w14:textId="77777777" w:rsidR="00505A63" w:rsidRPr="00505A63" w:rsidRDefault="00505A63" w:rsidP="00505A63">
      <w:pPr>
        <w:spacing w:line="360" w:lineRule="auto"/>
        <w:jc w:val="both"/>
        <w:rPr>
          <w:sz w:val="24"/>
          <w:szCs w:val="24"/>
        </w:rPr>
      </w:pPr>
      <w:r w:rsidRPr="00505A63">
        <w:rPr>
          <w:sz w:val="24"/>
          <w:szCs w:val="24"/>
        </w:rPr>
        <w:t>the threat of new entrants in the consumer credit based on AI is high. Fintech lenders, including Monzo, Starling, and alternative finance providers specialized in lending, can operate on modern technology stacks that can process model iteration quicker than their incumbent peers using legacy technology, and less compliance overhead. Their entry makes margins tighter and forces Barclays to move quickly into AI use, which may lead to a decrease in focus on bias and fairness testing. The open banking regulations have contributed to the material increase in the bargaining power of buyers because of the reduced switching costs and increased access to comparison tools by consumers. This puts the power in the hands of borrowers and heightens the reputational expense of perceived unfairness: an applicant who is denied by an algorithm gains more and more significant avenues to sue by use of regulatory complaints, social media activism, and litigation.</w:t>
      </w:r>
    </w:p>
    <w:p w14:paraId="65BC1631" w14:textId="3641AE2C" w:rsidR="00825697" w:rsidRPr="00D11EE4" w:rsidRDefault="00505A63" w:rsidP="00505A63">
      <w:pPr>
        <w:spacing w:line="360" w:lineRule="auto"/>
        <w:jc w:val="both"/>
        <w:rPr>
          <w:sz w:val="24"/>
          <w:szCs w:val="24"/>
        </w:rPr>
      </w:pPr>
      <w:r w:rsidRPr="00505A63">
        <w:rPr>
          <w:sz w:val="24"/>
          <w:szCs w:val="24"/>
        </w:rPr>
        <w:t xml:space="preserve">The most powerful suppliers are those providing third-party data and those supplying models. Barclays is vulnerable to concentration risk and governance complexity because it depends on proprietary external data sources since it cannot be able to gain full transparency on the provenance and biases of the sources. As peer-to-peer lending expands, risks of substitutes, Buy Now Pay Later, and credit based on </w:t>
      </w:r>
      <w:r w:rsidRPr="00505A63">
        <w:rPr>
          <w:sz w:val="24"/>
          <w:szCs w:val="24"/>
        </w:rPr>
        <w:lastRenderedPageBreak/>
        <w:t xml:space="preserve">cryptocurrencies, all expose Barclays credit origination volumes to competition. Finally, other banks are becoming more competitive in their rivalry by leveraging AI capabilities as a competitive edge. This competition motivates the incentive of </w:t>
      </w:r>
      <w:proofErr w:type="spellStart"/>
      <w:r w:rsidRPr="00505A63">
        <w:rPr>
          <w:sz w:val="24"/>
          <w:szCs w:val="24"/>
        </w:rPr>
        <w:t>prioritising</w:t>
      </w:r>
      <w:proofErr w:type="spellEnd"/>
      <w:r w:rsidRPr="00505A63">
        <w:rPr>
          <w:sz w:val="24"/>
          <w:szCs w:val="24"/>
        </w:rPr>
        <w:t xml:space="preserve"> model performance over governance </w:t>
      </w:r>
      <w:proofErr w:type="spellStart"/>
      <w:r w:rsidRPr="00505A63">
        <w:rPr>
          <w:sz w:val="24"/>
          <w:szCs w:val="24"/>
        </w:rPr>
        <w:t>rigour</w:t>
      </w:r>
      <w:proofErr w:type="spellEnd"/>
      <w:r w:rsidRPr="00505A63">
        <w:rPr>
          <w:sz w:val="24"/>
          <w:szCs w:val="24"/>
        </w:rPr>
        <w:t>, which Barclays must not in the context of ethical AI being perceived as a compliance cost rather than long-term competitive advantage generator.</w:t>
      </w:r>
    </w:p>
    <w:p w14:paraId="38B33011" w14:textId="77777777" w:rsidR="000412E1" w:rsidRPr="00D11EE4" w:rsidRDefault="000412E1" w:rsidP="000412E1">
      <w:pPr>
        <w:keepNext/>
        <w:spacing w:line="360" w:lineRule="auto"/>
      </w:pPr>
      <w:r w:rsidRPr="00D11EE4">
        <w:rPr>
          <w:noProof/>
          <w:sz w:val="24"/>
          <w:szCs w:val="24"/>
        </w:rPr>
        <w:drawing>
          <wp:inline distT="0" distB="0" distL="0" distR="0" wp14:anchorId="04CA5624" wp14:editId="319F0A4A">
            <wp:extent cx="5690994" cy="2573866"/>
            <wp:effectExtent l="0" t="0" r="5080" b="0"/>
            <wp:docPr id="19882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468" name="Picture 19882468"/>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5701091" cy="2578432"/>
                    </a:xfrm>
                    <a:prstGeom prst="rect">
                      <a:avLst/>
                    </a:prstGeom>
                    <a:ln>
                      <a:noFill/>
                    </a:ln>
                    <a:extLst>
                      <a:ext uri="{53640926-AAD7-44D8-BBD7-CCE9431645EC}">
                        <a14:shadowObscured xmlns:a14="http://schemas.microsoft.com/office/drawing/2010/main"/>
                      </a:ext>
                    </a:extLst>
                  </pic:spPr>
                </pic:pic>
              </a:graphicData>
            </a:graphic>
          </wp:inline>
        </w:drawing>
      </w:r>
    </w:p>
    <w:p w14:paraId="2774786C" w14:textId="0EFAA13C" w:rsidR="00825697" w:rsidRPr="00D11EE4" w:rsidRDefault="000412E1" w:rsidP="00A21D63">
      <w:pPr>
        <w:pStyle w:val="Caption"/>
        <w:rPr>
          <w:sz w:val="24"/>
          <w:szCs w:val="24"/>
        </w:rPr>
      </w:pPr>
      <w:r w:rsidRPr="00D11EE4">
        <w:t xml:space="preserve">Figure </w:t>
      </w:r>
      <w:r w:rsidR="0015439D">
        <w:fldChar w:fldCharType="begin"/>
      </w:r>
      <w:r w:rsidR="0015439D">
        <w:instrText xml:space="preserve"> SEQ Figure \* ARABIC </w:instrText>
      </w:r>
      <w:r w:rsidR="0015439D">
        <w:fldChar w:fldCharType="separate"/>
      </w:r>
      <w:r w:rsidRPr="00D11EE4">
        <w:rPr>
          <w:noProof/>
        </w:rPr>
        <w:t>3</w:t>
      </w:r>
      <w:r w:rsidR="0015439D">
        <w:rPr>
          <w:noProof/>
        </w:rPr>
        <w:fldChar w:fldCharType="end"/>
      </w:r>
      <w:r w:rsidRPr="00D11EE4">
        <w:t>: AI Risk Matrix Credit Decision-Making at Barclays (Likelihood vs. Impact)</w:t>
      </w:r>
    </w:p>
    <w:p w14:paraId="5ABDCE57" w14:textId="79386824" w:rsidR="00A21D63" w:rsidRPr="00D11EE4" w:rsidRDefault="00A21D63" w:rsidP="00A21D63">
      <w:pPr>
        <w:pStyle w:val="Caption"/>
        <w:keepNext/>
      </w:pPr>
      <w:r w:rsidRPr="00D11EE4">
        <w:t xml:space="preserve">Table </w:t>
      </w:r>
      <w:r w:rsidR="0015439D">
        <w:fldChar w:fldCharType="begin"/>
      </w:r>
      <w:r w:rsidR="0015439D">
        <w:instrText xml:space="preserve"> SEQ Table \* ARABI</w:instrText>
      </w:r>
      <w:r w:rsidR="0015439D">
        <w:instrText xml:space="preserve">C </w:instrText>
      </w:r>
      <w:r w:rsidR="0015439D">
        <w:fldChar w:fldCharType="separate"/>
      </w:r>
      <w:r w:rsidR="00601C9B" w:rsidRPr="00D11EE4">
        <w:rPr>
          <w:noProof/>
        </w:rPr>
        <w:t>2</w:t>
      </w:r>
      <w:r w:rsidR="0015439D">
        <w:rPr>
          <w:noProof/>
        </w:rPr>
        <w:fldChar w:fldCharType="end"/>
      </w:r>
      <w:r w:rsidRPr="00D11EE4">
        <w:t>: Risk Priority Summary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14"/>
        <w:gridCol w:w="1440"/>
        <w:gridCol w:w="1242"/>
        <w:gridCol w:w="2830"/>
      </w:tblGrid>
      <w:tr w:rsidR="00825697" w:rsidRPr="00D11EE4" w14:paraId="3D386BBD" w14:textId="77777777">
        <w:trPr>
          <w:tblHeader/>
        </w:trPr>
        <w:tc>
          <w:tcPr>
            <w:tcW w:w="36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3A3C9A7B" w14:textId="77777777" w:rsidR="00825697" w:rsidRPr="00D11EE4" w:rsidRDefault="009C1F85" w:rsidP="000412E1">
            <w:pPr>
              <w:spacing w:line="360" w:lineRule="auto"/>
              <w:jc w:val="center"/>
              <w:rPr>
                <w:sz w:val="24"/>
                <w:szCs w:val="24"/>
              </w:rPr>
            </w:pPr>
            <w:r w:rsidRPr="00D11EE4">
              <w:rPr>
                <w:b/>
                <w:bCs/>
                <w:color w:val="FFFFFF"/>
                <w:sz w:val="24"/>
                <w:szCs w:val="24"/>
              </w:rPr>
              <w:t>Risk</w:t>
            </w:r>
          </w:p>
        </w:tc>
        <w:tc>
          <w:tcPr>
            <w:tcW w:w="125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41FF32F4" w14:textId="77777777" w:rsidR="00825697" w:rsidRPr="00D11EE4" w:rsidRDefault="009C1F85" w:rsidP="000412E1">
            <w:pPr>
              <w:spacing w:line="360" w:lineRule="auto"/>
              <w:jc w:val="center"/>
              <w:rPr>
                <w:sz w:val="24"/>
                <w:szCs w:val="24"/>
              </w:rPr>
            </w:pPr>
            <w:r w:rsidRPr="00D11EE4">
              <w:rPr>
                <w:b/>
                <w:bCs/>
                <w:color w:val="FFFFFF"/>
                <w:sz w:val="24"/>
                <w:szCs w:val="24"/>
              </w:rPr>
              <w:t>Likelihood</w:t>
            </w:r>
          </w:p>
        </w:tc>
        <w:tc>
          <w:tcPr>
            <w:tcW w:w="125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7652A569" w14:textId="77777777" w:rsidR="00825697" w:rsidRPr="00D11EE4" w:rsidRDefault="009C1F85" w:rsidP="000412E1">
            <w:pPr>
              <w:spacing w:line="360" w:lineRule="auto"/>
              <w:jc w:val="center"/>
              <w:rPr>
                <w:sz w:val="24"/>
                <w:szCs w:val="24"/>
              </w:rPr>
            </w:pPr>
            <w:r w:rsidRPr="00D11EE4">
              <w:rPr>
                <w:b/>
                <w:bCs/>
                <w:color w:val="FFFFFF"/>
                <w:sz w:val="24"/>
                <w:szCs w:val="24"/>
              </w:rPr>
              <w:t>Impact</w:t>
            </w:r>
          </w:p>
        </w:tc>
        <w:tc>
          <w:tcPr>
            <w:tcW w:w="125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5BA0A720" w14:textId="77777777" w:rsidR="00825697" w:rsidRPr="00D11EE4" w:rsidRDefault="009C1F85" w:rsidP="000412E1">
            <w:pPr>
              <w:spacing w:line="360" w:lineRule="auto"/>
              <w:jc w:val="center"/>
              <w:rPr>
                <w:sz w:val="24"/>
                <w:szCs w:val="24"/>
              </w:rPr>
            </w:pPr>
            <w:r w:rsidRPr="00D11EE4">
              <w:rPr>
                <w:b/>
                <w:bCs/>
                <w:color w:val="FFFFFF"/>
                <w:sz w:val="24"/>
                <w:szCs w:val="24"/>
              </w:rPr>
              <w:t>Priority</w:t>
            </w:r>
          </w:p>
        </w:tc>
      </w:tr>
      <w:tr w:rsidR="00825697" w:rsidRPr="00D11EE4" w14:paraId="3EDEF91E" w14:textId="77777777">
        <w:tc>
          <w:tcPr>
            <w:tcW w:w="36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388A07D4" w14:textId="77777777" w:rsidR="00825697" w:rsidRPr="00D11EE4" w:rsidRDefault="009C1F85" w:rsidP="000412E1">
            <w:pPr>
              <w:spacing w:line="360" w:lineRule="auto"/>
              <w:rPr>
                <w:sz w:val="24"/>
                <w:szCs w:val="24"/>
              </w:rPr>
            </w:pPr>
            <w:r w:rsidRPr="00D11EE4">
              <w:rPr>
                <w:sz w:val="24"/>
                <w:szCs w:val="24"/>
              </w:rPr>
              <w:t>Algorithmic Bias (proxy discrimination)</w:t>
            </w:r>
          </w:p>
        </w:tc>
        <w:tc>
          <w:tcPr>
            <w:tcW w:w="125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225B2583" w14:textId="77777777" w:rsidR="00825697" w:rsidRPr="00D11EE4" w:rsidRDefault="009C1F85" w:rsidP="000412E1">
            <w:pPr>
              <w:spacing w:line="360" w:lineRule="auto"/>
              <w:jc w:val="center"/>
              <w:rPr>
                <w:sz w:val="24"/>
                <w:szCs w:val="24"/>
              </w:rPr>
            </w:pPr>
            <w:r w:rsidRPr="00D11EE4">
              <w:rPr>
                <w:sz w:val="24"/>
                <w:szCs w:val="24"/>
              </w:rPr>
              <w:t>High</w:t>
            </w:r>
          </w:p>
        </w:tc>
        <w:tc>
          <w:tcPr>
            <w:tcW w:w="125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1DBACFBC" w14:textId="77777777" w:rsidR="00825697" w:rsidRPr="00D11EE4" w:rsidRDefault="009C1F85" w:rsidP="000412E1">
            <w:pPr>
              <w:spacing w:line="360" w:lineRule="auto"/>
              <w:jc w:val="center"/>
              <w:rPr>
                <w:sz w:val="24"/>
                <w:szCs w:val="24"/>
              </w:rPr>
            </w:pPr>
            <w:r w:rsidRPr="00D11EE4">
              <w:rPr>
                <w:sz w:val="24"/>
                <w:szCs w:val="24"/>
              </w:rPr>
              <w:t>High</w:t>
            </w:r>
          </w:p>
        </w:tc>
        <w:tc>
          <w:tcPr>
            <w:tcW w:w="2926" w:type="dxa"/>
            <w:tcBorders>
              <w:top w:val="single" w:sz="4" w:space="0" w:color="AAAAAA"/>
              <w:left w:val="single" w:sz="4" w:space="0" w:color="AAAAAA"/>
              <w:bottom w:val="single" w:sz="4" w:space="0" w:color="AAAAAA"/>
              <w:right w:val="single" w:sz="4" w:space="0" w:color="AAAAAA"/>
            </w:tcBorders>
            <w:shd w:val="clear" w:color="auto" w:fill="C00000"/>
            <w:tcMar>
              <w:top w:w="80" w:type="dxa"/>
              <w:left w:w="120" w:type="dxa"/>
              <w:bottom w:w="80" w:type="dxa"/>
              <w:right w:w="120" w:type="dxa"/>
            </w:tcMar>
            <w:vAlign w:val="center"/>
          </w:tcPr>
          <w:p w14:paraId="22C01B2B" w14:textId="77777777" w:rsidR="00825697" w:rsidRPr="00D11EE4" w:rsidRDefault="009C1F85" w:rsidP="000412E1">
            <w:pPr>
              <w:spacing w:line="360" w:lineRule="auto"/>
              <w:jc w:val="center"/>
              <w:rPr>
                <w:sz w:val="24"/>
                <w:szCs w:val="24"/>
              </w:rPr>
            </w:pPr>
            <w:r w:rsidRPr="00D11EE4">
              <w:rPr>
                <w:b/>
                <w:bCs/>
                <w:color w:val="FFFFFF"/>
                <w:sz w:val="24"/>
                <w:szCs w:val="24"/>
              </w:rPr>
              <w:t>Critical</w:t>
            </w:r>
          </w:p>
        </w:tc>
      </w:tr>
      <w:tr w:rsidR="00825697" w:rsidRPr="00D11EE4" w14:paraId="01C7CF09" w14:textId="77777777">
        <w:tc>
          <w:tcPr>
            <w:tcW w:w="3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B07CC18" w14:textId="77777777" w:rsidR="00825697" w:rsidRPr="00D11EE4" w:rsidRDefault="009C1F85" w:rsidP="000412E1">
            <w:pPr>
              <w:spacing w:line="360" w:lineRule="auto"/>
              <w:rPr>
                <w:sz w:val="24"/>
                <w:szCs w:val="24"/>
              </w:rPr>
            </w:pPr>
            <w:r w:rsidRPr="00D11EE4">
              <w:rPr>
                <w:sz w:val="24"/>
                <w:szCs w:val="24"/>
              </w:rPr>
              <w:t>Model Drift (macroeconomic shift)</w:t>
            </w:r>
          </w:p>
        </w:tc>
        <w:tc>
          <w:tcPr>
            <w:tcW w:w="125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52D602D" w14:textId="77777777" w:rsidR="00825697" w:rsidRPr="00D11EE4" w:rsidRDefault="009C1F85" w:rsidP="000412E1">
            <w:pPr>
              <w:spacing w:line="360" w:lineRule="auto"/>
              <w:jc w:val="center"/>
              <w:rPr>
                <w:sz w:val="24"/>
                <w:szCs w:val="24"/>
              </w:rPr>
            </w:pPr>
            <w:r w:rsidRPr="00D11EE4">
              <w:rPr>
                <w:sz w:val="24"/>
                <w:szCs w:val="24"/>
              </w:rPr>
              <w:t>High</w:t>
            </w:r>
          </w:p>
        </w:tc>
        <w:tc>
          <w:tcPr>
            <w:tcW w:w="125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8CF85AC" w14:textId="77777777" w:rsidR="00825697" w:rsidRPr="00D11EE4" w:rsidRDefault="009C1F85" w:rsidP="000412E1">
            <w:pPr>
              <w:spacing w:line="360" w:lineRule="auto"/>
              <w:jc w:val="center"/>
              <w:rPr>
                <w:sz w:val="24"/>
                <w:szCs w:val="24"/>
              </w:rPr>
            </w:pPr>
            <w:r w:rsidRPr="00D11EE4">
              <w:rPr>
                <w:sz w:val="24"/>
                <w:szCs w:val="24"/>
              </w:rPr>
              <w:t>High</w:t>
            </w:r>
          </w:p>
        </w:tc>
        <w:tc>
          <w:tcPr>
            <w:tcW w:w="2926" w:type="dxa"/>
            <w:tcBorders>
              <w:top w:val="single" w:sz="4" w:space="0" w:color="AAAAAA"/>
              <w:left w:val="single" w:sz="4" w:space="0" w:color="AAAAAA"/>
              <w:bottom w:val="single" w:sz="4" w:space="0" w:color="AAAAAA"/>
              <w:right w:val="single" w:sz="4" w:space="0" w:color="AAAAAA"/>
            </w:tcBorders>
            <w:shd w:val="clear" w:color="auto" w:fill="C00000"/>
            <w:tcMar>
              <w:top w:w="80" w:type="dxa"/>
              <w:left w:w="120" w:type="dxa"/>
              <w:bottom w:w="80" w:type="dxa"/>
              <w:right w:w="120" w:type="dxa"/>
            </w:tcMar>
            <w:vAlign w:val="center"/>
          </w:tcPr>
          <w:p w14:paraId="4C4803D5" w14:textId="77777777" w:rsidR="00825697" w:rsidRPr="00D11EE4" w:rsidRDefault="009C1F85" w:rsidP="000412E1">
            <w:pPr>
              <w:spacing w:line="360" w:lineRule="auto"/>
              <w:jc w:val="center"/>
              <w:rPr>
                <w:sz w:val="24"/>
                <w:szCs w:val="24"/>
              </w:rPr>
            </w:pPr>
            <w:r w:rsidRPr="00D11EE4">
              <w:rPr>
                <w:b/>
                <w:bCs/>
                <w:color w:val="FFFFFF"/>
                <w:sz w:val="24"/>
                <w:szCs w:val="24"/>
              </w:rPr>
              <w:t>Critical</w:t>
            </w:r>
          </w:p>
        </w:tc>
      </w:tr>
      <w:tr w:rsidR="00825697" w:rsidRPr="00D11EE4" w14:paraId="274EF1C0" w14:textId="77777777">
        <w:tc>
          <w:tcPr>
            <w:tcW w:w="36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695E38C6" w14:textId="77777777" w:rsidR="00825697" w:rsidRPr="00D11EE4" w:rsidRDefault="009C1F85" w:rsidP="000412E1">
            <w:pPr>
              <w:spacing w:line="360" w:lineRule="auto"/>
              <w:rPr>
                <w:sz w:val="24"/>
                <w:szCs w:val="24"/>
              </w:rPr>
            </w:pPr>
            <w:r w:rsidRPr="00D11EE4">
              <w:rPr>
                <w:sz w:val="24"/>
                <w:szCs w:val="24"/>
              </w:rPr>
              <w:t>Regulatory Non-Compliance (Consumer Duty; GDPR)</w:t>
            </w:r>
          </w:p>
        </w:tc>
        <w:tc>
          <w:tcPr>
            <w:tcW w:w="125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5EB50016" w14:textId="77777777" w:rsidR="00825697" w:rsidRPr="00D11EE4" w:rsidRDefault="009C1F85" w:rsidP="000412E1">
            <w:pPr>
              <w:spacing w:line="360" w:lineRule="auto"/>
              <w:jc w:val="center"/>
              <w:rPr>
                <w:sz w:val="24"/>
                <w:szCs w:val="24"/>
              </w:rPr>
            </w:pPr>
            <w:r w:rsidRPr="00D11EE4">
              <w:rPr>
                <w:sz w:val="24"/>
                <w:szCs w:val="24"/>
              </w:rPr>
              <w:t>Medium</w:t>
            </w:r>
          </w:p>
        </w:tc>
        <w:tc>
          <w:tcPr>
            <w:tcW w:w="125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60D13C02" w14:textId="77777777" w:rsidR="00825697" w:rsidRPr="00D11EE4" w:rsidRDefault="009C1F85" w:rsidP="000412E1">
            <w:pPr>
              <w:spacing w:line="360" w:lineRule="auto"/>
              <w:jc w:val="center"/>
              <w:rPr>
                <w:sz w:val="24"/>
                <w:szCs w:val="24"/>
              </w:rPr>
            </w:pPr>
            <w:r w:rsidRPr="00D11EE4">
              <w:rPr>
                <w:sz w:val="24"/>
                <w:szCs w:val="24"/>
              </w:rPr>
              <w:t>Very High</w:t>
            </w:r>
          </w:p>
        </w:tc>
        <w:tc>
          <w:tcPr>
            <w:tcW w:w="2926" w:type="dxa"/>
            <w:tcBorders>
              <w:top w:val="single" w:sz="4" w:space="0" w:color="AAAAAA"/>
              <w:left w:val="single" w:sz="4" w:space="0" w:color="AAAAAA"/>
              <w:bottom w:val="single" w:sz="4" w:space="0" w:color="AAAAAA"/>
              <w:right w:val="single" w:sz="4" w:space="0" w:color="AAAAAA"/>
            </w:tcBorders>
            <w:shd w:val="clear" w:color="auto" w:fill="C00000"/>
            <w:tcMar>
              <w:top w:w="80" w:type="dxa"/>
              <w:left w:w="120" w:type="dxa"/>
              <w:bottom w:w="80" w:type="dxa"/>
              <w:right w:w="120" w:type="dxa"/>
            </w:tcMar>
            <w:vAlign w:val="center"/>
          </w:tcPr>
          <w:p w14:paraId="55F807C5" w14:textId="77777777" w:rsidR="00825697" w:rsidRPr="00D11EE4" w:rsidRDefault="009C1F85" w:rsidP="000412E1">
            <w:pPr>
              <w:spacing w:line="360" w:lineRule="auto"/>
              <w:jc w:val="center"/>
              <w:rPr>
                <w:sz w:val="24"/>
                <w:szCs w:val="24"/>
              </w:rPr>
            </w:pPr>
            <w:r w:rsidRPr="00D11EE4">
              <w:rPr>
                <w:b/>
                <w:bCs/>
                <w:color w:val="FFFFFF"/>
                <w:sz w:val="24"/>
                <w:szCs w:val="24"/>
              </w:rPr>
              <w:t>Critical</w:t>
            </w:r>
          </w:p>
        </w:tc>
      </w:tr>
      <w:tr w:rsidR="00825697" w:rsidRPr="00D11EE4" w14:paraId="2764F41E" w14:textId="77777777">
        <w:tc>
          <w:tcPr>
            <w:tcW w:w="3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A9D1CC8" w14:textId="77777777" w:rsidR="00825697" w:rsidRPr="00D11EE4" w:rsidRDefault="009C1F85" w:rsidP="000412E1">
            <w:pPr>
              <w:spacing w:line="360" w:lineRule="auto"/>
              <w:rPr>
                <w:sz w:val="24"/>
                <w:szCs w:val="24"/>
              </w:rPr>
            </w:pPr>
            <w:r w:rsidRPr="00D11EE4">
              <w:rPr>
                <w:sz w:val="24"/>
                <w:szCs w:val="24"/>
              </w:rPr>
              <w:t>Reputational Damage (public disclosure of bias)</w:t>
            </w:r>
          </w:p>
        </w:tc>
        <w:tc>
          <w:tcPr>
            <w:tcW w:w="125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865E9D1" w14:textId="77777777" w:rsidR="00825697" w:rsidRPr="00D11EE4" w:rsidRDefault="009C1F85" w:rsidP="000412E1">
            <w:pPr>
              <w:spacing w:line="360" w:lineRule="auto"/>
              <w:jc w:val="center"/>
              <w:rPr>
                <w:sz w:val="24"/>
                <w:szCs w:val="24"/>
              </w:rPr>
            </w:pPr>
            <w:r w:rsidRPr="00D11EE4">
              <w:rPr>
                <w:sz w:val="24"/>
                <w:szCs w:val="24"/>
              </w:rPr>
              <w:t>Medium</w:t>
            </w:r>
          </w:p>
        </w:tc>
        <w:tc>
          <w:tcPr>
            <w:tcW w:w="125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8C7C381" w14:textId="77777777" w:rsidR="00825697" w:rsidRPr="00D11EE4" w:rsidRDefault="009C1F85" w:rsidP="000412E1">
            <w:pPr>
              <w:spacing w:line="360" w:lineRule="auto"/>
              <w:jc w:val="center"/>
              <w:rPr>
                <w:sz w:val="24"/>
                <w:szCs w:val="24"/>
              </w:rPr>
            </w:pPr>
            <w:r w:rsidRPr="00D11EE4">
              <w:rPr>
                <w:sz w:val="24"/>
                <w:szCs w:val="24"/>
              </w:rPr>
              <w:t>Very High</w:t>
            </w:r>
          </w:p>
        </w:tc>
        <w:tc>
          <w:tcPr>
            <w:tcW w:w="2926" w:type="dxa"/>
            <w:tcBorders>
              <w:top w:val="single" w:sz="4" w:space="0" w:color="AAAAAA"/>
              <w:left w:val="single" w:sz="4" w:space="0" w:color="AAAAAA"/>
              <w:bottom w:val="single" w:sz="4" w:space="0" w:color="AAAAAA"/>
              <w:right w:val="single" w:sz="4" w:space="0" w:color="AAAAAA"/>
            </w:tcBorders>
            <w:shd w:val="clear" w:color="auto" w:fill="C00000"/>
            <w:tcMar>
              <w:top w:w="80" w:type="dxa"/>
              <w:left w:w="120" w:type="dxa"/>
              <w:bottom w:w="80" w:type="dxa"/>
              <w:right w:w="120" w:type="dxa"/>
            </w:tcMar>
            <w:vAlign w:val="center"/>
          </w:tcPr>
          <w:p w14:paraId="42A3F7C4" w14:textId="77777777" w:rsidR="00825697" w:rsidRPr="00D11EE4" w:rsidRDefault="009C1F85" w:rsidP="000412E1">
            <w:pPr>
              <w:spacing w:line="360" w:lineRule="auto"/>
              <w:jc w:val="center"/>
              <w:rPr>
                <w:sz w:val="24"/>
                <w:szCs w:val="24"/>
              </w:rPr>
            </w:pPr>
            <w:r w:rsidRPr="00D11EE4">
              <w:rPr>
                <w:b/>
                <w:bCs/>
                <w:color w:val="FFFFFF"/>
                <w:sz w:val="24"/>
                <w:szCs w:val="24"/>
              </w:rPr>
              <w:t>Critical</w:t>
            </w:r>
          </w:p>
        </w:tc>
      </w:tr>
      <w:tr w:rsidR="00825697" w:rsidRPr="00D11EE4" w14:paraId="6BEA3A18" w14:textId="77777777">
        <w:tc>
          <w:tcPr>
            <w:tcW w:w="36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66F5FB89" w14:textId="77777777" w:rsidR="00825697" w:rsidRPr="00D11EE4" w:rsidRDefault="009C1F85" w:rsidP="000412E1">
            <w:pPr>
              <w:spacing w:line="360" w:lineRule="auto"/>
              <w:rPr>
                <w:sz w:val="24"/>
                <w:szCs w:val="24"/>
              </w:rPr>
            </w:pPr>
            <w:r w:rsidRPr="00D11EE4">
              <w:rPr>
                <w:sz w:val="24"/>
                <w:szCs w:val="24"/>
              </w:rPr>
              <w:t>Third-Party Model Risk (external data bias)</w:t>
            </w:r>
          </w:p>
        </w:tc>
        <w:tc>
          <w:tcPr>
            <w:tcW w:w="125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05BFB268" w14:textId="77777777" w:rsidR="00825697" w:rsidRPr="00D11EE4" w:rsidRDefault="009C1F85" w:rsidP="000412E1">
            <w:pPr>
              <w:spacing w:line="360" w:lineRule="auto"/>
              <w:jc w:val="center"/>
              <w:rPr>
                <w:sz w:val="24"/>
                <w:szCs w:val="24"/>
              </w:rPr>
            </w:pPr>
            <w:r w:rsidRPr="00D11EE4">
              <w:rPr>
                <w:sz w:val="24"/>
                <w:szCs w:val="24"/>
              </w:rPr>
              <w:t>Medium</w:t>
            </w:r>
          </w:p>
        </w:tc>
        <w:tc>
          <w:tcPr>
            <w:tcW w:w="125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262BE805" w14:textId="77777777" w:rsidR="00825697" w:rsidRPr="00D11EE4" w:rsidRDefault="009C1F85" w:rsidP="000412E1">
            <w:pPr>
              <w:spacing w:line="360" w:lineRule="auto"/>
              <w:jc w:val="center"/>
              <w:rPr>
                <w:sz w:val="24"/>
                <w:szCs w:val="24"/>
              </w:rPr>
            </w:pPr>
            <w:r w:rsidRPr="00D11EE4">
              <w:rPr>
                <w:sz w:val="24"/>
                <w:szCs w:val="24"/>
              </w:rPr>
              <w:t>High</w:t>
            </w:r>
          </w:p>
        </w:tc>
        <w:tc>
          <w:tcPr>
            <w:tcW w:w="2926" w:type="dxa"/>
            <w:tcBorders>
              <w:top w:val="single" w:sz="4" w:space="0" w:color="AAAAAA"/>
              <w:left w:val="single" w:sz="4" w:space="0" w:color="AAAAAA"/>
              <w:bottom w:val="single" w:sz="4" w:space="0" w:color="AAAAAA"/>
              <w:right w:val="single" w:sz="4" w:space="0" w:color="AAAAAA"/>
            </w:tcBorders>
            <w:shd w:val="clear" w:color="auto" w:fill="FFC000"/>
            <w:tcMar>
              <w:top w:w="80" w:type="dxa"/>
              <w:left w:w="120" w:type="dxa"/>
              <w:bottom w:w="80" w:type="dxa"/>
              <w:right w:w="120" w:type="dxa"/>
            </w:tcMar>
            <w:vAlign w:val="center"/>
          </w:tcPr>
          <w:p w14:paraId="7D70D00B" w14:textId="77777777" w:rsidR="00825697" w:rsidRPr="00D11EE4" w:rsidRDefault="009C1F85" w:rsidP="000412E1">
            <w:pPr>
              <w:spacing w:line="360" w:lineRule="auto"/>
              <w:jc w:val="center"/>
              <w:rPr>
                <w:sz w:val="24"/>
                <w:szCs w:val="24"/>
              </w:rPr>
            </w:pPr>
            <w:r w:rsidRPr="00D11EE4">
              <w:rPr>
                <w:b/>
                <w:bCs/>
                <w:color w:val="FFFFFF"/>
                <w:sz w:val="24"/>
                <w:szCs w:val="24"/>
              </w:rPr>
              <w:t>High</w:t>
            </w:r>
          </w:p>
        </w:tc>
      </w:tr>
      <w:tr w:rsidR="00825697" w:rsidRPr="00D11EE4" w14:paraId="4D5A54ED" w14:textId="77777777">
        <w:tc>
          <w:tcPr>
            <w:tcW w:w="3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3C38D8D" w14:textId="77777777" w:rsidR="00825697" w:rsidRPr="00D11EE4" w:rsidRDefault="009C1F85" w:rsidP="000412E1">
            <w:pPr>
              <w:spacing w:line="360" w:lineRule="auto"/>
              <w:rPr>
                <w:sz w:val="24"/>
                <w:szCs w:val="24"/>
              </w:rPr>
            </w:pPr>
            <w:r w:rsidRPr="00D11EE4">
              <w:rPr>
                <w:sz w:val="24"/>
                <w:szCs w:val="24"/>
              </w:rPr>
              <w:lastRenderedPageBreak/>
              <w:t>Explainability Deficit (adverse action notice)</w:t>
            </w:r>
          </w:p>
        </w:tc>
        <w:tc>
          <w:tcPr>
            <w:tcW w:w="125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01A242D" w14:textId="77777777" w:rsidR="00825697" w:rsidRPr="00D11EE4" w:rsidRDefault="009C1F85" w:rsidP="000412E1">
            <w:pPr>
              <w:spacing w:line="360" w:lineRule="auto"/>
              <w:jc w:val="center"/>
              <w:rPr>
                <w:sz w:val="24"/>
                <w:szCs w:val="24"/>
              </w:rPr>
            </w:pPr>
            <w:r w:rsidRPr="00D11EE4">
              <w:rPr>
                <w:sz w:val="24"/>
                <w:szCs w:val="24"/>
              </w:rPr>
              <w:t>Medium</w:t>
            </w:r>
          </w:p>
        </w:tc>
        <w:tc>
          <w:tcPr>
            <w:tcW w:w="125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5EAB6E8" w14:textId="77777777" w:rsidR="00825697" w:rsidRPr="00D11EE4" w:rsidRDefault="009C1F85" w:rsidP="000412E1">
            <w:pPr>
              <w:spacing w:line="360" w:lineRule="auto"/>
              <w:jc w:val="center"/>
              <w:rPr>
                <w:sz w:val="24"/>
                <w:szCs w:val="24"/>
              </w:rPr>
            </w:pPr>
            <w:r w:rsidRPr="00D11EE4">
              <w:rPr>
                <w:sz w:val="24"/>
                <w:szCs w:val="24"/>
              </w:rPr>
              <w:t>Medium</w:t>
            </w:r>
          </w:p>
        </w:tc>
        <w:tc>
          <w:tcPr>
            <w:tcW w:w="2926" w:type="dxa"/>
            <w:tcBorders>
              <w:top w:val="single" w:sz="4" w:space="0" w:color="AAAAAA"/>
              <w:left w:val="single" w:sz="4" w:space="0" w:color="AAAAAA"/>
              <w:bottom w:val="single" w:sz="4" w:space="0" w:color="AAAAAA"/>
              <w:right w:val="single" w:sz="4" w:space="0" w:color="AAAAAA"/>
            </w:tcBorders>
            <w:shd w:val="clear" w:color="auto" w:fill="70AD47"/>
            <w:tcMar>
              <w:top w:w="80" w:type="dxa"/>
              <w:left w:w="120" w:type="dxa"/>
              <w:bottom w:w="80" w:type="dxa"/>
              <w:right w:w="120" w:type="dxa"/>
            </w:tcMar>
            <w:vAlign w:val="center"/>
          </w:tcPr>
          <w:p w14:paraId="68778C9D" w14:textId="77777777" w:rsidR="00825697" w:rsidRPr="00D11EE4" w:rsidRDefault="009C1F85" w:rsidP="000412E1">
            <w:pPr>
              <w:spacing w:line="360" w:lineRule="auto"/>
              <w:jc w:val="center"/>
              <w:rPr>
                <w:sz w:val="24"/>
                <w:szCs w:val="24"/>
              </w:rPr>
            </w:pPr>
            <w:r w:rsidRPr="00D11EE4">
              <w:rPr>
                <w:b/>
                <w:bCs/>
                <w:color w:val="FFFFFF"/>
                <w:sz w:val="24"/>
                <w:szCs w:val="24"/>
              </w:rPr>
              <w:t>Medium</w:t>
            </w:r>
          </w:p>
        </w:tc>
      </w:tr>
    </w:tbl>
    <w:p w14:paraId="1D78E589" w14:textId="77777777" w:rsidR="00825697" w:rsidRPr="00D11EE4" w:rsidRDefault="00825697" w:rsidP="000412E1">
      <w:pPr>
        <w:spacing w:line="360" w:lineRule="auto"/>
        <w:rPr>
          <w:sz w:val="24"/>
          <w:szCs w:val="24"/>
        </w:rPr>
      </w:pPr>
    </w:p>
    <w:p w14:paraId="420A7FA7" w14:textId="242A395E" w:rsidR="00825697" w:rsidRPr="00D11EE4" w:rsidRDefault="009C1F85" w:rsidP="00D11EE4">
      <w:pPr>
        <w:pStyle w:val="Heading1"/>
      </w:pPr>
      <w:bookmarkStart w:id="11" w:name="_Toc228047126"/>
      <w:r w:rsidRPr="00D11EE4">
        <w:t>Regulatory Comparison: UK and European Union</w:t>
      </w:r>
      <w:bookmarkEnd w:id="11"/>
    </w:p>
    <w:p w14:paraId="27CFFD11" w14:textId="4E4B60CF" w:rsidR="00825697" w:rsidRPr="00D11EE4" w:rsidRDefault="009C1F85" w:rsidP="00BE7BB0">
      <w:pPr>
        <w:pStyle w:val="Heading2"/>
      </w:pPr>
      <w:bookmarkStart w:id="12" w:name="_Toc228047127"/>
      <w:r w:rsidRPr="00D11EE4">
        <w:t>The UK Regulatory Landscape</w:t>
      </w:r>
      <w:bookmarkEnd w:id="12"/>
    </w:p>
    <w:p w14:paraId="3978ADFE" w14:textId="365F2ED5" w:rsidR="00361A6D" w:rsidRPr="00D11EE4" w:rsidRDefault="00361A6D" w:rsidP="00361A6D">
      <w:pPr>
        <w:spacing w:line="360" w:lineRule="auto"/>
        <w:jc w:val="both"/>
        <w:rPr>
          <w:sz w:val="24"/>
          <w:szCs w:val="24"/>
        </w:rPr>
      </w:pPr>
      <w:r w:rsidRPr="00D11EE4">
        <w:rPr>
          <w:sz w:val="24"/>
          <w:szCs w:val="24"/>
        </w:rPr>
        <w:t xml:space="preserve">The </w:t>
      </w:r>
      <w:r w:rsidR="00254EDE">
        <w:rPr>
          <w:sz w:val="24"/>
          <w:szCs w:val="24"/>
        </w:rPr>
        <w:t xml:space="preserve">UK's policy towards AI regulation in financial services is indicative of a conscious decision to </w:t>
      </w:r>
      <w:proofErr w:type="spellStart"/>
      <w:r w:rsidR="00254EDE">
        <w:rPr>
          <w:sz w:val="24"/>
          <w:szCs w:val="24"/>
        </w:rPr>
        <w:t>prioritise</w:t>
      </w:r>
      <w:proofErr w:type="spellEnd"/>
      <w:r w:rsidR="00254EDE">
        <w:rPr>
          <w:sz w:val="24"/>
          <w:szCs w:val="24"/>
        </w:rPr>
        <w:t xml:space="preserve"> flexibility over</w:t>
      </w:r>
      <w:r w:rsidRPr="00D11EE4">
        <w:rPr>
          <w:sz w:val="24"/>
          <w:szCs w:val="24"/>
        </w:rPr>
        <w:t xml:space="preserve"> prescriptive rule-making. The 2023 AI regulation white paper stated five cross-sectoral principles: safety and security, transparency and explainability, fairness, accountability and governance, and contestability and redress</w:t>
      </w:r>
      <w:r w:rsidR="00254EDE">
        <w:rPr>
          <w:sz w:val="24"/>
          <w:szCs w:val="24"/>
        </w:rPr>
        <w:t>,</w:t>
      </w:r>
      <w:r w:rsidRPr="00D11EE4">
        <w:rPr>
          <w:sz w:val="24"/>
          <w:szCs w:val="24"/>
        </w:rPr>
        <w:t xml:space="preserve"> but did not codify them, instructing current regulators to implement them within existing frameworks (GOV.UK, 2023). In the case of the FCA, this would mean that companies should </w:t>
      </w:r>
      <w:r w:rsidR="00254EDE">
        <w:rPr>
          <w:sz w:val="24"/>
          <w:szCs w:val="24"/>
        </w:rPr>
        <w:t>demonstrate compliance through current SM&amp;CR accountability frameworks, rather than through</w:t>
      </w:r>
      <w:r w:rsidRPr="00D11EE4">
        <w:rPr>
          <w:sz w:val="24"/>
          <w:szCs w:val="24"/>
        </w:rPr>
        <w:t xml:space="preserve"> technical standards specifically addressing AI compliance.</w:t>
      </w:r>
    </w:p>
    <w:p w14:paraId="4714B559" w14:textId="3329E5DE" w:rsidR="00825697" w:rsidRPr="00D11EE4" w:rsidRDefault="00361A6D" w:rsidP="00361A6D">
      <w:pPr>
        <w:spacing w:line="360" w:lineRule="auto"/>
        <w:jc w:val="both"/>
        <w:rPr>
          <w:sz w:val="24"/>
          <w:szCs w:val="24"/>
        </w:rPr>
      </w:pPr>
      <w:r w:rsidRPr="00D11EE4">
        <w:rPr>
          <w:sz w:val="24"/>
          <w:szCs w:val="24"/>
        </w:rPr>
        <w:t xml:space="preserve">The </w:t>
      </w:r>
      <w:r w:rsidR="00254EDE">
        <w:rPr>
          <w:sz w:val="24"/>
          <w:szCs w:val="24"/>
        </w:rPr>
        <w:t>ICO's guidance on explaining AI decisions states that Article 22 of the UK GDPR grants individuals the right not to be subject to automated decisions with significant legal consequences, and the right to a meaningful explanation of those decisions</w:t>
      </w:r>
      <w:r w:rsidRPr="00D11EE4">
        <w:rPr>
          <w:sz w:val="24"/>
          <w:szCs w:val="24"/>
        </w:rPr>
        <w:t xml:space="preserve"> (ICO, 2023). Under credit scoring, this results in a direct legal requirement to </w:t>
      </w:r>
      <w:r w:rsidR="00254EDE">
        <w:rPr>
          <w:sz w:val="24"/>
          <w:szCs w:val="24"/>
        </w:rPr>
        <w:t>explain in terms comprehensible to a layperson and capable of</w:t>
      </w:r>
      <w:r w:rsidRPr="00D11EE4">
        <w:rPr>
          <w:sz w:val="24"/>
          <w:szCs w:val="24"/>
        </w:rPr>
        <w:t xml:space="preserve"> challenge. The </w:t>
      </w:r>
      <w:r w:rsidR="00254EDE">
        <w:rPr>
          <w:sz w:val="24"/>
          <w:szCs w:val="24"/>
        </w:rPr>
        <w:t xml:space="preserve">ICO's principles of AI decision-making provide a substantive standard for evaluating Barclays' existing practices in explanation </w:t>
      </w:r>
      <w:r w:rsidRPr="00D11EE4">
        <w:rPr>
          <w:sz w:val="24"/>
          <w:szCs w:val="24"/>
        </w:rPr>
        <w:t xml:space="preserve">(ICO, 2024). A research note by the FCA (2025) on the use of AI in credit decisions </w:t>
      </w:r>
      <w:r w:rsidR="00254EDE">
        <w:rPr>
          <w:sz w:val="24"/>
          <w:szCs w:val="24"/>
        </w:rPr>
        <w:t>indicates that the regulator is taking proactive steps to determine whether current disclosure practices meet</w:t>
      </w:r>
      <w:r w:rsidRPr="00D11EE4">
        <w:rPr>
          <w:sz w:val="24"/>
          <w:szCs w:val="24"/>
        </w:rPr>
        <w:t xml:space="preserve"> the standard.</w:t>
      </w:r>
    </w:p>
    <w:p w14:paraId="007DEBC8" w14:textId="7DA1BEFD" w:rsidR="00825697" w:rsidRPr="00D11EE4" w:rsidRDefault="009C1F85" w:rsidP="00BE7BB0">
      <w:pPr>
        <w:pStyle w:val="Heading2"/>
      </w:pPr>
      <w:bookmarkStart w:id="13" w:name="_Toc228047128"/>
      <w:r w:rsidRPr="00D11EE4">
        <w:t>The EU Regulatory Landscape</w:t>
      </w:r>
      <w:bookmarkEnd w:id="13"/>
    </w:p>
    <w:p w14:paraId="6672AB5C" w14:textId="77777777" w:rsidR="00E30E94" w:rsidRPr="00E30E94" w:rsidRDefault="00E30E94" w:rsidP="00E30E94">
      <w:pPr>
        <w:spacing w:line="360" w:lineRule="auto"/>
        <w:jc w:val="both"/>
        <w:rPr>
          <w:sz w:val="24"/>
          <w:szCs w:val="24"/>
        </w:rPr>
      </w:pPr>
      <w:r w:rsidRPr="00E30E94">
        <w:rPr>
          <w:sz w:val="24"/>
          <w:szCs w:val="24"/>
        </w:rPr>
        <w:t>The EU AI Act that will be in effect in 2024 and fully in effect in 2026 is the first broad legislation that seeks to regulate the AI systems in the world. It classifies AI applications into four levels, namely unacceptable risk (prohibited), high risk (extensive pre-deployment obligations), limited risk (transparency obligations), and minimal risk (unregulated) and places AI systems in credit scoring under the high-risk category (</w:t>
      </w:r>
      <w:proofErr w:type="spellStart"/>
      <w:r w:rsidRPr="00E30E94">
        <w:rPr>
          <w:sz w:val="24"/>
          <w:szCs w:val="24"/>
        </w:rPr>
        <w:t>Vukovic</w:t>
      </w:r>
      <w:proofErr w:type="spellEnd"/>
      <w:r w:rsidRPr="00E30E94">
        <w:rPr>
          <w:sz w:val="24"/>
          <w:szCs w:val="24"/>
        </w:rPr>
        <w:t xml:space="preserve">, </w:t>
      </w:r>
      <w:proofErr w:type="spellStart"/>
      <w:r w:rsidRPr="00E30E94">
        <w:rPr>
          <w:sz w:val="24"/>
          <w:szCs w:val="24"/>
        </w:rPr>
        <w:t>Dekpo-Adza</w:t>
      </w:r>
      <w:proofErr w:type="spellEnd"/>
      <w:r w:rsidRPr="00E30E94">
        <w:rPr>
          <w:sz w:val="24"/>
          <w:szCs w:val="24"/>
        </w:rPr>
        <w:t xml:space="preserve"> and </w:t>
      </w:r>
      <w:proofErr w:type="spellStart"/>
      <w:r w:rsidRPr="00E30E94">
        <w:rPr>
          <w:sz w:val="24"/>
          <w:szCs w:val="24"/>
        </w:rPr>
        <w:t>Matovic</w:t>
      </w:r>
      <w:proofErr w:type="spellEnd"/>
      <w:r w:rsidRPr="00E30E94">
        <w:rPr>
          <w:sz w:val="24"/>
          <w:szCs w:val="24"/>
        </w:rPr>
        <w:t>, 2025). The classification involves mandatory evaluations of conformity, technical documentation, subscribing to a publicly accessible EU database, human supervision procedures and system of post-marketing controls.</w:t>
      </w:r>
    </w:p>
    <w:p w14:paraId="7BCA9C4A" w14:textId="5824DD75" w:rsidR="00825697" w:rsidRPr="00D11EE4" w:rsidRDefault="00E30E94" w:rsidP="00E30E94">
      <w:pPr>
        <w:spacing w:line="360" w:lineRule="auto"/>
        <w:jc w:val="both"/>
        <w:rPr>
          <w:sz w:val="24"/>
          <w:szCs w:val="24"/>
        </w:rPr>
      </w:pPr>
      <w:r w:rsidRPr="00E30E94">
        <w:rPr>
          <w:sz w:val="24"/>
          <w:szCs w:val="24"/>
        </w:rPr>
        <w:lastRenderedPageBreak/>
        <w:t>EU AI Act and Barclays are most directly applicable to each other through its extraterritoriality. The Act will apply to any provider/deployer of AI systems posting outputs to the EU market or affecting people within the EU, irrespective of the location of the provider. The extensive activities of Barclays in Europe subject its AI systems to the provisions of the Act. In the case of the most severe offences, the non-compliance fines are between 30m to 6 per cent. of global annual turnover, which is a material financial risk in the case of Barclays. In the EU model, a totally different regulatory philosophy the UK is motivated by a system of outcome-based supervision, the EU has obligations based on technology-oriented and legally binding processes.</w:t>
      </w:r>
    </w:p>
    <w:p w14:paraId="26DACE7A" w14:textId="6A39B9BE" w:rsidR="00825697" w:rsidRPr="00D11EE4" w:rsidRDefault="009C1F85" w:rsidP="00BE7BB0">
      <w:pPr>
        <w:pStyle w:val="Heading2"/>
      </w:pPr>
      <w:bookmarkStart w:id="14" w:name="_Toc228047129"/>
      <w:r w:rsidRPr="00D11EE4">
        <w:t>Critical Evaluation of Regulatory Divergence</w:t>
      </w:r>
      <w:bookmarkEnd w:id="14"/>
    </w:p>
    <w:p w14:paraId="379443BE" w14:textId="57B52351" w:rsidR="00825697" w:rsidRPr="00D11EE4" w:rsidRDefault="00E30E94" w:rsidP="004814B1">
      <w:pPr>
        <w:spacing w:line="360" w:lineRule="auto"/>
        <w:jc w:val="both"/>
        <w:rPr>
          <w:sz w:val="24"/>
          <w:szCs w:val="24"/>
        </w:rPr>
      </w:pPr>
      <w:r w:rsidRPr="00E30E94">
        <w:rPr>
          <w:sz w:val="24"/>
          <w:szCs w:val="24"/>
        </w:rPr>
        <w:t xml:space="preserve">The variations in the regulation of AI between the UK and EU present a strategic issue that is a real challenge to a multinational bank. Barclays can either implement AI governance to the more stringent EU standard, which would provide one, cross-jurisdictional governance structure, or it can remain with parallel systems that are locally optimal but globally inconsistent. The latter is linked to higher initial compliance costs, greater long-term operational and reduced risks of regulatory arbitrage claims. The latter is not only flexible on a </w:t>
      </w:r>
      <w:proofErr w:type="gramStart"/>
      <w:r w:rsidRPr="00E30E94">
        <w:rPr>
          <w:sz w:val="24"/>
          <w:szCs w:val="24"/>
        </w:rPr>
        <w:t>short term</w:t>
      </w:r>
      <w:proofErr w:type="gramEnd"/>
      <w:r w:rsidRPr="00E30E94">
        <w:rPr>
          <w:sz w:val="24"/>
          <w:szCs w:val="24"/>
        </w:rPr>
        <w:t xml:space="preserve"> basis but also leads to fragility since the requirements in both jurisdictions continue to vary. We know that both regimes are converging towards the accountability and explainability standards, and it is a strategy to adjust to the EU standard and apply it as a working standard.</w:t>
      </w:r>
    </w:p>
    <w:p w14:paraId="55763758" w14:textId="12B50F20" w:rsidR="004814B1" w:rsidRPr="00D11EE4" w:rsidRDefault="004814B1" w:rsidP="004814B1">
      <w:pPr>
        <w:pStyle w:val="Caption"/>
        <w:keepNext/>
      </w:pPr>
      <w:r w:rsidRPr="00D11EE4">
        <w:t xml:space="preserve">Table </w:t>
      </w:r>
      <w:r w:rsidR="0015439D">
        <w:fldChar w:fldCharType="begin"/>
      </w:r>
      <w:r w:rsidR="0015439D">
        <w:instrText xml:space="preserve"> SEQ Table \* ARABIC </w:instrText>
      </w:r>
      <w:r w:rsidR="0015439D">
        <w:fldChar w:fldCharType="separate"/>
      </w:r>
      <w:r w:rsidR="00601C9B" w:rsidRPr="00D11EE4">
        <w:rPr>
          <w:noProof/>
        </w:rPr>
        <w:t>3</w:t>
      </w:r>
      <w:r w:rsidR="0015439D">
        <w:rPr>
          <w:noProof/>
        </w:rPr>
        <w:fldChar w:fldCharType="end"/>
      </w:r>
      <w:r w:rsidRPr="00D11EE4">
        <w:t>: Regulatory Comparison UK vs. EU AI Frameworks in Credit Decision-Making</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3113"/>
        <w:gridCol w:w="3113"/>
      </w:tblGrid>
      <w:tr w:rsidR="00825697" w:rsidRPr="00D11EE4" w14:paraId="297964AE" w14:textId="77777777">
        <w:trPr>
          <w:tblHeader/>
        </w:trPr>
        <w:tc>
          <w:tcPr>
            <w:tcW w:w="28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4DF79DF3" w14:textId="77777777" w:rsidR="00825697" w:rsidRPr="00D11EE4" w:rsidRDefault="009C1F85" w:rsidP="000412E1">
            <w:pPr>
              <w:spacing w:line="360" w:lineRule="auto"/>
              <w:jc w:val="center"/>
              <w:rPr>
                <w:sz w:val="24"/>
                <w:szCs w:val="24"/>
              </w:rPr>
            </w:pPr>
            <w:r w:rsidRPr="00D11EE4">
              <w:rPr>
                <w:b/>
                <w:bCs/>
                <w:color w:val="FFFFFF"/>
                <w:sz w:val="24"/>
                <w:szCs w:val="24"/>
              </w:rPr>
              <w:t>Dimension</w:t>
            </w:r>
          </w:p>
        </w:tc>
        <w:tc>
          <w:tcPr>
            <w:tcW w:w="3113"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2F734985" w14:textId="77777777" w:rsidR="00825697" w:rsidRPr="00D11EE4" w:rsidRDefault="009C1F85" w:rsidP="000412E1">
            <w:pPr>
              <w:spacing w:line="360" w:lineRule="auto"/>
              <w:jc w:val="center"/>
              <w:rPr>
                <w:sz w:val="24"/>
                <w:szCs w:val="24"/>
              </w:rPr>
            </w:pPr>
            <w:r w:rsidRPr="00D11EE4">
              <w:rPr>
                <w:b/>
                <w:bCs/>
                <w:color w:val="FFFFFF"/>
                <w:sz w:val="24"/>
                <w:szCs w:val="24"/>
              </w:rPr>
              <w:t>United Kingdom</w:t>
            </w:r>
          </w:p>
        </w:tc>
        <w:tc>
          <w:tcPr>
            <w:tcW w:w="3113"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74D84FC6" w14:textId="77777777" w:rsidR="00825697" w:rsidRPr="00D11EE4" w:rsidRDefault="009C1F85" w:rsidP="000412E1">
            <w:pPr>
              <w:spacing w:line="360" w:lineRule="auto"/>
              <w:jc w:val="center"/>
              <w:rPr>
                <w:sz w:val="24"/>
                <w:szCs w:val="24"/>
              </w:rPr>
            </w:pPr>
            <w:r w:rsidRPr="00D11EE4">
              <w:rPr>
                <w:b/>
                <w:bCs/>
                <w:color w:val="FFFFFF"/>
                <w:sz w:val="24"/>
                <w:szCs w:val="24"/>
              </w:rPr>
              <w:t>European Union</w:t>
            </w:r>
          </w:p>
        </w:tc>
      </w:tr>
      <w:tr w:rsidR="00825697" w:rsidRPr="00D11EE4" w14:paraId="64BC38F6" w14:textId="77777777">
        <w:tc>
          <w:tcPr>
            <w:tcW w:w="28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31182388" w14:textId="77777777" w:rsidR="00825697" w:rsidRPr="00D11EE4" w:rsidRDefault="009C1F85" w:rsidP="000412E1">
            <w:pPr>
              <w:spacing w:line="360" w:lineRule="auto"/>
              <w:rPr>
                <w:sz w:val="24"/>
                <w:szCs w:val="24"/>
              </w:rPr>
            </w:pPr>
            <w:r w:rsidRPr="00D11EE4">
              <w:rPr>
                <w:b/>
                <w:bCs/>
                <w:sz w:val="24"/>
                <w:szCs w:val="24"/>
              </w:rPr>
              <w:t>Legislative basis</w:t>
            </w:r>
          </w:p>
        </w:tc>
        <w:tc>
          <w:tcPr>
            <w:tcW w:w="3113"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0617D45A" w14:textId="77777777" w:rsidR="00825697" w:rsidRPr="00D11EE4" w:rsidRDefault="009C1F85" w:rsidP="000412E1">
            <w:pPr>
              <w:spacing w:line="360" w:lineRule="auto"/>
              <w:rPr>
                <w:sz w:val="24"/>
                <w:szCs w:val="24"/>
              </w:rPr>
            </w:pPr>
            <w:r w:rsidRPr="00D11EE4">
              <w:rPr>
                <w:sz w:val="24"/>
                <w:szCs w:val="24"/>
              </w:rPr>
              <w:t>Principles-based; no primary AI legislation</w:t>
            </w:r>
          </w:p>
        </w:tc>
        <w:tc>
          <w:tcPr>
            <w:tcW w:w="3113"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5B3A4029" w14:textId="77777777" w:rsidR="00825697" w:rsidRPr="00D11EE4" w:rsidRDefault="009C1F85" w:rsidP="000412E1">
            <w:pPr>
              <w:spacing w:line="360" w:lineRule="auto"/>
              <w:rPr>
                <w:sz w:val="24"/>
                <w:szCs w:val="24"/>
              </w:rPr>
            </w:pPr>
            <w:r w:rsidRPr="00D11EE4">
              <w:rPr>
                <w:sz w:val="24"/>
                <w:szCs w:val="24"/>
              </w:rPr>
              <w:t>EU AI Act (2024); binding regulation</w:t>
            </w:r>
          </w:p>
        </w:tc>
      </w:tr>
      <w:tr w:rsidR="00825697" w:rsidRPr="00D11EE4" w14:paraId="726062C4" w14:textId="77777777">
        <w:tc>
          <w:tcPr>
            <w:tcW w:w="2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3E22DEE" w14:textId="77777777" w:rsidR="00825697" w:rsidRPr="00D11EE4" w:rsidRDefault="009C1F85" w:rsidP="000412E1">
            <w:pPr>
              <w:spacing w:line="360" w:lineRule="auto"/>
              <w:rPr>
                <w:sz w:val="24"/>
                <w:szCs w:val="24"/>
              </w:rPr>
            </w:pPr>
            <w:r w:rsidRPr="00D11EE4">
              <w:rPr>
                <w:b/>
                <w:bCs/>
                <w:sz w:val="24"/>
                <w:szCs w:val="24"/>
              </w:rPr>
              <w:t>Risk classification</w:t>
            </w:r>
          </w:p>
        </w:tc>
        <w:tc>
          <w:tcPr>
            <w:tcW w:w="31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08C0E7" w14:textId="77777777" w:rsidR="00825697" w:rsidRPr="00D11EE4" w:rsidRDefault="009C1F85" w:rsidP="000412E1">
            <w:pPr>
              <w:spacing w:line="360" w:lineRule="auto"/>
              <w:rPr>
                <w:sz w:val="24"/>
                <w:szCs w:val="24"/>
              </w:rPr>
            </w:pPr>
            <w:r w:rsidRPr="00D11EE4">
              <w:rPr>
                <w:sz w:val="24"/>
                <w:szCs w:val="24"/>
              </w:rPr>
              <w:t>Outcome-based; FCA discretion</w:t>
            </w:r>
          </w:p>
        </w:tc>
        <w:tc>
          <w:tcPr>
            <w:tcW w:w="31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5DD35A8" w14:textId="77777777" w:rsidR="00825697" w:rsidRPr="00D11EE4" w:rsidRDefault="009C1F85" w:rsidP="000412E1">
            <w:pPr>
              <w:spacing w:line="360" w:lineRule="auto"/>
              <w:rPr>
                <w:sz w:val="24"/>
                <w:szCs w:val="24"/>
              </w:rPr>
            </w:pPr>
            <w:r w:rsidRPr="00D11EE4">
              <w:rPr>
                <w:sz w:val="24"/>
                <w:szCs w:val="24"/>
              </w:rPr>
              <w:t>Four-tier hierarchy; credit scoring = high-risk</w:t>
            </w:r>
          </w:p>
        </w:tc>
      </w:tr>
      <w:tr w:rsidR="00825697" w:rsidRPr="00D11EE4" w14:paraId="4B1103FD" w14:textId="77777777">
        <w:tc>
          <w:tcPr>
            <w:tcW w:w="28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76B9F941" w14:textId="77777777" w:rsidR="00825697" w:rsidRPr="00D11EE4" w:rsidRDefault="009C1F85" w:rsidP="000412E1">
            <w:pPr>
              <w:spacing w:line="360" w:lineRule="auto"/>
              <w:rPr>
                <w:sz w:val="24"/>
                <w:szCs w:val="24"/>
              </w:rPr>
            </w:pPr>
            <w:r w:rsidRPr="00D11EE4">
              <w:rPr>
                <w:b/>
                <w:bCs/>
                <w:sz w:val="24"/>
                <w:szCs w:val="24"/>
              </w:rPr>
              <w:t>Pre-deployment requirements</w:t>
            </w:r>
          </w:p>
        </w:tc>
        <w:tc>
          <w:tcPr>
            <w:tcW w:w="3113"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579C1CC9" w14:textId="77777777" w:rsidR="00825697" w:rsidRPr="00D11EE4" w:rsidRDefault="009C1F85" w:rsidP="000412E1">
            <w:pPr>
              <w:spacing w:line="360" w:lineRule="auto"/>
              <w:rPr>
                <w:sz w:val="24"/>
                <w:szCs w:val="24"/>
              </w:rPr>
            </w:pPr>
            <w:r w:rsidRPr="00D11EE4">
              <w:rPr>
                <w:sz w:val="24"/>
                <w:szCs w:val="24"/>
              </w:rPr>
              <w:t>Internal governance; FCA notification for novel models</w:t>
            </w:r>
          </w:p>
        </w:tc>
        <w:tc>
          <w:tcPr>
            <w:tcW w:w="3113"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1B0933B2" w14:textId="77777777" w:rsidR="00825697" w:rsidRPr="00D11EE4" w:rsidRDefault="009C1F85" w:rsidP="000412E1">
            <w:pPr>
              <w:spacing w:line="360" w:lineRule="auto"/>
              <w:rPr>
                <w:sz w:val="24"/>
                <w:szCs w:val="24"/>
              </w:rPr>
            </w:pPr>
            <w:r w:rsidRPr="00D11EE4">
              <w:rPr>
                <w:sz w:val="24"/>
                <w:szCs w:val="24"/>
              </w:rPr>
              <w:t>Mandatory conformity assessment; technical documentation</w:t>
            </w:r>
          </w:p>
        </w:tc>
      </w:tr>
      <w:tr w:rsidR="00825697" w:rsidRPr="00D11EE4" w14:paraId="04846428" w14:textId="77777777">
        <w:tc>
          <w:tcPr>
            <w:tcW w:w="2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6D2CFF5" w14:textId="77777777" w:rsidR="00825697" w:rsidRPr="00D11EE4" w:rsidRDefault="009C1F85" w:rsidP="000412E1">
            <w:pPr>
              <w:spacing w:line="360" w:lineRule="auto"/>
              <w:rPr>
                <w:sz w:val="24"/>
                <w:szCs w:val="24"/>
              </w:rPr>
            </w:pPr>
            <w:r w:rsidRPr="00D11EE4">
              <w:rPr>
                <w:b/>
                <w:bCs/>
                <w:sz w:val="24"/>
                <w:szCs w:val="24"/>
              </w:rPr>
              <w:t>Explainability obligation</w:t>
            </w:r>
          </w:p>
        </w:tc>
        <w:tc>
          <w:tcPr>
            <w:tcW w:w="31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080DC0C" w14:textId="77777777" w:rsidR="00825697" w:rsidRPr="00D11EE4" w:rsidRDefault="009C1F85" w:rsidP="000412E1">
            <w:pPr>
              <w:spacing w:line="360" w:lineRule="auto"/>
              <w:rPr>
                <w:sz w:val="24"/>
                <w:szCs w:val="24"/>
              </w:rPr>
            </w:pPr>
            <w:r w:rsidRPr="00D11EE4">
              <w:rPr>
                <w:sz w:val="24"/>
                <w:szCs w:val="24"/>
              </w:rPr>
              <w:t>UK GDPR Article 22; ICO guidance</w:t>
            </w:r>
          </w:p>
        </w:tc>
        <w:tc>
          <w:tcPr>
            <w:tcW w:w="31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A867D5F" w14:textId="77777777" w:rsidR="00825697" w:rsidRPr="00D11EE4" w:rsidRDefault="009C1F85" w:rsidP="000412E1">
            <w:pPr>
              <w:spacing w:line="360" w:lineRule="auto"/>
              <w:rPr>
                <w:sz w:val="24"/>
                <w:szCs w:val="24"/>
              </w:rPr>
            </w:pPr>
            <w:r w:rsidRPr="00D11EE4">
              <w:rPr>
                <w:sz w:val="24"/>
                <w:szCs w:val="24"/>
              </w:rPr>
              <w:t>AI Act Article 13; GDPR Article 22</w:t>
            </w:r>
          </w:p>
        </w:tc>
      </w:tr>
      <w:tr w:rsidR="00825697" w:rsidRPr="00D11EE4" w14:paraId="41EC1A3B" w14:textId="77777777">
        <w:tc>
          <w:tcPr>
            <w:tcW w:w="28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6603004F" w14:textId="77777777" w:rsidR="00825697" w:rsidRPr="00D11EE4" w:rsidRDefault="009C1F85" w:rsidP="000412E1">
            <w:pPr>
              <w:spacing w:line="360" w:lineRule="auto"/>
              <w:rPr>
                <w:sz w:val="24"/>
                <w:szCs w:val="24"/>
              </w:rPr>
            </w:pPr>
            <w:r w:rsidRPr="00D11EE4">
              <w:rPr>
                <w:b/>
                <w:bCs/>
                <w:sz w:val="24"/>
                <w:szCs w:val="24"/>
              </w:rPr>
              <w:lastRenderedPageBreak/>
              <w:t>Enforcement body</w:t>
            </w:r>
          </w:p>
        </w:tc>
        <w:tc>
          <w:tcPr>
            <w:tcW w:w="3113"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1C2FD63B" w14:textId="77777777" w:rsidR="00825697" w:rsidRPr="00D11EE4" w:rsidRDefault="009C1F85" w:rsidP="000412E1">
            <w:pPr>
              <w:spacing w:line="360" w:lineRule="auto"/>
              <w:rPr>
                <w:sz w:val="24"/>
                <w:szCs w:val="24"/>
              </w:rPr>
            </w:pPr>
            <w:r w:rsidRPr="00D11EE4">
              <w:rPr>
                <w:sz w:val="24"/>
                <w:szCs w:val="24"/>
              </w:rPr>
              <w:t>FCA; ICO</w:t>
            </w:r>
          </w:p>
        </w:tc>
        <w:tc>
          <w:tcPr>
            <w:tcW w:w="3113"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723A4EC0" w14:textId="77777777" w:rsidR="00825697" w:rsidRPr="00D11EE4" w:rsidRDefault="009C1F85" w:rsidP="000412E1">
            <w:pPr>
              <w:spacing w:line="360" w:lineRule="auto"/>
              <w:rPr>
                <w:sz w:val="24"/>
                <w:szCs w:val="24"/>
              </w:rPr>
            </w:pPr>
            <w:r w:rsidRPr="00D11EE4">
              <w:rPr>
                <w:sz w:val="24"/>
                <w:szCs w:val="24"/>
              </w:rPr>
              <w:t>EU AI Office; National Market Surveillance Authorities</w:t>
            </w:r>
          </w:p>
        </w:tc>
      </w:tr>
      <w:tr w:rsidR="00825697" w:rsidRPr="00D11EE4" w14:paraId="3162F36A" w14:textId="77777777">
        <w:tc>
          <w:tcPr>
            <w:tcW w:w="2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9B7144A" w14:textId="77777777" w:rsidR="00825697" w:rsidRPr="00D11EE4" w:rsidRDefault="009C1F85" w:rsidP="000412E1">
            <w:pPr>
              <w:spacing w:line="360" w:lineRule="auto"/>
              <w:rPr>
                <w:sz w:val="24"/>
                <w:szCs w:val="24"/>
              </w:rPr>
            </w:pPr>
            <w:r w:rsidRPr="00D11EE4">
              <w:rPr>
                <w:b/>
                <w:bCs/>
                <w:sz w:val="24"/>
                <w:szCs w:val="24"/>
              </w:rPr>
              <w:t>Maximum penalty</w:t>
            </w:r>
          </w:p>
        </w:tc>
        <w:tc>
          <w:tcPr>
            <w:tcW w:w="31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F921FF8" w14:textId="77777777" w:rsidR="00825697" w:rsidRPr="00D11EE4" w:rsidRDefault="009C1F85" w:rsidP="000412E1">
            <w:pPr>
              <w:spacing w:line="360" w:lineRule="auto"/>
              <w:rPr>
                <w:sz w:val="24"/>
                <w:szCs w:val="24"/>
              </w:rPr>
            </w:pPr>
            <w:r w:rsidRPr="00D11EE4">
              <w:rPr>
                <w:sz w:val="24"/>
                <w:szCs w:val="24"/>
              </w:rPr>
              <w:t>Unlimited (FCA); £17.5m / 4% turnover (ICO)</w:t>
            </w:r>
          </w:p>
        </w:tc>
        <w:tc>
          <w:tcPr>
            <w:tcW w:w="31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3E132B4" w14:textId="77777777" w:rsidR="00825697" w:rsidRPr="00D11EE4" w:rsidRDefault="009C1F85" w:rsidP="000412E1">
            <w:pPr>
              <w:spacing w:line="360" w:lineRule="auto"/>
              <w:rPr>
                <w:sz w:val="24"/>
                <w:szCs w:val="24"/>
              </w:rPr>
            </w:pPr>
            <w:r w:rsidRPr="00D11EE4">
              <w:rPr>
                <w:sz w:val="24"/>
                <w:szCs w:val="24"/>
              </w:rPr>
              <w:t>€30m or 6% of global turnover</w:t>
            </w:r>
          </w:p>
        </w:tc>
      </w:tr>
      <w:tr w:rsidR="00825697" w:rsidRPr="00D11EE4" w14:paraId="2E999387" w14:textId="77777777">
        <w:tc>
          <w:tcPr>
            <w:tcW w:w="28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3C21030C" w14:textId="77777777" w:rsidR="00825697" w:rsidRPr="00D11EE4" w:rsidRDefault="009C1F85" w:rsidP="000412E1">
            <w:pPr>
              <w:spacing w:line="360" w:lineRule="auto"/>
              <w:rPr>
                <w:sz w:val="24"/>
                <w:szCs w:val="24"/>
              </w:rPr>
            </w:pPr>
            <w:r w:rsidRPr="00D11EE4">
              <w:rPr>
                <w:b/>
                <w:bCs/>
                <w:sz w:val="24"/>
                <w:szCs w:val="24"/>
              </w:rPr>
              <w:t>Extraterritorial reach</w:t>
            </w:r>
          </w:p>
        </w:tc>
        <w:tc>
          <w:tcPr>
            <w:tcW w:w="3113"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597EBF85" w14:textId="77777777" w:rsidR="00825697" w:rsidRPr="00D11EE4" w:rsidRDefault="009C1F85" w:rsidP="000412E1">
            <w:pPr>
              <w:spacing w:line="360" w:lineRule="auto"/>
              <w:rPr>
                <w:sz w:val="24"/>
                <w:szCs w:val="24"/>
              </w:rPr>
            </w:pPr>
            <w:r w:rsidRPr="00D11EE4">
              <w:rPr>
                <w:sz w:val="24"/>
                <w:szCs w:val="24"/>
              </w:rPr>
              <w:t>Limited</w:t>
            </w:r>
          </w:p>
        </w:tc>
        <w:tc>
          <w:tcPr>
            <w:tcW w:w="3113"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6E863B30" w14:textId="5F1851C6" w:rsidR="00825697" w:rsidRPr="00D11EE4" w:rsidRDefault="009C1F85" w:rsidP="000412E1">
            <w:pPr>
              <w:spacing w:line="360" w:lineRule="auto"/>
              <w:rPr>
                <w:sz w:val="24"/>
                <w:szCs w:val="24"/>
              </w:rPr>
            </w:pPr>
            <w:r w:rsidRPr="00D11EE4">
              <w:rPr>
                <w:sz w:val="24"/>
                <w:szCs w:val="24"/>
              </w:rPr>
              <w:t>Broad</w:t>
            </w:r>
            <w:r w:rsidR="00282C36" w:rsidRPr="00D11EE4">
              <w:rPr>
                <w:sz w:val="24"/>
                <w:szCs w:val="24"/>
              </w:rPr>
              <w:t xml:space="preserve"> </w:t>
            </w:r>
            <w:r w:rsidRPr="00D11EE4">
              <w:rPr>
                <w:sz w:val="24"/>
                <w:szCs w:val="24"/>
              </w:rPr>
              <w:t>applies to any system affecting EU persons</w:t>
            </w:r>
          </w:p>
        </w:tc>
      </w:tr>
      <w:tr w:rsidR="00825697" w:rsidRPr="00D11EE4" w14:paraId="39EF3704" w14:textId="77777777">
        <w:tc>
          <w:tcPr>
            <w:tcW w:w="2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4BD7BE2" w14:textId="77777777" w:rsidR="00825697" w:rsidRPr="00D11EE4" w:rsidRDefault="009C1F85" w:rsidP="000412E1">
            <w:pPr>
              <w:spacing w:line="360" w:lineRule="auto"/>
              <w:rPr>
                <w:sz w:val="24"/>
                <w:szCs w:val="24"/>
              </w:rPr>
            </w:pPr>
            <w:r w:rsidRPr="00D11EE4">
              <w:rPr>
                <w:b/>
                <w:bCs/>
                <w:sz w:val="24"/>
                <w:szCs w:val="24"/>
              </w:rPr>
              <w:t>Policy philosophy</w:t>
            </w:r>
          </w:p>
        </w:tc>
        <w:tc>
          <w:tcPr>
            <w:tcW w:w="31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4465EC7" w14:textId="77777777" w:rsidR="00825697" w:rsidRPr="00D11EE4" w:rsidRDefault="009C1F85" w:rsidP="000412E1">
            <w:pPr>
              <w:spacing w:line="360" w:lineRule="auto"/>
              <w:rPr>
                <w:sz w:val="24"/>
                <w:szCs w:val="24"/>
              </w:rPr>
            </w:pPr>
            <w:r w:rsidRPr="00D11EE4">
              <w:rPr>
                <w:sz w:val="24"/>
                <w:szCs w:val="24"/>
              </w:rPr>
              <w:t>Pro-innovation, flexible</w:t>
            </w:r>
          </w:p>
        </w:tc>
        <w:tc>
          <w:tcPr>
            <w:tcW w:w="31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AAEAB52" w14:textId="77777777" w:rsidR="00825697" w:rsidRPr="00D11EE4" w:rsidRDefault="009C1F85" w:rsidP="000412E1">
            <w:pPr>
              <w:spacing w:line="360" w:lineRule="auto"/>
              <w:rPr>
                <w:sz w:val="24"/>
                <w:szCs w:val="24"/>
              </w:rPr>
            </w:pPr>
            <w:r w:rsidRPr="00D11EE4">
              <w:rPr>
                <w:sz w:val="24"/>
                <w:szCs w:val="24"/>
              </w:rPr>
              <w:t>Consumer protection-</w:t>
            </w:r>
            <w:proofErr w:type="spellStart"/>
            <w:r w:rsidRPr="00D11EE4">
              <w:rPr>
                <w:sz w:val="24"/>
                <w:szCs w:val="24"/>
              </w:rPr>
              <w:t>centred</w:t>
            </w:r>
            <w:proofErr w:type="spellEnd"/>
            <w:r w:rsidRPr="00D11EE4">
              <w:rPr>
                <w:sz w:val="24"/>
                <w:szCs w:val="24"/>
              </w:rPr>
              <w:t>, prescriptive</w:t>
            </w:r>
          </w:p>
        </w:tc>
      </w:tr>
    </w:tbl>
    <w:p w14:paraId="0D5D9D3C" w14:textId="7E97B9CB" w:rsidR="00825697" w:rsidRPr="00D11EE4" w:rsidRDefault="009C1F85" w:rsidP="00D11EE4">
      <w:pPr>
        <w:pStyle w:val="Heading1"/>
      </w:pPr>
      <w:bookmarkStart w:id="15" w:name="_Toc228047130"/>
      <w:r w:rsidRPr="00D11EE4">
        <w:t>Data Governance and Ethical AI</w:t>
      </w:r>
      <w:bookmarkEnd w:id="15"/>
    </w:p>
    <w:p w14:paraId="5B65C151" w14:textId="1FEFAAAC" w:rsidR="00825697" w:rsidRPr="00D11EE4" w:rsidRDefault="009C1F85" w:rsidP="00BE7BB0">
      <w:pPr>
        <w:pStyle w:val="Heading2"/>
      </w:pPr>
      <w:bookmarkStart w:id="16" w:name="_Toc228047131"/>
      <w:r w:rsidRPr="00D11EE4">
        <w:t>Algorithmic Fairness in Credit Scoring</w:t>
      </w:r>
      <w:bookmarkEnd w:id="16"/>
    </w:p>
    <w:p w14:paraId="563B37E4" w14:textId="03C78C0A" w:rsidR="00361A6D" w:rsidRPr="00D11EE4" w:rsidRDefault="00361A6D" w:rsidP="00361A6D">
      <w:pPr>
        <w:spacing w:line="360" w:lineRule="auto"/>
        <w:jc w:val="both"/>
        <w:rPr>
          <w:sz w:val="24"/>
          <w:szCs w:val="24"/>
        </w:rPr>
      </w:pPr>
      <w:r w:rsidRPr="00D11EE4">
        <w:rPr>
          <w:sz w:val="24"/>
          <w:szCs w:val="24"/>
        </w:rPr>
        <w:t xml:space="preserve">The body of </w:t>
      </w:r>
      <w:r w:rsidR="00254EDE">
        <w:rPr>
          <w:sz w:val="24"/>
          <w:szCs w:val="24"/>
        </w:rPr>
        <w:t>research on algorithmic discrimination in credit markets has expanded significantly, yielding strong empirical results on discriminatory outcomes and controversial theoretical attempts to address</w:t>
      </w:r>
      <w:r w:rsidRPr="00D11EE4">
        <w:rPr>
          <w:sz w:val="24"/>
          <w:szCs w:val="24"/>
        </w:rPr>
        <w:t xml:space="preserve"> them. Bartlett et al. (2021) </w:t>
      </w:r>
      <w:r w:rsidR="00254EDE">
        <w:rPr>
          <w:sz w:val="24"/>
          <w:szCs w:val="24"/>
        </w:rPr>
        <w:t>found that FinTech mortgage lenders in the United States were charging higher interest rates to Black and Hispanic borrowers than to similarly creditworthy white borrowers, even after adjusting for creditworthiness,</w:t>
      </w:r>
      <w:r w:rsidRPr="00D11EE4">
        <w:rPr>
          <w:sz w:val="24"/>
          <w:szCs w:val="24"/>
        </w:rPr>
        <w:t xml:space="preserve"> and that discriminatory trends were observed in human and algorithmic lending decisions. Although the US regulatory environment is not comparable to the UK, the proxy discrimination through the geographically and </w:t>
      </w:r>
      <w:proofErr w:type="spellStart"/>
      <w:r w:rsidRPr="00D11EE4">
        <w:rPr>
          <w:sz w:val="24"/>
          <w:szCs w:val="24"/>
        </w:rPr>
        <w:t>behaviourally</w:t>
      </w:r>
      <w:proofErr w:type="spellEnd"/>
      <w:r w:rsidRPr="00D11EE4">
        <w:rPr>
          <w:sz w:val="24"/>
          <w:szCs w:val="24"/>
        </w:rPr>
        <w:t xml:space="preserve"> correlated variables can be directly applied in the UK.</w:t>
      </w:r>
    </w:p>
    <w:p w14:paraId="38DC1566" w14:textId="053B1C95" w:rsidR="00361A6D" w:rsidRPr="00D11EE4" w:rsidRDefault="00254EDE" w:rsidP="00361A6D">
      <w:pPr>
        <w:spacing w:line="360" w:lineRule="auto"/>
        <w:jc w:val="both"/>
        <w:rPr>
          <w:sz w:val="24"/>
          <w:szCs w:val="24"/>
        </w:rPr>
      </w:pPr>
      <w:r>
        <w:rPr>
          <w:sz w:val="24"/>
          <w:szCs w:val="24"/>
        </w:rPr>
        <w:t>Discrimination in AI credit scoring occurs through</w:t>
      </w:r>
      <w:r w:rsidR="00361A6D" w:rsidRPr="00D11EE4">
        <w:rPr>
          <w:sz w:val="24"/>
          <w:szCs w:val="24"/>
        </w:rPr>
        <w:t xml:space="preserve"> three main mechanisms. The former is the </w:t>
      </w:r>
      <w:proofErr w:type="spellStart"/>
      <w:r>
        <w:rPr>
          <w:sz w:val="24"/>
          <w:szCs w:val="24"/>
        </w:rPr>
        <w:t>utilisation</w:t>
      </w:r>
      <w:proofErr w:type="spellEnd"/>
      <w:r w:rsidR="00361A6D" w:rsidRPr="00D11EE4">
        <w:rPr>
          <w:sz w:val="24"/>
          <w:szCs w:val="24"/>
        </w:rPr>
        <w:t xml:space="preserve"> of variables </w:t>
      </w:r>
      <w:r>
        <w:rPr>
          <w:sz w:val="24"/>
          <w:szCs w:val="24"/>
        </w:rPr>
        <w:t xml:space="preserve">that act as proxies for the characteristics </w:t>
      </w:r>
      <w:r w:rsidR="00361A6D" w:rsidRPr="00D11EE4">
        <w:rPr>
          <w:sz w:val="24"/>
          <w:szCs w:val="24"/>
        </w:rPr>
        <w:t xml:space="preserve">being controlled: postcode represents residential segregation patterns, employment sector is an indicator of occupational segregation by gender and ethnicity, and educational institution attendance is a measure of socioeconomic background (Cristina, Gomes and </w:t>
      </w:r>
      <w:proofErr w:type="spellStart"/>
      <w:r w:rsidR="00361A6D" w:rsidRPr="00D11EE4">
        <w:rPr>
          <w:sz w:val="24"/>
          <w:szCs w:val="24"/>
        </w:rPr>
        <w:t>Rigobon</w:t>
      </w:r>
      <w:proofErr w:type="spellEnd"/>
      <w:r w:rsidR="00361A6D" w:rsidRPr="00D11EE4">
        <w:rPr>
          <w:sz w:val="24"/>
          <w:szCs w:val="24"/>
        </w:rPr>
        <w:t xml:space="preserve">, 2023). The second is bias in historical data; under this, </w:t>
      </w:r>
      <w:r>
        <w:rPr>
          <w:sz w:val="24"/>
          <w:szCs w:val="24"/>
        </w:rPr>
        <w:t xml:space="preserve">models trained on historical lending decisions assume the discriminatory </w:t>
      </w:r>
      <w:proofErr w:type="spellStart"/>
      <w:r>
        <w:rPr>
          <w:sz w:val="24"/>
          <w:szCs w:val="24"/>
        </w:rPr>
        <w:t>behaviour</w:t>
      </w:r>
      <w:proofErr w:type="spellEnd"/>
      <w:r w:rsidR="00361A6D" w:rsidRPr="00D11EE4">
        <w:rPr>
          <w:sz w:val="24"/>
          <w:szCs w:val="24"/>
        </w:rPr>
        <w:t xml:space="preserve"> of previous human underwriters. The third is amplification of feedback loops, in which discriminatory credit refusal leads to less credit history accretion in </w:t>
      </w:r>
      <w:r>
        <w:rPr>
          <w:sz w:val="24"/>
          <w:szCs w:val="24"/>
        </w:rPr>
        <w:t xml:space="preserve">discriminated </w:t>
      </w:r>
      <w:r>
        <w:rPr>
          <w:sz w:val="24"/>
          <w:szCs w:val="24"/>
        </w:rPr>
        <w:lastRenderedPageBreak/>
        <w:t>populations, impairing subsequent scoring and forming a vicious cycle of financial exclusion</w:t>
      </w:r>
      <w:r w:rsidR="00361A6D" w:rsidRPr="00D11EE4">
        <w:rPr>
          <w:sz w:val="24"/>
          <w:szCs w:val="24"/>
        </w:rPr>
        <w:t>.</w:t>
      </w:r>
    </w:p>
    <w:p w14:paraId="1E680208" w14:textId="097A2D01" w:rsidR="00825697" w:rsidRPr="00D11EE4" w:rsidRDefault="00361A6D" w:rsidP="00361A6D">
      <w:pPr>
        <w:spacing w:line="360" w:lineRule="auto"/>
        <w:jc w:val="both"/>
        <w:rPr>
          <w:sz w:val="24"/>
          <w:szCs w:val="24"/>
        </w:rPr>
      </w:pPr>
      <w:r w:rsidRPr="00D11EE4">
        <w:rPr>
          <w:sz w:val="24"/>
          <w:szCs w:val="24"/>
        </w:rPr>
        <w:t>Studies have found several mathematical definitions of fairness</w:t>
      </w:r>
      <w:r w:rsidR="00254EDE">
        <w:rPr>
          <w:sz w:val="24"/>
          <w:szCs w:val="24"/>
        </w:rPr>
        <w:t xml:space="preserve">, demographic parity, </w:t>
      </w:r>
      <w:proofErr w:type="spellStart"/>
      <w:r w:rsidR="00254EDE">
        <w:rPr>
          <w:sz w:val="24"/>
          <w:szCs w:val="24"/>
        </w:rPr>
        <w:t>equalised</w:t>
      </w:r>
      <w:proofErr w:type="spellEnd"/>
      <w:r w:rsidR="00254EDE">
        <w:rPr>
          <w:sz w:val="24"/>
          <w:szCs w:val="24"/>
        </w:rPr>
        <w:t xml:space="preserve"> odds, and </w:t>
      </w:r>
      <w:r w:rsidRPr="00D11EE4">
        <w:rPr>
          <w:sz w:val="24"/>
          <w:szCs w:val="24"/>
        </w:rPr>
        <w:t xml:space="preserve">calibration that </w:t>
      </w:r>
      <w:r w:rsidR="00254EDE">
        <w:rPr>
          <w:sz w:val="24"/>
          <w:szCs w:val="24"/>
        </w:rPr>
        <w:t>are not mutually incompatible: one commonly satisfies the others (Hurlin, Perignon,</w:t>
      </w:r>
      <w:r w:rsidRPr="00D11EE4">
        <w:rPr>
          <w:sz w:val="24"/>
          <w:szCs w:val="24"/>
        </w:rPr>
        <w:t xml:space="preserve"> and Saurin, 2021). This is a basic normative conflict regarding what fairness entails in the assignment of credit. </w:t>
      </w:r>
      <w:r w:rsidR="00E30E94" w:rsidRPr="00E30E94">
        <w:rPr>
          <w:sz w:val="24"/>
          <w:szCs w:val="24"/>
        </w:rPr>
        <w:t>Barclays must devise particular, documented evaluations of the principles of fairness that its models fulfill and be prepared to defend in front of regulators, courts, and the general population. Genovesi et al. (2023) contend that the optimal fairness standards to assess creditworthiness need to be interdisciplinary, comprising contributions of computer science, law, and ethics because there is no technical definition that best reflects the normative complexity of the problem. The FCA research note (2025) confirms that the reasons provided to applicants who are rejected credit are frequently insufficient to permit meaningful challenge, and Agarwal, Muckley, and Neelakantan (2023) present evidence that model-agnostic interpretability models can greatly reduce the adverse impacts of discrimination without impairing prediction. Similar concepts are supported by Mariscal et al. (2024) and de Castro Vieira et al. (2025), who conclude that systematic fairness-conscious model design can bring about measurable improvements to discriminative outcomes in a diverse range of credit portfolio models.</w:t>
      </w:r>
    </w:p>
    <w:p w14:paraId="1722A089" w14:textId="3D8E8895" w:rsidR="00825697" w:rsidRPr="00D11EE4" w:rsidRDefault="009C1F85" w:rsidP="00BE7BB0">
      <w:pPr>
        <w:pStyle w:val="Heading2"/>
      </w:pPr>
      <w:bookmarkStart w:id="17" w:name="_Toc228047132"/>
      <w:r w:rsidRPr="00D11EE4">
        <w:t>Explainability and Transparency</w:t>
      </w:r>
      <w:bookmarkEnd w:id="17"/>
    </w:p>
    <w:p w14:paraId="2FD9B92B" w14:textId="77777777" w:rsidR="00E30E94" w:rsidRPr="00E30E94" w:rsidRDefault="00E30E94" w:rsidP="00E30E94">
      <w:pPr>
        <w:spacing w:line="360" w:lineRule="auto"/>
        <w:jc w:val="both"/>
        <w:rPr>
          <w:sz w:val="24"/>
          <w:szCs w:val="24"/>
        </w:rPr>
      </w:pPr>
      <w:r w:rsidRPr="00E30E94">
        <w:rPr>
          <w:sz w:val="24"/>
          <w:szCs w:val="24"/>
        </w:rPr>
        <w:t>The need to report AI-based credit applications is not just a legal requirement, but also an ethical one, and the fact that the essence of the report reflects a business opportunity is a business opportunity. According to the law, the UK GDPR Article 22 and ICO guidance stipulates that the person receiving the automated credit decision is entitled to a meaningful explanation to enable them to identify the key factors on which the decision is grounded and the ability to dispute it (ICO, 2023; ICO, 2024). Meeting this criterion with complex machine learning models requires a deliberate application of post-hoc explanation techniques.</w:t>
      </w:r>
    </w:p>
    <w:p w14:paraId="26858DEC" w14:textId="4EA17166" w:rsidR="00825697" w:rsidRPr="00D11EE4" w:rsidRDefault="00E30E94" w:rsidP="00E30E94">
      <w:pPr>
        <w:spacing w:line="360" w:lineRule="auto"/>
        <w:jc w:val="both"/>
        <w:rPr>
          <w:sz w:val="24"/>
          <w:szCs w:val="24"/>
        </w:rPr>
      </w:pPr>
      <w:r w:rsidRPr="00E30E94">
        <w:rPr>
          <w:sz w:val="24"/>
          <w:szCs w:val="24"/>
        </w:rPr>
        <w:t xml:space="preserve">The model can assign values of each input variable to its output at a given prediction, which allows explaining the model globally and the reasons behind individual applicants been rejected locally, using SHAP values (Ole Hjelkrem, 2023). The explainability-based measure of inequality, Shapley-Lorenz decomposition by </w:t>
      </w:r>
      <w:proofErr w:type="spellStart"/>
      <w:r w:rsidRPr="00E30E94">
        <w:rPr>
          <w:sz w:val="24"/>
          <w:szCs w:val="24"/>
        </w:rPr>
        <w:t>Giudici</w:t>
      </w:r>
      <w:proofErr w:type="spellEnd"/>
      <w:r w:rsidRPr="00E30E94">
        <w:rPr>
          <w:sz w:val="24"/>
          <w:szCs w:val="24"/>
        </w:rPr>
        <w:t xml:space="preserve"> and </w:t>
      </w:r>
      <w:proofErr w:type="spellStart"/>
      <w:r w:rsidRPr="00E30E94">
        <w:rPr>
          <w:sz w:val="24"/>
          <w:szCs w:val="24"/>
        </w:rPr>
        <w:t>Raffinetti</w:t>
      </w:r>
      <w:proofErr w:type="spellEnd"/>
      <w:r w:rsidRPr="00E30E94">
        <w:rPr>
          <w:sz w:val="24"/>
          <w:szCs w:val="24"/>
        </w:rPr>
        <w:t xml:space="preserve"> (2020), provides an opportunity to assess both the performance of the </w:t>
      </w:r>
      <w:r w:rsidRPr="00E30E94">
        <w:rPr>
          <w:sz w:val="24"/>
          <w:szCs w:val="24"/>
        </w:rPr>
        <w:lastRenderedPageBreak/>
        <w:t xml:space="preserve">models and distributional fairness at the same time. </w:t>
      </w:r>
      <w:proofErr w:type="spellStart"/>
      <w:r w:rsidRPr="00E30E94">
        <w:rPr>
          <w:sz w:val="24"/>
          <w:szCs w:val="24"/>
        </w:rPr>
        <w:t>Giudici</w:t>
      </w:r>
      <w:proofErr w:type="spellEnd"/>
      <w:r w:rsidRPr="00E30E94">
        <w:rPr>
          <w:sz w:val="24"/>
          <w:szCs w:val="24"/>
        </w:rPr>
        <w:t xml:space="preserve"> and </w:t>
      </w:r>
      <w:proofErr w:type="spellStart"/>
      <w:r w:rsidRPr="00E30E94">
        <w:rPr>
          <w:sz w:val="24"/>
          <w:szCs w:val="24"/>
        </w:rPr>
        <w:t>Raffinetti</w:t>
      </w:r>
      <w:proofErr w:type="spellEnd"/>
      <w:r w:rsidRPr="00E30E94">
        <w:rPr>
          <w:sz w:val="24"/>
          <w:szCs w:val="24"/>
        </w:rPr>
        <w:t xml:space="preserve"> (2023) extend this model to the SAFE AI concept, where the statistical fairness and explainability are the co-design factor to develop credit models. This is empirically validated in the context of FinTech lending and banking, respectively, by </w:t>
      </w:r>
      <w:proofErr w:type="spellStart"/>
      <w:r w:rsidRPr="00E30E94">
        <w:rPr>
          <w:sz w:val="24"/>
          <w:szCs w:val="24"/>
        </w:rPr>
        <w:t>Babaei</w:t>
      </w:r>
      <w:proofErr w:type="spellEnd"/>
      <w:r w:rsidRPr="00E30E94">
        <w:rPr>
          <w:sz w:val="24"/>
          <w:szCs w:val="24"/>
        </w:rPr>
        <w:t xml:space="preserve">, </w:t>
      </w:r>
      <w:proofErr w:type="spellStart"/>
      <w:r w:rsidRPr="00E30E94">
        <w:rPr>
          <w:sz w:val="24"/>
          <w:szCs w:val="24"/>
        </w:rPr>
        <w:t>Giudici</w:t>
      </w:r>
      <w:proofErr w:type="spellEnd"/>
      <w:r w:rsidRPr="00E30E94">
        <w:rPr>
          <w:sz w:val="24"/>
          <w:szCs w:val="24"/>
        </w:rPr>
        <w:t xml:space="preserve">, and </w:t>
      </w:r>
      <w:proofErr w:type="spellStart"/>
      <w:r w:rsidRPr="00E30E94">
        <w:rPr>
          <w:sz w:val="24"/>
          <w:szCs w:val="24"/>
        </w:rPr>
        <w:t>Raffinetti</w:t>
      </w:r>
      <w:proofErr w:type="spellEnd"/>
      <w:r w:rsidRPr="00E30E94">
        <w:rPr>
          <w:sz w:val="24"/>
          <w:szCs w:val="24"/>
        </w:rPr>
        <w:t xml:space="preserve"> (2023) and Bakke (2022), respectively, demonstrating that XAI explanations can satisfy regulatory criteria of meaningful adverse action notices and provide model developers with actionable bias detection information, </w:t>
      </w:r>
      <w:proofErr w:type="spellStart"/>
      <w:r w:rsidRPr="00E30E94">
        <w:rPr>
          <w:sz w:val="24"/>
          <w:szCs w:val="24"/>
        </w:rPr>
        <w:t>respectively.</w:t>
      </w:r>
      <w:r w:rsidR="00254EDE">
        <w:rPr>
          <w:sz w:val="24"/>
          <w:szCs w:val="24"/>
        </w:rPr>
        <w:t>Despite</w:t>
      </w:r>
      <w:proofErr w:type="spellEnd"/>
      <w:r w:rsidR="00254EDE">
        <w:rPr>
          <w:sz w:val="24"/>
          <w:szCs w:val="24"/>
        </w:rPr>
        <w:t xml:space="preserve"> these developments, there are significant obstacles to</w:t>
      </w:r>
      <w:r w:rsidR="00361A6D" w:rsidRPr="00D11EE4">
        <w:rPr>
          <w:sz w:val="24"/>
          <w:szCs w:val="24"/>
        </w:rPr>
        <w:t xml:space="preserve"> the practical implementation of XAI in large institutional contexts. SHAP explanations are computationally expensive at scale, and simplified explanations generated to meet regulatory compliance </w:t>
      </w:r>
      <w:r w:rsidR="00254EDE">
        <w:rPr>
          <w:sz w:val="24"/>
          <w:szCs w:val="24"/>
        </w:rPr>
        <w:t>requirements can give a misleading picture of the model's complexity</w:t>
      </w:r>
      <w:r w:rsidR="00361A6D" w:rsidRPr="00D11EE4">
        <w:rPr>
          <w:sz w:val="24"/>
          <w:szCs w:val="24"/>
        </w:rPr>
        <w:t xml:space="preserve">. According to </w:t>
      </w:r>
      <w:proofErr w:type="spellStart"/>
      <w:r w:rsidR="00361A6D" w:rsidRPr="00D11EE4">
        <w:rPr>
          <w:sz w:val="24"/>
          <w:szCs w:val="24"/>
        </w:rPr>
        <w:t>Cernviciene</w:t>
      </w:r>
      <w:proofErr w:type="spellEnd"/>
      <w:r w:rsidR="00361A6D" w:rsidRPr="00D11EE4">
        <w:rPr>
          <w:sz w:val="24"/>
          <w:szCs w:val="24"/>
        </w:rPr>
        <w:t xml:space="preserve"> and </w:t>
      </w:r>
      <w:proofErr w:type="spellStart"/>
      <w:r w:rsidR="00361A6D" w:rsidRPr="00D11EE4">
        <w:rPr>
          <w:sz w:val="24"/>
          <w:szCs w:val="24"/>
        </w:rPr>
        <w:t>Kabasinskas</w:t>
      </w:r>
      <w:proofErr w:type="spellEnd"/>
      <w:r w:rsidR="00361A6D" w:rsidRPr="00D11EE4">
        <w:rPr>
          <w:sz w:val="24"/>
          <w:szCs w:val="24"/>
        </w:rPr>
        <w:t xml:space="preserve"> (2024), this gap is one of the reasons why the quality of the explanation </w:t>
      </w:r>
      <w:r w:rsidR="00254EDE">
        <w:rPr>
          <w:sz w:val="24"/>
          <w:szCs w:val="24"/>
        </w:rPr>
        <w:t xml:space="preserve">should be compared with the layperson's understanding rather than solely against </w:t>
      </w:r>
      <w:r w:rsidR="00361A6D" w:rsidRPr="00D11EE4">
        <w:rPr>
          <w:sz w:val="24"/>
          <w:szCs w:val="24"/>
        </w:rPr>
        <w:t>technical standards of accuracy. Nwafor, Nwafor</w:t>
      </w:r>
      <w:r w:rsidR="00254EDE">
        <w:rPr>
          <w:sz w:val="24"/>
          <w:szCs w:val="24"/>
        </w:rPr>
        <w:t>, and Sanjukta Brahma (2024) propose hybrid modelling solutions that enhance accuracy and interpretability simultaneously and address some of the performance-transparency trade-offs observed in the</w:t>
      </w:r>
      <w:r w:rsidR="00361A6D" w:rsidRPr="00D11EE4">
        <w:rPr>
          <w:sz w:val="24"/>
          <w:szCs w:val="24"/>
        </w:rPr>
        <w:t xml:space="preserve"> literature.</w:t>
      </w:r>
    </w:p>
    <w:p w14:paraId="6CA25B71" w14:textId="7934CC18" w:rsidR="00825697" w:rsidRPr="00D11EE4" w:rsidRDefault="009C1F85" w:rsidP="00BE7BB0">
      <w:pPr>
        <w:pStyle w:val="Heading2"/>
      </w:pPr>
      <w:bookmarkStart w:id="18" w:name="_Toc228047133"/>
      <w:r w:rsidRPr="00D11EE4">
        <w:t>Customer Trust and Reputational Risk</w:t>
      </w:r>
      <w:bookmarkEnd w:id="18"/>
    </w:p>
    <w:p w14:paraId="6ABC5472" w14:textId="1B5B1AB0" w:rsidR="00226B03" w:rsidRPr="00D11EE4" w:rsidRDefault="00226B03" w:rsidP="00226B03">
      <w:pPr>
        <w:spacing w:line="360" w:lineRule="auto"/>
        <w:jc w:val="both"/>
        <w:rPr>
          <w:sz w:val="24"/>
          <w:szCs w:val="24"/>
        </w:rPr>
      </w:pPr>
      <w:r w:rsidRPr="00D11EE4">
        <w:rPr>
          <w:sz w:val="24"/>
          <w:szCs w:val="24"/>
        </w:rPr>
        <w:t xml:space="preserve">The connection between AI transparency and customer trust of banking is empirically proven. Yang and Lee (2024) show that perceptions of algorithmic fairness </w:t>
      </w:r>
      <w:r w:rsidR="00254EDE">
        <w:rPr>
          <w:sz w:val="24"/>
          <w:szCs w:val="24"/>
        </w:rPr>
        <w:t xml:space="preserve">are a strong predictor of user satisfaction and recommendation </w:t>
      </w:r>
      <w:proofErr w:type="spellStart"/>
      <w:r w:rsidR="00254EDE">
        <w:rPr>
          <w:sz w:val="24"/>
          <w:szCs w:val="24"/>
        </w:rPr>
        <w:t>behaviour</w:t>
      </w:r>
      <w:proofErr w:type="spellEnd"/>
      <w:r w:rsidR="00254EDE">
        <w:rPr>
          <w:sz w:val="24"/>
          <w:szCs w:val="24"/>
        </w:rPr>
        <w:t xml:space="preserve"> in financial services, and that consumers have a much lower level of trust in institutions </w:t>
      </w:r>
      <w:r w:rsidRPr="00D11EE4">
        <w:rPr>
          <w:sz w:val="24"/>
          <w:szCs w:val="24"/>
        </w:rPr>
        <w:t xml:space="preserve">perceived to employ opaque or discriminatory AI systems. It has direct commercial implications </w:t>
      </w:r>
      <w:r w:rsidR="00254EDE">
        <w:rPr>
          <w:sz w:val="24"/>
          <w:szCs w:val="24"/>
        </w:rPr>
        <w:t>for Barclays: trust is a key asset in retail banking and, as a result of regulatory enforcement, media inquiries, or social media exposure, it can be damaged, leading to customer defections</w:t>
      </w:r>
      <w:r w:rsidRPr="00D11EE4">
        <w:rPr>
          <w:sz w:val="24"/>
          <w:szCs w:val="24"/>
        </w:rPr>
        <w:t xml:space="preserve"> that do not always correlate with the direct expense of the catalytic event itself.</w:t>
      </w:r>
    </w:p>
    <w:p w14:paraId="73A2FABC" w14:textId="663CE585" w:rsidR="00825697" w:rsidRPr="00D11EE4" w:rsidRDefault="00226B03" w:rsidP="00226B03">
      <w:pPr>
        <w:spacing w:line="360" w:lineRule="auto"/>
        <w:jc w:val="both"/>
        <w:rPr>
          <w:sz w:val="24"/>
          <w:szCs w:val="24"/>
        </w:rPr>
      </w:pPr>
      <w:r w:rsidRPr="00D11EE4">
        <w:rPr>
          <w:sz w:val="24"/>
          <w:szCs w:val="24"/>
        </w:rPr>
        <w:t xml:space="preserve">The review of </w:t>
      </w:r>
      <w:r w:rsidR="00254EDE">
        <w:rPr>
          <w:sz w:val="24"/>
          <w:szCs w:val="24"/>
        </w:rPr>
        <w:t xml:space="preserve">the algorithm bias conducted by the </w:t>
      </w:r>
      <w:r w:rsidRPr="00D11EE4">
        <w:rPr>
          <w:sz w:val="24"/>
          <w:szCs w:val="24"/>
        </w:rPr>
        <w:t xml:space="preserve">GOV.UK (2020) revealed that </w:t>
      </w:r>
      <w:r w:rsidR="00254EDE">
        <w:rPr>
          <w:sz w:val="24"/>
          <w:szCs w:val="24"/>
        </w:rPr>
        <w:t xml:space="preserve">governmental </w:t>
      </w:r>
      <w:proofErr w:type="spellStart"/>
      <w:r w:rsidR="00254EDE">
        <w:rPr>
          <w:sz w:val="24"/>
          <w:szCs w:val="24"/>
        </w:rPr>
        <w:t>organisations</w:t>
      </w:r>
      <w:proofErr w:type="spellEnd"/>
      <w:r w:rsidR="00254EDE">
        <w:rPr>
          <w:sz w:val="24"/>
          <w:szCs w:val="24"/>
        </w:rPr>
        <w:t xml:space="preserve"> are ready to name certain institutions when discriminatory AI results are detected and to establish a precedent that financial regulators can imitate</w:t>
      </w:r>
      <w:r w:rsidRPr="00D11EE4">
        <w:rPr>
          <w:sz w:val="24"/>
          <w:szCs w:val="24"/>
        </w:rPr>
        <w:t xml:space="preserve">. </w:t>
      </w:r>
      <w:r w:rsidR="00E30E94" w:rsidRPr="00E30E94">
        <w:rPr>
          <w:sz w:val="24"/>
          <w:szCs w:val="24"/>
        </w:rPr>
        <w:t xml:space="preserve">As Ibrahim et al. (2022) underline, the quality of risk disclosures is itself a reputational indicator: companies that disclose risks in AI-related issues proactively and specifically are reflective of better governance, as compared to those with generic disclosures. Annual reports of Barclays acknowledge the concept of AI model risk as </w:t>
      </w:r>
      <w:r w:rsidR="00E30E94" w:rsidRPr="00E30E94">
        <w:rPr>
          <w:sz w:val="24"/>
          <w:szCs w:val="24"/>
        </w:rPr>
        <w:lastRenderedPageBreak/>
        <w:t xml:space="preserve">a material risk factor, but they do not go as far as to disclose the specifics of the model in question in the annual report that would enable an outside review of the fairness outcomes (Barclays, 2024b). </w:t>
      </w:r>
      <w:proofErr w:type="spellStart"/>
      <w:r w:rsidR="00E30E94" w:rsidRPr="00E30E94">
        <w:rPr>
          <w:sz w:val="24"/>
          <w:szCs w:val="24"/>
        </w:rPr>
        <w:t>Papagiannidis</w:t>
      </w:r>
      <w:proofErr w:type="spellEnd"/>
      <w:r w:rsidR="00E30E94" w:rsidRPr="00E30E94">
        <w:rPr>
          <w:sz w:val="24"/>
          <w:szCs w:val="24"/>
        </w:rPr>
        <w:t xml:space="preserve">, </w:t>
      </w:r>
      <w:proofErr w:type="spellStart"/>
      <w:r w:rsidR="00E30E94" w:rsidRPr="00E30E94">
        <w:rPr>
          <w:sz w:val="24"/>
          <w:szCs w:val="24"/>
        </w:rPr>
        <w:t>Mikalef</w:t>
      </w:r>
      <w:proofErr w:type="spellEnd"/>
      <w:r w:rsidR="00E30E94" w:rsidRPr="00E30E94">
        <w:rPr>
          <w:sz w:val="24"/>
          <w:szCs w:val="24"/>
        </w:rPr>
        <w:t xml:space="preserve"> and Conboy (2025) note that responsible AI governance frameworks must contain external accountability measures like external auditing, publicly reporting on fairness measures, and consumer redress avenues that are easy to access, to establish enough trust as opposed to compliance theatre. This framing is consistent with the thesis of the report: the institutions that perceive the disclosure of fairness as a strategic message, but not a minimum legal requirement will turn governance investment into a sustainable competitive advantage.</w:t>
      </w:r>
    </w:p>
    <w:p w14:paraId="4E79F522" w14:textId="707C6E5B" w:rsidR="00825697" w:rsidRPr="00D11EE4" w:rsidRDefault="009C1F85" w:rsidP="00D11EE4">
      <w:pPr>
        <w:pStyle w:val="Heading1"/>
      </w:pPr>
      <w:bookmarkStart w:id="19" w:name="_Toc228047134"/>
      <w:r w:rsidRPr="00D11EE4">
        <w:t>Limitations</w:t>
      </w:r>
      <w:bookmarkEnd w:id="19"/>
    </w:p>
    <w:p w14:paraId="41B2CB59" w14:textId="04D894BA" w:rsidR="00226B03" w:rsidRPr="00D11EE4" w:rsidRDefault="00254EDE" w:rsidP="00226B03">
      <w:pPr>
        <w:spacing w:line="360" w:lineRule="auto"/>
        <w:jc w:val="both"/>
        <w:rPr>
          <w:sz w:val="24"/>
          <w:szCs w:val="24"/>
        </w:rPr>
      </w:pPr>
      <w:r>
        <w:rPr>
          <w:sz w:val="24"/>
          <w:szCs w:val="24"/>
        </w:rPr>
        <w:t>Several</w:t>
      </w:r>
      <w:r w:rsidR="00226B03" w:rsidRPr="00D11EE4">
        <w:rPr>
          <w:sz w:val="24"/>
          <w:szCs w:val="24"/>
        </w:rPr>
        <w:t xml:space="preserve"> material constraints underpin the operation of this report, which ought to guide </w:t>
      </w:r>
      <w:r>
        <w:rPr>
          <w:sz w:val="24"/>
          <w:szCs w:val="24"/>
        </w:rPr>
        <w:t>how</w:t>
      </w:r>
      <w:r w:rsidR="00226B03" w:rsidRPr="00D11EE4">
        <w:rPr>
          <w:sz w:val="24"/>
          <w:szCs w:val="24"/>
        </w:rPr>
        <w:t xml:space="preserve"> its results are understood and </w:t>
      </w:r>
      <w:proofErr w:type="spellStart"/>
      <w:r>
        <w:rPr>
          <w:sz w:val="24"/>
          <w:szCs w:val="24"/>
        </w:rPr>
        <w:t>utilised</w:t>
      </w:r>
      <w:proofErr w:type="spellEnd"/>
      <w:r w:rsidR="00226B03" w:rsidRPr="00D11EE4">
        <w:rPr>
          <w:sz w:val="24"/>
          <w:szCs w:val="24"/>
        </w:rPr>
        <w:t xml:space="preserve">. To begin with, Barclays fails </w:t>
      </w:r>
      <w:r>
        <w:rPr>
          <w:sz w:val="24"/>
          <w:szCs w:val="24"/>
        </w:rPr>
        <w:t>to disclose granular model-level data on its AI credit-scoring systems publicly</w:t>
      </w:r>
      <w:r w:rsidR="00226B03" w:rsidRPr="00D11EE4">
        <w:rPr>
          <w:sz w:val="24"/>
          <w:szCs w:val="24"/>
        </w:rPr>
        <w:t xml:space="preserve">. It is </w:t>
      </w:r>
      <w:proofErr w:type="spellStart"/>
      <w:r>
        <w:rPr>
          <w:sz w:val="24"/>
          <w:szCs w:val="24"/>
        </w:rPr>
        <w:t>analysed</w:t>
      </w:r>
      <w:proofErr w:type="spellEnd"/>
      <w:r w:rsidR="00226B03" w:rsidRPr="00D11EE4">
        <w:rPr>
          <w:sz w:val="24"/>
          <w:szCs w:val="24"/>
        </w:rPr>
        <w:t xml:space="preserve"> based on the publicly available annual reports, regulatory reports, and the data presented in a sector-wide survey conducted by the Bank of England; it is not able to estimate the particular models deployed, the data set on which the training is done, or the measures of fairness that are currently being observed. Where model-specific data is not available</w:t>
      </w:r>
      <w:r>
        <w:rPr>
          <w:sz w:val="24"/>
          <w:szCs w:val="24"/>
        </w:rPr>
        <w:t>, specifically in terms of the scope of the current SHAP implementation in the context of Barclays,</w:t>
      </w:r>
      <w:r w:rsidR="00226B03" w:rsidRPr="00D11EE4">
        <w:rPr>
          <w:sz w:val="24"/>
          <w:szCs w:val="24"/>
        </w:rPr>
        <w:t xml:space="preserve"> it is explicitly stated, as mandated by the assignment brief and in line with proper analytical conduct.</w:t>
      </w:r>
    </w:p>
    <w:p w14:paraId="032FF5B2" w14:textId="65AD9BBD" w:rsidR="00226B03" w:rsidRPr="00D11EE4" w:rsidRDefault="00226B03" w:rsidP="00226B03">
      <w:pPr>
        <w:spacing w:line="360" w:lineRule="auto"/>
        <w:jc w:val="both"/>
        <w:rPr>
          <w:sz w:val="24"/>
          <w:szCs w:val="24"/>
        </w:rPr>
      </w:pPr>
      <w:r w:rsidRPr="00D11EE4">
        <w:rPr>
          <w:sz w:val="24"/>
          <w:szCs w:val="24"/>
        </w:rPr>
        <w:t xml:space="preserve">Second, the operational guidance, technical standards, and enforcement precedents of the EU AI Act </w:t>
      </w:r>
      <w:r w:rsidR="00254EDE">
        <w:rPr>
          <w:sz w:val="24"/>
          <w:szCs w:val="24"/>
        </w:rPr>
        <w:t>were still under</w:t>
      </w:r>
      <w:r w:rsidRPr="00D11EE4">
        <w:rPr>
          <w:sz w:val="24"/>
          <w:szCs w:val="24"/>
        </w:rPr>
        <w:t xml:space="preserve"> development when the report was prepared. </w:t>
      </w:r>
      <w:r w:rsidR="00254EDE">
        <w:rPr>
          <w:sz w:val="24"/>
          <w:szCs w:val="24"/>
        </w:rPr>
        <w:t xml:space="preserve">Some of the provisions in Section 5.2 are based on the Act and the adopted, published regulatory guidance; more specific implementation rules by the EU AI Office are still under review and have not yet been </w:t>
      </w:r>
      <w:proofErr w:type="spellStart"/>
      <w:r w:rsidR="00254EDE">
        <w:rPr>
          <w:sz w:val="24"/>
          <w:szCs w:val="24"/>
        </w:rPr>
        <w:t>finalised</w:t>
      </w:r>
      <w:proofErr w:type="spellEnd"/>
      <w:r w:rsidRPr="00D11EE4">
        <w:rPr>
          <w:sz w:val="24"/>
          <w:szCs w:val="24"/>
        </w:rPr>
        <w:t xml:space="preserve">. </w:t>
      </w:r>
      <w:r w:rsidR="00254EDE">
        <w:rPr>
          <w:sz w:val="24"/>
          <w:szCs w:val="24"/>
        </w:rPr>
        <w:t>A reader should consider the penalty thresholds and conformity assessment requirements</w:t>
      </w:r>
      <w:r w:rsidRPr="00D11EE4">
        <w:rPr>
          <w:sz w:val="24"/>
          <w:szCs w:val="24"/>
        </w:rPr>
        <w:t xml:space="preserve"> as reflecting </w:t>
      </w:r>
      <w:r w:rsidR="00254EDE">
        <w:rPr>
          <w:sz w:val="24"/>
          <w:szCs w:val="24"/>
        </w:rPr>
        <w:t>the current text of the legislation, which may be supplemented by secondary legislation,</w:t>
      </w:r>
      <w:r w:rsidRPr="00D11EE4">
        <w:rPr>
          <w:sz w:val="24"/>
          <w:szCs w:val="24"/>
        </w:rPr>
        <w:t xml:space="preserve"> </w:t>
      </w:r>
      <w:r w:rsidR="00254EDE">
        <w:rPr>
          <w:sz w:val="24"/>
          <w:szCs w:val="24"/>
        </w:rPr>
        <w:t>before</w:t>
      </w:r>
      <w:r w:rsidRPr="00D11EE4">
        <w:rPr>
          <w:sz w:val="24"/>
          <w:szCs w:val="24"/>
        </w:rPr>
        <w:t xml:space="preserve"> full application on the 2026 date.</w:t>
      </w:r>
    </w:p>
    <w:p w14:paraId="312CDE89" w14:textId="0347304F" w:rsidR="00825697" w:rsidRPr="00D11EE4" w:rsidRDefault="00226B03" w:rsidP="00226B03">
      <w:pPr>
        <w:spacing w:line="360" w:lineRule="auto"/>
        <w:jc w:val="both"/>
        <w:rPr>
          <w:sz w:val="24"/>
          <w:szCs w:val="24"/>
        </w:rPr>
      </w:pPr>
      <w:r w:rsidRPr="00D11EE4">
        <w:rPr>
          <w:sz w:val="24"/>
          <w:szCs w:val="24"/>
        </w:rPr>
        <w:t xml:space="preserve">Third, academic </w:t>
      </w:r>
      <w:r w:rsidR="00254EDE">
        <w:rPr>
          <w:sz w:val="24"/>
          <w:szCs w:val="24"/>
        </w:rPr>
        <w:t>literature on algorithmic fairness in credit scoring relies</w:t>
      </w:r>
      <w:r w:rsidRPr="00D11EE4">
        <w:rPr>
          <w:sz w:val="24"/>
          <w:szCs w:val="24"/>
        </w:rPr>
        <w:t xml:space="preserve"> on US mortgage and consumer credit data. Although the mechanisms of proxy discrimination suggested by Bartlett et al. (2021) and Cristina, Gomes, and </w:t>
      </w:r>
      <w:proofErr w:type="spellStart"/>
      <w:r w:rsidRPr="00D11EE4">
        <w:rPr>
          <w:sz w:val="24"/>
          <w:szCs w:val="24"/>
        </w:rPr>
        <w:t>Rigobon</w:t>
      </w:r>
      <w:proofErr w:type="spellEnd"/>
      <w:r w:rsidRPr="00D11EE4">
        <w:rPr>
          <w:sz w:val="24"/>
          <w:szCs w:val="24"/>
        </w:rPr>
        <w:t xml:space="preserve"> (2023) can be analytically </w:t>
      </w:r>
      <w:proofErr w:type="spellStart"/>
      <w:r w:rsidR="00254EDE">
        <w:rPr>
          <w:sz w:val="24"/>
          <w:szCs w:val="24"/>
        </w:rPr>
        <w:t>generalised</w:t>
      </w:r>
      <w:proofErr w:type="spellEnd"/>
      <w:r w:rsidR="00254EDE">
        <w:rPr>
          <w:sz w:val="24"/>
          <w:szCs w:val="24"/>
        </w:rPr>
        <w:t xml:space="preserve"> to the UK context, the scale of the discriminative effects in </w:t>
      </w:r>
      <w:r w:rsidR="00254EDE">
        <w:rPr>
          <w:sz w:val="24"/>
          <w:szCs w:val="24"/>
        </w:rPr>
        <w:lastRenderedPageBreak/>
        <w:t>Barclays' credit portfolios cannot be estimated from</w:t>
      </w:r>
      <w:r w:rsidRPr="00D11EE4">
        <w:rPr>
          <w:sz w:val="24"/>
          <w:szCs w:val="24"/>
        </w:rPr>
        <w:t xml:space="preserve"> publicly available data. The cost benchmarks of similar institutions and regulatory advice</w:t>
      </w:r>
      <w:r w:rsidR="00254EDE">
        <w:rPr>
          <w:sz w:val="24"/>
          <w:szCs w:val="24"/>
        </w:rPr>
        <w:t>, rather than Barclays-specific internal information, are what the implementation plan in Section 8 is founded on</w:t>
      </w:r>
      <w:r w:rsidRPr="00D11EE4">
        <w:rPr>
          <w:sz w:val="24"/>
          <w:szCs w:val="24"/>
        </w:rPr>
        <w:t>, by necessity.</w:t>
      </w:r>
    </w:p>
    <w:p w14:paraId="21620C7B" w14:textId="5E6D363C" w:rsidR="00825697" w:rsidRPr="00D11EE4" w:rsidRDefault="009C1F85" w:rsidP="00D11EE4">
      <w:pPr>
        <w:pStyle w:val="Heading1"/>
      </w:pPr>
      <w:bookmarkStart w:id="20" w:name="_Toc228047135"/>
      <w:r w:rsidRPr="00D11EE4">
        <w:t>Implementation Plan</w:t>
      </w:r>
      <w:bookmarkEnd w:id="20"/>
    </w:p>
    <w:p w14:paraId="7EFD9ED3" w14:textId="3519606F" w:rsidR="00825697" w:rsidRPr="00D11EE4" w:rsidRDefault="00226B03" w:rsidP="00BB3627">
      <w:pPr>
        <w:spacing w:line="360" w:lineRule="auto"/>
        <w:jc w:val="both"/>
        <w:rPr>
          <w:sz w:val="24"/>
          <w:szCs w:val="24"/>
        </w:rPr>
      </w:pPr>
      <w:r w:rsidRPr="00D11EE4">
        <w:rPr>
          <w:sz w:val="24"/>
          <w:szCs w:val="24"/>
        </w:rPr>
        <w:t xml:space="preserve">The roadmap below </w:t>
      </w:r>
      <w:r w:rsidR="00254EDE">
        <w:rPr>
          <w:sz w:val="24"/>
          <w:szCs w:val="24"/>
        </w:rPr>
        <w:t>provides Barclays with a step-by-step, costed plan for integrating responsible AI governance into</w:t>
      </w:r>
      <w:r w:rsidRPr="00D11EE4">
        <w:rPr>
          <w:sz w:val="24"/>
          <w:szCs w:val="24"/>
        </w:rPr>
        <w:t xml:space="preserve"> its credit decision-making processes. The plan supports the </w:t>
      </w:r>
      <w:r w:rsidR="00254EDE">
        <w:rPr>
          <w:sz w:val="24"/>
          <w:szCs w:val="24"/>
        </w:rPr>
        <w:t>report's thesis: every phase is intended not just to achieve compliance but to create</w:t>
      </w:r>
      <w:r w:rsidRPr="00D11EE4">
        <w:rPr>
          <w:sz w:val="24"/>
          <w:szCs w:val="24"/>
        </w:rPr>
        <w:t xml:space="preserve"> quantifiable competitive and reputational value. Each action is defined </w:t>
      </w:r>
      <w:r w:rsidR="00254EDE">
        <w:rPr>
          <w:sz w:val="24"/>
          <w:szCs w:val="24"/>
        </w:rPr>
        <w:t>with a verification method to ensure</w:t>
      </w:r>
      <w:r w:rsidRPr="00D11EE4">
        <w:rPr>
          <w:sz w:val="24"/>
          <w:szCs w:val="24"/>
        </w:rPr>
        <w:t xml:space="preserve"> accountability and auditability.</w:t>
      </w:r>
    </w:p>
    <w:p w14:paraId="76373B4E" w14:textId="49DCB9FF" w:rsidR="00601C9B" w:rsidRPr="00D11EE4" w:rsidRDefault="00601C9B" w:rsidP="00601C9B">
      <w:pPr>
        <w:pStyle w:val="Caption"/>
        <w:keepNext/>
      </w:pPr>
      <w:r w:rsidRPr="00D11EE4">
        <w:t xml:space="preserve">Table </w:t>
      </w:r>
      <w:r w:rsidR="0015439D">
        <w:fldChar w:fldCharType="begin"/>
      </w:r>
      <w:r w:rsidR="0015439D">
        <w:instrText xml:space="preserve"> SEQ Table \* ARABIC </w:instrText>
      </w:r>
      <w:r w:rsidR="0015439D">
        <w:fldChar w:fldCharType="separate"/>
      </w:r>
      <w:r w:rsidRPr="00D11EE4">
        <w:rPr>
          <w:noProof/>
        </w:rPr>
        <w:t>4</w:t>
      </w:r>
      <w:r w:rsidR="0015439D">
        <w:rPr>
          <w:noProof/>
        </w:rPr>
        <w:fldChar w:fldCharType="end"/>
      </w:r>
      <w:r w:rsidRPr="00D11EE4">
        <w:t>: Implementation Plan Responsible AI in Credit Decision-Making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72"/>
        <w:gridCol w:w="1656"/>
        <w:gridCol w:w="1510"/>
        <w:gridCol w:w="1555"/>
        <w:gridCol w:w="1353"/>
        <w:gridCol w:w="1870"/>
      </w:tblGrid>
      <w:tr w:rsidR="00825697" w:rsidRPr="00D11EE4" w14:paraId="1E53B7A1" w14:textId="77777777" w:rsidTr="00226B03">
        <w:trPr>
          <w:tblHeader/>
        </w:trPr>
        <w:tc>
          <w:tcPr>
            <w:tcW w:w="594" w:type="pct"/>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62C2F80A" w14:textId="77777777" w:rsidR="00825697" w:rsidRPr="00D11EE4" w:rsidRDefault="009C1F85" w:rsidP="000412E1">
            <w:pPr>
              <w:spacing w:line="360" w:lineRule="auto"/>
              <w:jc w:val="center"/>
              <w:rPr>
                <w:sz w:val="24"/>
                <w:szCs w:val="24"/>
              </w:rPr>
            </w:pPr>
            <w:r w:rsidRPr="00D11EE4">
              <w:rPr>
                <w:b/>
                <w:bCs/>
                <w:color w:val="FFFFFF"/>
                <w:sz w:val="24"/>
                <w:szCs w:val="24"/>
              </w:rPr>
              <w:t>Phase</w:t>
            </w:r>
          </w:p>
        </w:tc>
        <w:tc>
          <w:tcPr>
            <w:tcW w:w="918" w:type="pct"/>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6CB28D58" w14:textId="77777777" w:rsidR="00825697" w:rsidRPr="00D11EE4" w:rsidRDefault="009C1F85" w:rsidP="000412E1">
            <w:pPr>
              <w:spacing w:line="360" w:lineRule="auto"/>
              <w:jc w:val="center"/>
              <w:rPr>
                <w:sz w:val="24"/>
                <w:szCs w:val="24"/>
              </w:rPr>
            </w:pPr>
            <w:r w:rsidRPr="00D11EE4">
              <w:rPr>
                <w:b/>
                <w:bCs/>
                <w:color w:val="FFFFFF"/>
                <w:sz w:val="24"/>
                <w:szCs w:val="24"/>
              </w:rPr>
              <w:t>Priority Action</w:t>
            </w:r>
          </w:p>
        </w:tc>
        <w:tc>
          <w:tcPr>
            <w:tcW w:w="837" w:type="pct"/>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18E55086" w14:textId="77777777" w:rsidR="00825697" w:rsidRPr="00D11EE4" w:rsidRDefault="009C1F85" w:rsidP="000412E1">
            <w:pPr>
              <w:spacing w:line="360" w:lineRule="auto"/>
              <w:jc w:val="center"/>
              <w:rPr>
                <w:sz w:val="24"/>
                <w:szCs w:val="24"/>
              </w:rPr>
            </w:pPr>
            <w:r w:rsidRPr="00D11EE4">
              <w:rPr>
                <w:b/>
                <w:bCs/>
                <w:color w:val="FFFFFF"/>
                <w:sz w:val="24"/>
                <w:szCs w:val="24"/>
              </w:rPr>
              <w:t>Owner</w:t>
            </w:r>
          </w:p>
        </w:tc>
        <w:tc>
          <w:tcPr>
            <w:tcW w:w="862" w:type="pct"/>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304ED95B" w14:textId="77777777" w:rsidR="00825697" w:rsidRPr="00D11EE4" w:rsidRDefault="009C1F85" w:rsidP="000412E1">
            <w:pPr>
              <w:spacing w:line="360" w:lineRule="auto"/>
              <w:jc w:val="center"/>
              <w:rPr>
                <w:sz w:val="24"/>
                <w:szCs w:val="24"/>
              </w:rPr>
            </w:pPr>
            <w:r w:rsidRPr="00D11EE4">
              <w:rPr>
                <w:b/>
                <w:bCs/>
                <w:color w:val="FFFFFF"/>
                <w:sz w:val="24"/>
                <w:szCs w:val="24"/>
              </w:rPr>
              <w:t>Est. Cost</w:t>
            </w:r>
          </w:p>
        </w:tc>
        <w:tc>
          <w:tcPr>
            <w:tcW w:w="750" w:type="pct"/>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5BF54622" w14:textId="77777777" w:rsidR="00825697" w:rsidRPr="00D11EE4" w:rsidRDefault="009C1F85" w:rsidP="000412E1">
            <w:pPr>
              <w:spacing w:line="360" w:lineRule="auto"/>
              <w:jc w:val="center"/>
              <w:rPr>
                <w:sz w:val="24"/>
                <w:szCs w:val="24"/>
              </w:rPr>
            </w:pPr>
            <w:r w:rsidRPr="00D11EE4">
              <w:rPr>
                <w:b/>
                <w:bCs/>
                <w:color w:val="FFFFFF"/>
                <w:sz w:val="24"/>
                <w:szCs w:val="24"/>
              </w:rPr>
              <w:t>KPI / Success Metric</w:t>
            </w:r>
          </w:p>
        </w:tc>
        <w:tc>
          <w:tcPr>
            <w:tcW w:w="1037" w:type="pct"/>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6B906A87" w14:textId="77777777" w:rsidR="00825697" w:rsidRPr="00D11EE4" w:rsidRDefault="009C1F85" w:rsidP="000412E1">
            <w:pPr>
              <w:spacing w:line="360" w:lineRule="auto"/>
              <w:jc w:val="center"/>
              <w:rPr>
                <w:sz w:val="24"/>
                <w:szCs w:val="24"/>
              </w:rPr>
            </w:pPr>
            <w:r w:rsidRPr="00D11EE4">
              <w:rPr>
                <w:b/>
                <w:bCs/>
                <w:color w:val="FFFFFF"/>
                <w:sz w:val="24"/>
                <w:szCs w:val="24"/>
              </w:rPr>
              <w:t>Verification Method</w:t>
            </w:r>
          </w:p>
        </w:tc>
      </w:tr>
      <w:tr w:rsidR="00825697" w:rsidRPr="00D11EE4" w14:paraId="71119E35"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0CB85543" w14:textId="77777777" w:rsidR="00825697" w:rsidRPr="00D11EE4" w:rsidRDefault="009C1F85" w:rsidP="000412E1">
            <w:pPr>
              <w:spacing w:line="360" w:lineRule="auto"/>
              <w:jc w:val="center"/>
              <w:rPr>
                <w:sz w:val="24"/>
                <w:szCs w:val="24"/>
              </w:rPr>
            </w:pPr>
            <w:r w:rsidRPr="00D11EE4">
              <w:rPr>
                <w:b/>
                <w:bCs/>
                <w:color w:val="FFFFFF"/>
                <w:sz w:val="24"/>
                <w:szCs w:val="24"/>
              </w:rPr>
              <w:t>Short-Term</w:t>
            </w:r>
          </w:p>
          <w:p w14:paraId="16ABA08B" w14:textId="77777777" w:rsidR="00825697" w:rsidRPr="00D11EE4" w:rsidRDefault="009C1F85" w:rsidP="000412E1">
            <w:pPr>
              <w:spacing w:line="360" w:lineRule="auto"/>
              <w:jc w:val="center"/>
              <w:rPr>
                <w:sz w:val="24"/>
                <w:szCs w:val="24"/>
              </w:rPr>
            </w:pPr>
            <w:r w:rsidRPr="00D11EE4">
              <w:rPr>
                <w:b/>
                <w:bCs/>
                <w:color w:val="FFFFFF"/>
                <w:sz w:val="24"/>
                <w:szCs w:val="24"/>
              </w:rPr>
              <w:t>(0–12 months)</w:t>
            </w:r>
          </w:p>
        </w:tc>
        <w:tc>
          <w:tcPr>
            <w:tcW w:w="918"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513AA69F" w14:textId="77777777" w:rsidR="00825697" w:rsidRPr="00D11EE4" w:rsidRDefault="009C1F85" w:rsidP="000412E1">
            <w:pPr>
              <w:spacing w:line="360" w:lineRule="auto"/>
              <w:rPr>
                <w:sz w:val="24"/>
                <w:szCs w:val="24"/>
              </w:rPr>
            </w:pPr>
            <w:r w:rsidRPr="00D11EE4">
              <w:rPr>
                <w:sz w:val="24"/>
                <w:szCs w:val="24"/>
              </w:rPr>
              <w:t>Comprehensive AI credit model audit across UK and EU portfolios</w:t>
            </w:r>
          </w:p>
        </w:tc>
        <w:tc>
          <w:tcPr>
            <w:tcW w:w="837"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52170F75" w14:textId="77777777" w:rsidR="00825697" w:rsidRPr="00D11EE4" w:rsidRDefault="009C1F85" w:rsidP="000412E1">
            <w:pPr>
              <w:spacing w:line="360" w:lineRule="auto"/>
              <w:rPr>
                <w:sz w:val="24"/>
                <w:szCs w:val="24"/>
              </w:rPr>
            </w:pPr>
            <w:r w:rsidRPr="00D11EE4">
              <w:rPr>
                <w:sz w:val="24"/>
                <w:szCs w:val="24"/>
              </w:rPr>
              <w:t>Chief Risk Officer</w:t>
            </w:r>
          </w:p>
        </w:tc>
        <w:tc>
          <w:tcPr>
            <w:tcW w:w="862"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59B8D258" w14:textId="77777777" w:rsidR="00825697" w:rsidRPr="00D11EE4" w:rsidRDefault="009C1F85" w:rsidP="000412E1">
            <w:pPr>
              <w:spacing w:line="360" w:lineRule="auto"/>
              <w:rPr>
                <w:sz w:val="24"/>
                <w:szCs w:val="24"/>
              </w:rPr>
            </w:pPr>
            <w:r w:rsidRPr="00D11EE4">
              <w:rPr>
                <w:sz w:val="24"/>
                <w:szCs w:val="24"/>
              </w:rPr>
              <w:t>£800k–£1.2m</w:t>
            </w:r>
          </w:p>
        </w:tc>
        <w:tc>
          <w:tcPr>
            <w:tcW w:w="750"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226A67D1" w14:textId="77777777" w:rsidR="00825697" w:rsidRPr="00D11EE4" w:rsidRDefault="009C1F85" w:rsidP="000412E1">
            <w:pPr>
              <w:spacing w:line="360" w:lineRule="auto"/>
              <w:rPr>
                <w:sz w:val="24"/>
                <w:szCs w:val="24"/>
              </w:rPr>
            </w:pPr>
            <w:r w:rsidRPr="00D11EE4">
              <w:rPr>
                <w:sz w:val="24"/>
                <w:szCs w:val="24"/>
              </w:rPr>
              <w:t>100% of models assessed against fairness metrics within 12 months</w:t>
            </w:r>
          </w:p>
        </w:tc>
        <w:tc>
          <w:tcPr>
            <w:tcW w:w="1037"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671D7B57" w14:textId="403539F1" w:rsidR="00825697" w:rsidRPr="00D11EE4" w:rsidRDefault="009C1F85" w:rsidP="000412E1">
            <w:pPr>
              <w:spacing w:line="360" w:lineRule="auto"/>
              <w:rPr>
                <w:sz w:val="24"/>
                <w:szCs w:val="24"/>
              </w:rPr>
            </w:pPr>
            <w:r w:rsidRPr="00D11EE4">
              <w:rPr>
                <w:sz w:val="24"/>
                <w:szCs w:val="24"/>
              </w:rPr>
              <w:t xml:space="preserve">Independent auditor's report published to </w:t>
            </w:r>
            <w:r w:rsidR="00B62729" w:rsidRPr="00D11EE4">
              <w:rPr>
                <w:sz w:val="24"/>
                <w:szCs w:val="24"/>
              </w:rPr>
              <w:t xml:space="preserve">the </w:t>
            </w:r>
            <w:r w:rsidRPr="00D11EE4">
              <w:rPr>
                <w:sz w:val="24"/>
                <w:szCs w:val="24"/>
              </w:rPr>
              <w:t>Board Risk Committee</w:t>
            </w:r>
          </w:p>
        </w:tc>
      </w:tr>
      <w:tr w:rsidR="00825697" w:rsidRPr="00D11EE4" w14:paraId="5895AE97"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BEF3CC8" w14:textId="77777777" w:rsidR="00825697" w:rsidRPr="00D11EE4" w:rsidRDefault="00825697" w:rsidP="000412E1">
            <w:pPr>
              <w:spacing w:line="360" w:lineRule="auto"/>
              <w:jc w:val="center"/>
              <w:rPr>
                <w:sz w:val="24"/>
                <w:szCs w:val="24"/>
              </w:rPr>
            </w:pPr>
          </w:p>
        </w:tc>
        <w:tc>
          <w:tcPr>
            <w:tcW w:w="918"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3FBA34B" w14:textId="4B629F76" w:rsidR="00825697" w:rsidRPr="00D11EE4" w:rsidRDefault="009C1F85" w:rsidP="000412E1">
            <w:pPr>
              <w:spacing w:line="360" w:lineRule="auto"/>
              <w:rPr>
                <w:sz w:val="24"/>
                <w:szCs w:val="24"/>
              </w:rPr>
            </w:pPr>
            <w:r w:rsidRPr="00D11EE4">
              <w:rPr>
                <w:sz w:val="24"/>
                <w:szCs w:val="24"/>
              </w:rPr>
              <w:t xml:space="preserve">Establish </w:t>
            </w:r>
            <w:r w:rsidR="00B62729" w:rsidRPr="00D11EE4">
              <w:rPr>
                <w:sz w:val="24"/>
                <w:szCs w:val="24"/>
              </w:rPr>
              <w:t xml:space="preserve">an </w:t>
            </w:r>
            <w:r w:rsidRPr="00D11EE4">
              <w:rPr>
                <w:sz w:val="24"/>
                <w:szCs w:val="24"/>
              </w:rPr>
              <w:t>AI Ethics Committee with independent external representation</w:t>
            </w:r>
          </w:p>
        </w:tc>
        <w:tc>
          <w:tcPr>
            <w:tcW w:w="8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7B43788" w14:textId="77777777" w:rsidR="00825697" w:rsidRPr="00D11EE4" w:rsidRDefault="009C1F85" w:rsidP="000412E1">
            <w:pPr>
              <w:spacing w:line="360" w:lineRule="auto"/>
              <w:rPr>
                <w:sz w:val="24"/>
                <w:szCs w:val="24"/>
              </w:rPr>
            </w:pPr>
            <w:r w:rsidRPr="00D11EE4">
              <w:rPr>
                <w:sz w:val="24"/>
                <w:szCs w:val="24"/>
              </w:rPr>
              <w:t>Chief Compliance Officer</w:t>
            </w:r>
          </w:p>
        </w:tc>
        <w:tc>
          <w:tcPr>
            <w:tcW w:w="862"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7C33A98" w14:textId="77777777" w:rsidR="00825697" w:rsidRPr="00D11EE4" w:rsidRDefault="009C1F85" w:rsidP="000412E1">
            <w:pPr>
              <w:spacing w:line="360" w:lineRule="auto"/>
              <w:rPr>
                <w:sz w:val="24"/>
                <w:szCs w:val="24"/>
              </w:rPr>
            </w:pPr>
            <w:r w:rsidRPr="00D11EE4">
              <w:rPr>
                <w:sz w:val="24"/>
                <w:szCs w:val="24"/>
              </w:rPr>
              <w:t>£200k–£400k p.a.</w:t>
            </w:r>
          </w:p>
        </w:tc>
        <w:tc>
          <w:tcPr>
            <w:tcW w:w="750"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7AB990E" w14:textId="77777777" w:rsidR="00825697" w:rsidRPr="00D11EE4" w:rsidRDefault="009C1F85" w:rsidP="000412E1">
            <w:pPr>
              <w:spacing w:line="360" w:lineRule="auto"/>
              <w:rPr>
                <w:sz w:val="24"/>
                <w:szCs w:val="24"/>
              </w:rPr>
            </w:pPr>
            <w:r w:rsidRPr="00D11EE4">
              <w:rPr>
                <w:sz w:val="24"/>
                <w:szCs w:val="24"/>
              </w:rPr>
              <w:t>Committee constituted; first report within 6 months</w:t>
            </w:r>
          </w:p>
        </w:tc>
        <w:tc>
          <w:tcPr>
            <w:tcW w:w="10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D1BA4FF" w14:textId="77777777" w:rsidR="00825697" w:rsidRPr="00D11EE4" w:rsidRDefault="009C1F85" w:rsidP="000412E1">
            <w:pPr>
              <w:spacing w:line="360" w:lineRule="auto"/>
              <w:rPr>
                <w:sz w:val="24"/>
                <w:szCs w:val="24"/>
              </w:rPr>
            </w:pPr>
            <w:r w:rsidRPr="00D11EE4">
              <w:rPr>
                <w:sz w:val="24"/>
                <w:szCs w:val="24"/>
              </w:rPr>
              <w:t>Committee minutes and published annual report</w:t>
            </w:r>
          </w:p>
        </w:tc>
      </w:tr>
      <w:tr w:rsidR="00825697" w:rsidRPr="00D11EE4" w14:paraId="2184E486"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vAlign w:val="center"/>
          </w:tcPr>
          <w:p w14:paraId="0157BCB0" w14:textId="77777777" w:rsidR="00825697" w:rsidRPr="00D11EE4" w:rsidRDefault="00825697" w:rsidP="000412E1">
            <w:pPr>
              <w:spacing w:line="360" w:lineRule="auto"/>
              <w:jc w:val="center"/>
              <w:rPr>
                <w:sz w:val="24"/>
                <w:szCs w:val="24"/>
              </w:rPr>
            </w:pPr>
          </w:p>
        </w:tc>
        <w:tc>
          <w:tcPr>
            <w:tcW w:w="918"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1DEE59A5" w14:textId="77777777" w:rsidR="00825697" w:rsidRPr="00D11EE4" w:rsidRDefault="009C1F85" w:rsidP="000412E1">
            <w:pPr>
              <w:spacing w:line="360" w:lineRule="auto"/>
              <w:rPr>
                <w:sz w:val="24"/>
                <w:szCs w:val="24"/>
              </w:rPr>
            </w:pPr>
            <w:r w:rsidRPr="00D11EE4">
              <w:rPr>
                <w:sz w:val="24"/>
                <w:szCs w:val="24"/>
              </w:rPr>
              <w:t>Mandate SHAP-based explanations for all credit score declines</w:t>
            </w:r>
          </w:p>
        </w:tc>
        <w:tc>
          <w:tcPr>
            <w:tcW w:w="837"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5BF1E123" w14:textId="77777777" w:rsidR="00825697" w:rsidRPr="00D11EE4" w:rsidRDefault="009C1F85" w:rsidP="000412E1">
            <w:pPr>
              <w:spacing w:line="360" w:lineRule="auto"/>
              <w:rPr>
                <w:sz w:val="24"/>
                <w:szCs w:val="24"/>
              </w:rPr>
            </w:pPr>
            <w:r w:rsidRPr="00D11EE4">
              <w:rPr>
                <w:sz w:val="24"/>
                <w:szCs w:val="24"/>
              </w:rPr>
              <w:t>Chief Data Officer</w:t>
            </w:r>
          </w:p>
        </w:tc>
        <w:tc>
          <w:tcPr>
            <w:tcW w:w="862"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6956EB05" w14:textId="77777777" w:rsidR="00825697" w:rsidRPr="00D11EE4" w:rsidRDefault="009C1F85" w:rsidP="000412E1">
            <w:pPr>
              <w:spacing w:line="360" w:lineRule="auto"/>
              <w:rPr>
                <w:sz w:val="24"/>
                <w:szCs w:val="24"/>
              </w:rPr>
            </w:pPr>
            <w:r w:rsidRPr="00D11EE4">
              <w:rPr>
                <w:sz w:val="24"/>
                <w:szCs w:val="24"/>
              </w:rPr>
              <w:t>£1.5m–£2.5m (infrastructure)</w:t>
            </w:r>
          </w:p>
        </w:tc>
        <w:tc>
          <w:tcPr>
            <w:tcW w:w="750"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4683052B" w14:textId="77777777" w:rsidR="00825697" w:rsidRPr="00D11EE4" w:rsidRDefault="009C1F85" w:rsidP="000412E1">
            <w:pPr>
              <w:spacing w:line="360" w:lineRule="auto"/>
              <w:rPr>
                <w:sz w:val="24"/>
                <w:szCs w:val="24"/>
              </w:rPr>
            </w:pPr>
            <w:r w:rsidRPr="00D11EE4">
              <w:rPr>
                <w:sz w:val="24"/>
                <w:szCs w:val="24"/>
              </w:rPr>
              <w:t>100% of automated declines with meaningful adverse action notice</w:t>
            </w:r>
          </w:p>
        </w:tc>
        <w:tc>
          <w:tcPr>
            <w:tcW w:w="1037"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2B6A211B" w14:textId="5DC79DE0" w:rsidR="00825697" w:rsidRPr="00D11EE4" w:rsidRDefault="009C1F85" w:rsidP="000412E1">
            <w:pPr>
              <w:spacing w:line="360" w:lineRule="auto"/>
              <w:rPr>
                <w:sz w:val="24"/>
                <w:szCs w:val="24"/>
              </w:rPr>
            </w:pPr>
            <w:r w:rsidRPr="00D11EE4">
              <w:rPr>
                <w:sz w:val="24"/>
                <w:szCs w:val="24"/>
              </w:rPr>
              <w:t xml:space="preserve">ICO-compliant explanation quality assessment by </w:t>
            </w:r>
            <w:r w:rsidR="00B62729" w:rsidRPr="00D11EE4">
              <w:rPr>
                <w:sz w:val="24"/>
                <w:szCs w:val="24"/>
              </w:rPr>
              <w:t xml:space="preserve">an </w:t>
            </w:r>
            <w:r w:rsidRPr="00D11EE4">
              <w:rPr>
                <w:sz w:val="24"/>
                <w:szCs w:val="24"/>
              </w:rPr>
              <w:t>external reviewer</w:t>
            </w:r>
          </w:p>
        </w:tc>
      </w:tr>
      <w:tr w:rsidR="00825697" w:rsidRPr="00D11EE4" w14:paraId="4DD41059"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23FA8BF" w14:textId="77777777" w:rsidR="00825697" w:rsidRPr="00D11EE4" w:rsidRDefault="00825697" w:rsidP="000412E1">
            <w:pPr>
              <w:spacing w:line="360" w:lineRule="auto"/>
              <w:jc w:val="center"/>
              <w:rPr>
                <w:sz w:val="24"/>
                <w:szCs w:val="24"/>
              </w:rPr>
            </w:pPr>
          </w:p>
        </w:tc>
        <w:tc>
          <w:tcPr>
            <w:tcW w:w="918"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F39667A" w14:textId="77777777" w:rsidR="00825697" w:rsidRPr="00D11EE4" w:rsidRDefault="009C1F85" w:rsidP="000412E1">
            <w:pPr>
              <w:spacing w:line="360" w:lineRule="auto"/>
              <w:rPr>
                <w:sz w:val="24"/>
                <w:szCs w:val="24"/>
              </w:rPr>
            </w:pPr>
            <w:r w:rsidRPr="00D11EE4">
              <w:rPr>
                <w:sz w:val="24"/>
                <w:szCs w:val="24"/>
              </w:rPr>
              <w:t xml:space="preserve">Regulatory engagement </w:t>
            </w:r>
            <w:proofErr w:type="spellStart"/>
            <w:r w:rsidRPr="00D11EE4">
              <w:rPr>
                <w:sz w:val="24"/>
                <w:szCs w:val="24"/>
              </w:rPr>
              <w:t>programme</w:t>
            </w:r>
            <w:proofErr w:type="spellEnd"/>
            <w:r w:rsidRPr="00D11EE4">
              <w:rPr>
                <w:sz w:val="24"/>
                <w:szCs w:val="24"/>
              </w:rPr>
              <w:t xml:space="preserve"> with FCA on AI fairness standards</w:t>
            </w:r>
          </w:p>
        </w:tc>
        <w:tc>
          <w:tcPr>
            <w:tcW w:w="8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81D2DEA" w14:textId="77777777" w:rsidR="00825697" w:rsidRPr="00D11EE4" w:rsidRDefault="009C1F85" w:rsidP="000412E1">
            <w:pPr>
              <w:spacing w:line="360" w:lineRule="auto"/>
              <w:rPr>
                <w:sz w:val="24"/>
                <w:szCs w:val="24"/>
              </w:rPr>
            </w:pPr>
            <w:r w:rsidRPr="00D11EE4">
              <w:rPr>
                <w:sz w:val="24"/>
                <w:szCs w:val="24"/>
              </w:rPr>
              <w:t>Legal and Regulatory Affairs</w:t>
            </w:r>
          </w:p>
        </w:tc>
        <w:tc>
          <w:tcPr>
            <w:tcW w:w="862"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2774173" w14:textId="77777777" w:rsidR="00825697" w:rsidRPr="00D11EE4" w:rsidRDefault="009C1F85" w:rsidP="000412E1">
            <w:pPr>
              <w:spacing w:line="360" w:lineRule="auto"/>
              <w:rPr>
                <w:sz w:val="24"/>
                <w:szCs w:val="24"/>
              </w:rPr>
            </w:pPr>
            <w:r w:rsidRPr="00D11EE4">
              <w:rPr>
                <w:sz w:val="24"/>
                <w:szCs w:val="24"/>
              </w:rPr>
              <w:t>£150k–£300k</w:t>
            </w:r>
          </w:p>
        </w:tc>
        <w:tc>
          <w:tcPr>
            <w:tcW w:w="750"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416B1A4" w14:textId="77777777" w:rsidR="00825697" w:rsidRPr="00D11EE4" w:rsidRDefault="009C1F85" w:rsidP="000412E1">
            <w:pPr>
              <w:spacing w:line="360" w:lineRule="auto"/>
              <w:rPr>
                <w:sz w:val="24"/>
                <w:szCs w:val="24"/>
              </w:rPr>
            </w:pPr>
            <w:r w:rsidRPr="00D11EE4">
              <w:rPr>
                <w:sz w:val="24"/>
                <w:szCs w:val="24"/>
              </w:rPr>
              <w:t>Formal dialogue established; participation in FCA AI panel</w:t>
            </w:r>
          </w:p>
        </w:tc>
        <w:tc>
          <w:tcPr>
            <w:tcW w:w="10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5A9CAC1" w14:textId="77777777" w:rsidR="00825697" w:rsidRPr="00D11EE4" w:rsidRDefault="009C1F85" w:rsidP="000412E1">
            <w:pPr>
              <w:spacing w:line="360" w:lineRule="auto"/>
              <w:rPr>
                <w:sz w:val="24"/>
                <w:szCs w:val="24"/>
              </w:rPr>
            </w:pPr>
            <w:r w:rsidRPr="00D11EE4">
              <w:rPr>
                <w:sz w:val="24"/>
                <w:szCs w:val="24"/>
              </w:rPr>
              <w:t>FCA correspondence and panel membership confirmation</w:t>
            </w:r>
          </w:p>
        </w:tc>
      </w:tr>
      <w:tr w:rsidR="00825697" w:rsidRPr="00D11EE4" w14:paraId="5E53D9EE"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5B84160C" w14:textId="77777777" w:rsidR="00825697" w:rsidRPr="00D11EE4" w:rsidRDefault="009C1F85" w:rsidP="000412E1">
            <w:pPr>
              <w:spacing w:line="360" w:lineRule="auto"/>
              <w:jc w:val="center"/>
              <w:rPr>
                <w:sz w:val="24"/>
                <w:szCs w:val="24"/>
              </w:rPr>
            </w:pPr>
            <w:r w:rsidRPr="00D11EE4">
              <w:rPr>
                <w:b/>
                <w:bCs/>
                <w:color w:val="FFFFFF"/>
                <w:sz w:val="24"/>
                <w:szCs w:val="24"/>
              </w:rPr>
              <w:t>Medium-Term</w:t>
            </w:r>
          </w:p>
          <w:p w14:paraId="754EC3E4" w14:textId="77777777" w:rsidR="00825697" w:rsidRPr="00D11EE4" w:rsidRDefault="009C1F85" w:rsidP="000412E1">
            <w:pPr>
              <w:spacing w:line="360" w:lineRule="auto"/>
              <w:jc w:val="center"/>
              <w:rPr>
                <w:sz w:val="24"/>
                <w:szCs w:val="24"/>
              </w:rPr>
            </w:pPr>
            <w:r w:rsidRPr="00D11EE4">
              <w:rPr>
                <w:b/>
                <w:bCs/>
                <w:color w:val="FFFFFF"/>
                <w:sz w:val="24"/>
                <w:szCs w:val="24"/>
              </w:rPr>
              <w:t>(1–3 years)</w:t>
            </w:r>
          </w:p>
        </w:tc>
        <w:tc>
          <w:tcPr>
            <w:tcW w:w="918"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69BDF37E" w14:textId="66623621" w:rsidR="00825697" w:rsidRPr="00D11EE4" w:rsidRDefault="009C1F85" w:rsidP="000412E1">
            <w:pPr>
              <w:spacing w:line="360" w:lineRule="auto"/>
              <w:rPr>
                <w:sz w:val="24"/>
                <w:szCs w:val="24"/>
              </w:rPr>
            </w:pPr>
            <w:r w:rsidRPr="00D11EE4">
              <w:rPr>
                <w:sz w:val="24"/>
                <w:szCs w:val="24"/>
              </w:rPr>
              <w:t xml:space="preserve">Deploy </w:t>
            </w:r>
            <w:r w:rsidR="00B62729" w:rsidRPr="00D11EE4">
              <w:rPr>
                <w:sz w:val="24"/>
                <w:szCs w:val="24"/>
              </w:rPr>
              <w:t xml:space="preserve">a </w:t>
            </w:r>
            <w:r w:rsidRPr="00D11EE4">
              <w:rPr>
                <w:sz w:val="24"/>
                <w:szCs w:val="24"/>
              </w:rPr>
              <w:t>fairness-aware model development pipeline for all new credit scoring models</w:t>
            </w:r>
          </w:p>
        </w:tc>
        <w:tc>
          <w:tcPr>
            <w:tcW w:w="837"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373317BE" w14:textId="77777777" w:rsidR="00825697" w:rsidRPr="00D11EE4" w:rsidRDefault="009C1F85" w:rsidP="000412E1">
            <w:pPr>
              <w:spacing w:line="360" w:lineRule="auto"/>
              <w:rPr>
                <w:sz w:val="24"/>
                <w:szCs w:val="24"/>
              </w:rPr>
            </w:pPr>
            <w:r w:rsidRPr="00D11EE4">
              <w:rPr>
                <w:sz w:val="24"/>
                <w:szCs w:val="24"/>
              </w:rPr>
              <w:t>Data Science; Model Risk</w:t>
            </w:r>
          </w:p>
        </w:tc>
        <w:tc>
          <w:tcPr>
            <w:tcW w:w="862"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3E22AE3D" w14:textId="77777777" w:rsidR="00825697" w:rsidRPr="00D11EE4" w:rsidRDefault="009C1F85" w:rsidP="000412E1">
            <w:pPr>
              <w:spacing w:line="360" w:lineRule="auto"/>
              <w:rPr>
                <w:sz w:val="24"/>
                <w:szCs w:val="24"/>
              </w:rPr>
            </w:pPr>
            <w:r w:rsidRPr="00D11EE4">
              <w:rPr>
                <w:sz w:val="24"/>
                <w:szCs w:val="24"/>
              </w:rPr>
              <w:t>£3m–£5m</w:t>
            </w:r>
          </w:p>
        </w:tc>
        <w:tc>
          <w:tcPr>
            <w:tcW w:w="750"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5383284F" w14:textId="01C2B07D" w:rsidR="00825697" w:rsidRPr="00D11EE4" w:rsidRDefault="009C1F85" w:rsidP="000412E1">
            <w:pPr>
              <w:spacing w:line="360" w:lineRule="auto"/>
              <w:rPr>
                <w:sz w:val="24"/>
                <w:szCs w:val="24"/>
              </w:rPr>
            </w:pPr>
            <w:r w:rsidRPr="00D11EE4">
              <w:rPr>
                <w:sz w:val="24"/>
                <w:szCs w:val="24"/>
              </w:rPr>
              <w:t xml:space="preserve">Zero new models deployed without </w:t>
            </w:r>
            <w:r w:rsidR="00B62729" w:rsidRPr="00D11EE4">
              <w:rPr>
                <w:sz w:val="24"/>
                <w:szCs w:val="24"/>
              </w:rPr>
              <w:t xml:space="preserve">a </w:t>
            </w:r>
            <w:r w:rsidRPr="00D11EE4">
              <w:rPr>
                <w:sz w:val="24"/>
                <w:szCs w:val="24"/>
              </w:rPr>
              <w:t>documented fairness assessment</w:t>
            </w:r>
          </w:p>
        </w:tc>
        <w:tc>
          <w:tcPr>
            <w:tcW w:w="1037"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69AE49D8" w14:textId="77777777" w:rsidR="00825697" w:rsidRPr="00D11EE4" w:rsidRDefault="009C1F85" w:rsidP="000412E1">
            <w:pPr>
              <w:spacing w:line="360" w:lineRule="auto"/>
              <w:rPr>
                <w:sz w:val="24"/>
                <w:szCs w:val="24"/>
              </w:rPr>
            </w:pPr>
            <w:r w:rsidRPr="00D11EE4">
              <w:rPr>
                <w:sz w:val="24"/>
                <w:szCs w:val="24"/>
              </w:rPr>
              <w:t>Third-party model validation reports filed with CRO</w:t>
            </w:r>
          </w:p>
        </w:tc>
      </w:tr>
      <w:tr w:rsidR="00825697" w:rsidRPr="00D11EE4" w14:paraId="3E1E1E96"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1DC5FF8" w14:textId="77777777" w:rsidR="00825697" w:rsidRPr="00D11EE4" w:rsidRDefault="00825697" w:rsidP="000412E1">
            <w:pPr>
              <w:spacing w:line="360" w:lineRule="auto"/>
              <w:jc w:val="center"/>
              <w:rPr>
                <w:sz w:val="24"/>
                <w:szCs w:val="24"/>
              </w:rPr>
            </w:pPr>
          </w:p>
        </w:tc>
        <w:tc>
          <w:tcPr>
            <w:tcW w:w="918"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E5A8523" w14:textId="77777777" w:rsidR="00825697" w:rsidRPr="00D11EE4" w:rsidRDefault="009C1F85" w:rsidP="000412E1">
            <w:pPr>
              <w:spacing w:line="360" w:lineRule="auto"/>
              <w:rPr>
                <w:sz w:val="24"/>
                <w:szCs w:val="24"/>
              </w:rPr>
            </w:pPr>
            <w:r w:rsidRPr="00D11EE4">
              <w:rPr>
                <w:sz w:val="24"/>
                <w:szCs w:val="24"/>
              </w:rPr>
              <w:t xml:space="preserve">Implement continuous bias monitoring </w:t>
            </w:r>
            <w:r w:rsidRPr="00D11EE4">
              <w:rPr>
                <w:sz w:val="24"/>
                <w:szCs w:val="24"/>
              </w:rPr>
              <w:lastRenderedPageBreak/>
              <w:t>with automated alerting</w:t>
            </w:r>
          </w:p>
        </w:tc>
        <w:tc>
          <w:tcPr>
            <w:tcW w:w="8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41B2539A" w14:textId="77777777" w:rsidR="00825697" w:rsidRPr="00D11EE4" w:rsidRDefault="009C1F85" w:rsidP="000412E1">
            <w:pPr>
              <w:spacing w:line="360" w:lineRule="auto"/>
              <w:rPr>
                <w:sz w:val="24"/>
                <w:szCs w:val="24"/>
              </w:rPr>
            </w:pPr>
            <w:r w:rsidRPr="00D11EE4">
              <w:rPr>
                <w:sz w:val="24"/>
                <w:szCs w:val="24"/>
              </w:rPr>
              <w:lastRenderedPageBreak/>
              <w:t>Technology; Risk Analytics</w:t>
            </w:r>
          </w:p>
        </w:tc>
        <w:tc>
          <w:tcPr>
            <w:tcW w:w="862"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13E0426" w14:textId="77777777" w:rsidR="00825697" w:rsidRPr="00D11EE4" w:rsidRDefault="009C1F85" w:rsidP="000412E1">
            <w:pPr>
              <w:spacing w:line="360" w:lineRule="auto"/>
              <w:rPr>
                <w:sz w:val="24"/>
                <w:szCs w:val="24"/>
              </w:rPr>
            </w:pPr>
            <w:r w:rsidRPr="00D11EE4">
              <w:rPr>
                <w:sz w:val="24"/>
                <w:szCs w:val="24"/>
              </w:rPr>
              <w:t>£2m–£3m</w:t>
            </w:r>
          </w:p>
        </w:tc>
        <w:tc>
          <w:tcPr>
            <w:tcW w:w="750"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73321166" w14:textId="77777777" w:rsidR="00825697" w:rsidRPr="00D11EE4" w:rsidRDefault="009C1F85" w:rsidP="000412E1">
            <w:pPr>
              <w:spacing w:line="360" w:lineRule="auto"/>
              <w:rPr>
                <w:sz w:val="24"/>
                <w:szCs w:val="24"/>
              </w:rPr>
            </w:pPr>
            <w:r w:rsidRPr="00D11EE4">
              <w:rPr>
                <w:sz w:val="24"/>
                <w:szCs w:val="24"/>
              </w:rPr>
              <w:t xml:space="preserve">Monthly fairness metric reporting; </w:t>
            </w:r>
            <w:r w:rsidRPr="00D11EE4">
              <w:rPr>
                <w:sz w:val="24"/>
                <w:szCs w:val="24"/>
              </w:rPr>
              <w:lastRenderedPageBreak/>
              <w:t>breaches escalated within 24 hours</w:t>
            </w:r>
          </w:p>
        </w:tc>
        <w:tc>
          <w:tcPr>
            <w:tcW w:w="10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62D26FF6" w14:textId="2A17B18D" w:rsidR="00825697" w:rsidRPr="00D11EE4" w:rsidRDefault="009C1F85" w:rsidP="000412E1">
            <w:pPr>
              <w:spacing w:line="360" w:lineRule="auto"/>
              <w:rPr>
                <w:sz w:val="24"/>
                <w:szCs w:val="24"/>
              </w:rPr>
            </w:pPr>
            <w:r w:rsidRPr="00D11EE4">
              <w:rPr>
                <w:sz w:val="24"/>
                <w:szCs w:val="24"/>
              </w:rPr>
              <w:lastRenderedPageBreak/>
              <w:t xml:space="preserve">Internal audit review of </w:t>
            </w:r>
            <w:r w:rsidR="00B62729" w:rsidRPr="00D11EE4">
              <w:rPr>
                <w:sz w:val="24"/>
                <w:szCs w:val="24"/>
              </w:rPr>
              <w:t xml:space="preserve">the </w:t>
            </w:r>
            <w:r w:rsidRPr="00D11EE4">
              <w:rPr>
                <w:sz w:val="24"/>
                <w:szCs w:val="24"/>
              </w:rPr>
              <w:t xml:space="preserve">monitoring </w:t>
            </w:r>
            <w:r w:rsidRPr="00D11EE4">
              <w:rPr>
                <w:sz w:val="24"/>
                <w:szCs w:val="24"/>
              </w:rPr>
              <w:lastRenderedPageBreak/>
              <w:t>system quarterly</w:t>
            </w:r>
          </w:p>
        </w:tc>
      </w:tr>
      <w:tr w:rsidR="00825697" w:rsidRPr="00D11EE4" w14:paraId="7DFB83BA"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vAlign w:val="center"/>
          </w:tcPr>
          <w:p w14:paraId="248841C0" w14:textId="77777777" w:rsidR="00825697" w:rsidRPr="00D11EE4" w:rsidRDefault="00825697" w:rsidP="000412E1">
            <w:pPr>
              <w:spacing w:line="360" w:lineRule="auto"/>
              <w:jc w:val="center"/>
              <w:rPr>
                <w:sz w:val="24"/>
                <w:szCs w:val="24"/>
              </w:rPr>
            </w:pPr>
          </w:p>
        </w:tc>
        <w:tc>
          <w:tcPr>
            <w:tcW w:w="918"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1A4F33C0" w14:textId="77777777" w:rsidR="00825697" w:rsidRPr="00D11EE4" w:rsidRDefault="009C1F85" w:rsidP="000412E1">
            <w:pPr>
              <w:spacing w:line="360" w:lineRule="auto"/>
              <w:rPr>
                <w:sz w:val="24"/>
                <w:szCs w:val="24"/>
              </w:rPr>
            </w:pPr>
            <w:r w:rsidRPr="00D11EE4">
              <w:rPr>
                <w:sz w:val="24"/>
                <w:szCs w:val="24"/>
              </w:rPr>
              <w:t>Staff training on AI ethics and explainability</w:t>
            </w:r>
          </w:p>
        </w:tc>
        <w:tc>
          <w:tcPr>
            <w:tcW w:w="837"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6B810DC9" w14:textId="77777777" w:rsidR="00825697" w:rsidRPr="00D11EE4" w:rsidRDefault="009C1F85" w:rsidP="000412E1">
            <w:pPr>
              <w:spacing w:line="360" w:lineRule="auto"/>
              <w:rPr>
                <w:sz w:val="24"/>
                <w:szCs w:val="24"/>
              </w:rPr>
            </w:pPr>
            <w:r w:rsidRPr="00D11EE4">
              <w:rPr>
                <w:sz w:val="24"/>
                <w:szCs w:val="24"/>
              </w:rPr>
              <w:t>HR; Risk</w:t>
            </w:r>
          </w:p>
        </w:tc>
        <w:tc>
          <w:tcPr>
            <w:tcW w:w="862"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50FACB55" w14:textId="77777777" w:rsidR="00825697" w:rsidRPr="00D11EE4" w:rsidRDefault="009C1F85" w:rsidP="000412E1">
            <w:pPr>
              <w:spacing w:line="360" w:lineRule="auto"/>
              <w:rPr>
                <w:sz w:val="24"/>
                <w:szCs w:val="24"/>
              </w:rPr>
            </w:pPr>
            <w:r w:rsidRPr="00D11EE4">
              <w:rPr>
                <w:sz w:val="24"/>
                <w:szCs w:val="24"/>
              </w:rPr>
              <w:t>£500k–£800k</w:t>
            </w:r>
          </w:p>
        </w:tc>
        <w:tc>
          <w:tcPr>
            <w:tcW w:w="750"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40576AB3" w14:textId="77777777" w:rsidR="00825697" w:rsidRPr="00D11EE4" w:rsidRDefault="009C1F85" w:rsidP="000412E1">
            <w:pPr>
              <w:spacing w:line="360" w:lineRule="auto"/>
              <w:rPr>
                <w:sz w:val="24"/>
                <w:szCs w:val="24"/>
              </w:rPr>
            </w:pPr>
            <w:r w:rsidRPr="00D11EE4">
              <w:rPr>
                <w:sz w:val="24"/>
                <w:szCs w:val="24"/>
              </w:rPr>
              <w:t>100% of model developers complete accredited AI ethics training</w:t>
            </w:r>
          </w:p>
        </w:tc>
        <w:tc>
          <w:tcPr>
            <w:tcW w:w="1037"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74A5214D" w14:textId="77777777" w:rsidR="00825697" w:rsidRPr="00D11EE4" w:rsidRDefault="009C1F85" w:rsidP="000412E1">
            <w:pPr>
              <w:spacing w:line="360" w:lineRule="auto"/>
              <w:rPr>
                <w:sz w:val="24"/>
                <w:szCs w:val="24"/>
              </w:rPr>
            </w:pPr>
            <w:r w:rsidRPr="00D11EE4">
              <w:rPr>
                <w:sz w:val="24"/>
                <w:szCs w:val="24"/>
              </w:rPr>
              <w:t>Training completion records; post-training assessment scores</w:t>
            </w:r>
          </w:p>
        </w:tc>
      </w:tr>
      <w:tr w:rsidR="00825697" w:rsidRPr="00D11EE4" w14:paraId="607317B2"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4F9610B" w14:textId="77777777" w:rsidR="00825697" w:rsidRPr="00D11EE4" w:rsidRDefault="00825697" w:rsidP="000412E1">
            <w:pPr>
              <w:spacing w:line="360" w:lineRule="auto"/>
              <w:jc w:val="center"/>
              <w:rPr>
                <w:sz w:val="24"/>
                <w:szCs w:val="24"/>
              </w:rPr>
            </w:pPr>
          </w:p>
        </w:tc>
        <w:tc>
          <w:tcPr>
            <w:tcW w:w="918"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5E0CC12E" w14:textId="77777777" w:rsidR="00825697" w:rsidRPr="00D11EE4" w:rsidRDefault="009C1F85" w:rsidP="000412E1">
            <w:pPr>
              <w:spacing w:line="360" w:lineRule="auto"/>
              <w:rPr>
                <w:sz w:val="24"/>
                <w:szCs w:val="24"/>
              </w:rPr>
            </w:pPr>
            <w:r w:rsidRPr="00D11EE4">
              <w:rPr>
                <w:sz w:val="24"/>
                <w:szCs w:val="24"/>
              </w:rPr>
              <w:t>EU AI Act conformity assessment for EU-facing credit models</w:t>
            </w:r>
          </w:p>
        </w:tc>
        <w:tc>
          <w:tcPr>
            <w:tcW w:w="8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A5BE7EA" w14:textId="77777777" w:rsidR="00825697" w:rsidRPr="00D11EE4" w:rsidRDefault="009C1F85" w:rsidP="000412E1">
            <w:pPr>
              <w:spacing w:line="360" w:lineRule="auto"/>
              <w:rPr>
                <w:sz w:val="24"/>
                <w:szCs w:val="24"/>
              </w:rPr>
            </w:pPr>
            <w:r w:rsidRPr="00D11EE4">
              <w:rPr>
                <w:sz w:val="24"/>
                <w:szCs w:val="24"/>
              </w:rPr>
              <w:t>Legal; Compliance</w:t>
            </w:r>
          </w:p>
        </w:tc>
        <w:tc>
          <w:tcPr>
            <w:tcW w:w="862"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22DCCC8F" w14:textId="77777777" w:rsidR="00825697" w:rsidRPr="00D11EE4" w:rsidRDefault="009C1F85" w:rsidP="000412E1">
            <w:pPr>
              <w:spacing w:line="360" w:lineRule="auto"/>
              <w:rPr>
                <w:sz w:val="24"/>
                <w:szCs w:val="24"/>
              </w:rPr>
            </w:pPr>
            <w:r w:rsidRPr="00D11EE4">
              <w:rPr>
                <w:sz w:val="24"/>
                <w:szCs w:val="24"/>
              </w:rPr>
              <w:t>£1m–£2m</w:t>
            </w:r>
          </w:p>
        </w:tc>
        <w:tc>
          <w:tcPr>
            <w:tcW w:w="750"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BA0478B" w14:textId="6771A6C2" w:rsidR="00825697" w:rsidRPr="00D11EE4" w:rsidRDefault="009C1F85" w:rsidP="000412E1">
            <w:pPr>
              <w:spacing w:line="360" w:lineRule="auto"/>
              <w:rPr>
                <w:sz w:val="24"/>
                <w:szCs w:val="24"/>
              </w:rPr>
            </w:pPr>
            <w:r w:rsidRPr="00D11EE4">
              <w:rPr>
                <w:sz w:val="24"/>
                <w:szCs w:val="24"/>
              </w:rPr>
              <w:t xml:space="preserve">Full conformity achieved </w:t>
            </w:r>
            <w:r w:rsidR="00B62729" w:rsidRPr="00D11EE4">
              <w:rPr>
                <w:sz w:val="24"/>
                <w:szCs w:val="24"/>
              </w:rPr>
              <w:t>before</w:t>
            </w:r>
            <w:r w:rsidRPr="00D11EE4">
              <w:rPr>
                <w:sz w:val="24"/>
                <w:szCs w:val="24"/>
              </w:rPr>
              <w:t xml:space="preserve"> </w:t>
            </w:r>
            <w:r w:rsidR="00B62729" w:rsidRPr="00D11EE4">
              <w:rPr>
                <w:sz w:val="24"/>
                <w:szCs w:val="24"/>
              </w:rPr>
              <w:t xml:space="preserve">the </w:t>
            </w:r>
            <w:r w:rsidRPr="00D11EE4">
              <w:rPr>
                <w:sz w:val="24"/>
                <w:szCs w:val="24"/>
              </w:rPr>
              <w:t>2026 application date</w:t>
            </w:r>
          </w:p>
        </w:tc>
        <w:tc>
          <w:tcPr>
            <w:tcW w:w="10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EE55ED0" w14:textId="67D10D58" w:rsidR="00825697" w:rsidRPr="00D11EE4" w:rsidRDefault="009C1F85" w:rsidP="000412E1">
            <w:pPr>
              <w:spacing w:line="360" w:lineRule="auto"/>
              <w:rPr>
                <w:sz w:val="24"/>
                <w:szCs w:val="24"/>
              </w:rPr>
            </w:pPr>
            <w:r w:rsidRPr="00D11EE4">
              <w:rPr>
                <w:sz w:val="24"/>
                <w:szCs w:val="24"/>
              </w:rPr>
              <w:t xml:space="preserve">Conformity assessment certificate from </w:t>
            </w:r>
            <w:r w:rsidR="00B62729" w:rsidRPr="00D11EE4">
              <w:rPr>
                <w:sz w:val="24"/>
                <w:szCs w:val="24"/>
              </w:rPr>
              <w:t xml:space="preserve">an </w:t>
            </w:r>
            <w:r w:rsidRPr="00D11EE4">
              <w:rPr>
                <w:sz w:val="24"/>
                <w:szCs w:val="24"/>
              </w:rPr>
              <w:t>accredited notified body</w:t>
            </w:r>
          </w:p>
        </w:tc>
      </w:tr>
      <w:tr w:rsidR="00825697" w:rsidRPr="00D11EE4" w14:paraId="4B76FA60"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vAlign w:val="center"/>
          </w:tcPr>
          <w:p w14:paraId="3A60E21A" w14:textId="77777777" w:rsidR="00825697" w:rsidRPr="00D11EE4" w:rsidRDefault="009C1F85" w:rsidP="000412E1">
            <w:pPr>
              <w:spacing w:line="360" w:lineRule="auto"/>
              <w:jc w:val="center"/>
              <w:rPr>
                <w:sz w:val="24"/>
                <w:szCs w:val="24"/>
              </w:rPr>
            </w:pPr>
            <w:r w:rsidRPr="00D11EE4">
              <w:rPr>
                <w:b/>
                <w:bCs/>
                <w:color w:val="FFFFFF"/>
                <w:sz w:val="24"/>
                <w:szCs w:val="24"/>
              </w:rPr>
              <w:t>Long-Term</w:t>
            </w:r>
          </w:p>
          <w:p w14:paraId="31CEE280" w14:textId="77777777" w:rsidR="00825697" w:rsidRPr="00D11EE4" w:rsidRDefault="009C1F85" w:rsidP="000412E1">
            <w:pPr>
              <w:spacing w:line="360" w:lineRule="auto"/>
              <w:jc w:val="center"/>
              <w:rPr>
                <w:sz w:val="24"/>
                <w:szCs w:val="24"/>
              </w:rPr>
            </w:pPr>
            <w:r w:rsidRPr="00D11EE4">
              <w:rPr>
                <w:b/>
                <w:bCs/>
                <w:color w:val="FFFFFF"/>
                <w:sz w:val="24"/>
                <w:szCs w:val="24"/>
              </w:rPr>
              <w:t>(3–5 years)</w:t>
            </w:r>
          </w:p>
        </w:tc>
        <w:tc>
          <w:tcPr>
            <w:tcW w:w="918"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68D42748" w14:textId="0D784EAD" w:rsidR="00825697" w:rsidRPr="00D11EE4" w:rsidRDefault="009C1F85" w:rsidP="000412E1">
            <w:pPr>
              <w:spacing w:line="360" w:lineRule="auto"/>
              <w:rPr>
                <w:sz w:val="24"/>
                <w:szCs w:val="24"/>
              </w:rPr>
            </w:pPr>
            <w:r w:rsidRPr="00D11EE4">
              <w:rPr>
                <w:sz w:val="24"/>
                <w:szCs w:val="24"/>
              </w:rPr>
              <w:t xml:space="preserve">Publish </w:t>
            </w:r>
            <w:r w:rsidR="00B62729" w:rsidRPr="00D11EE4">
              <w:rPr>
                <w:sz w:val="24"/>
                <w:szCs w:val="24"/>
              </w:rPr>
              <w:t xml:space="preserve">an </w:t>
            </w:r>
            <w:r w:rsidRPr="00D11EE4">
              <w:rPr>
                <w:sz w:val="24"/>
                <w:szCs w:val="24"/>
              </w:rPr>
              <w:t>annual Responsible AI Report with model-level fairness metrics</w:t>
            </w:r>
          </w:p>
        </w:tc>
        <w:tc>
          <w:tcPr>
            <w:tcW w:w="837"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2DF3ECBE" w14:textId="77777777" w:rsidR="00825697" w:rsidRPr="00D11EE4" w:rsidRDefault="009C1F85" w:rsidP="000412E1">
            <w:pPr>
              <w:spacing w:line="360" w:lineRule="auto"/>
              <w:rPr>
                <w:sz w:val="24"/>
                <w:szCs w:val="24"/>
              </w:rPr>
            </w:pPr>
            <w:r w:rsidRPr="00D11EE4">
              <w:rPr>
                <w:sz w:val="24"/>
                <w:szCs w:val="24"/>
              </w:rPr>
              <w:t>Corporate Affairs; Risk</w:t>
            </w:r>
          </w:p>
        </w:tc>
        <w:tc>
          <w:tcPr>
            <w:tcW w:w="862"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01CE0AF8" w14:textId="77777777" w:rsidR="00825697" w:rsidRPr="00D11EE4" w:rsidRDefault="009C1F85" w:rsidP="000412E1">
            <w:pPr>
              <w:spacing w:line="360" w:lineRule="auto"/>
              <w:rPr>
                <w:sz w:val="24"/>
                <w:szCs w:val="24"/>
              </w:rPr>
            </w:pPr>
            <w:r w:rsidRPr="00D11EE4">
              <w:rPr>
                <w:sz w:val="24"/>
                <w:szCs w:val="24"/>
              </w:rPr>
              <w:t>£300k–£500k p.a.</w:t>
            </w:r>
          </w:p>
        </w:tc>
        <w:tc>
          <w:tcPr>
            <w:tcW w:w="750"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58878CAE" w14:textId="77777777" w:rsidR="00825697" w:rsidRPr="00D11EE4" w:rsidRDefault="009C1F85" w:rsidP="000412E1">
            <w:pPr>
              <w:spacing w:line="360" w:lineRule="auto"/>
              <w:rPr>
                <w:sz w:val="24"/>
                <w:szCs w:val="24"/>
              </w:rPr>
            </w:pPr>
            <w:r w:rsidRPr="00D11EE4">
              <w:rPr>
                <w:sz w:val="24"/>
                <w:szCs w:val="24"/>
              </w:rPr>
              <w:t>External assurance obtained; sector benchmark established</w:t>
            </w:r>
          </w:p>
        </w:tc>
        <w:tc>
          <w:tcPr>
            <w:tcW w:w="1037" w:type="pct"/>
            <w:tcBorders>
              <w:top w:val="single" w:sz="4" w:space="0" w:color="AAAAAA"/>
              <w:left w:val="single" w:sz="4" w:space="0" w:color="AAAAAA"/>
              <w:bottom w:val="single" w:sz="4" w:space="0" w:color="AAAAAA"/>
              <w:right w:val="single" w:sz="4" w:space="0" w:color="AAAAAA"/>
            </w:tcBorders>
            <w:shd w:val="clear" w:color="auto" w:fill="D6E4F0"/>
            <w:tcMar>
              <w:top w:w="80" w:type="dxa"/>
              <w:left w:w="120" w:type="dxa"/>
              <w:bottom w:w="80" w:type="dxa"/>
              <w:right w:w="120" w:type="dxa"/>
            </w:tcMar>
          </w:tcPr>
          <w:p w14:paraId="632CDF14" w14:textId="77777777" w:rsidR="00825697" w:rsidRPr="00D11EE4" w:rsidRDefault="009C1F85" w:rsidP="000412E1">
            <w:pPr>
              <w:spacing w:line="360" w:lineRule="auto"/>
              <w:rPr>
                <w:sz w:val="24"/>
                <w:szCs w:val="24"/>
              </w:rPr>
            </w:pPr>
            <w:r w:rsidRPr="00D11EE4">
              <w:rPr>
                <w:sz w:val="24"/>
                <w:szCs w:val="24"/>
              </w:rPr>
              <w:t>Big Four assurance opinion; ESG investor uptake tracked</w:t>
            </w:r>
          </w:p>
        </w:tc>
      </w:tr>
      <w:tr w:rsidR="00825697" w:rsidRPr="00D11EE4" w14:paraId="0DD9758F"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E70153C" w14:textId="77777777" w:rsidR="00825697" w:rsidRPr="00D11EE4" w:rsidRDefault="00825697" w:rsidP="000412E1">
            <w:pPr>
              <w:spacing w:line="360" w:lineRule="auto"/>
              <w:jc w:val="center"/>
              <w:rPr>
                <w:sz w:val="24"/>
                <w:szCs w:val="24"/>
              </w:rPr>
            </w:pPr>
          </w:p>
        </w:tc>
        <w:tc>
          <w:tcPr>
            <w:tcW w:w="918"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CEB68E7" w14:textId="0966B59C" w:rsidR="00825697" w:rsidRPr="00D11EE4" w:rsidRDefault="009C1F85" w:rsidP="000412E1">
            <w:pPr>
              <w:spacing w:line="360" w:lineRule="auto"/>
              <w:rPr>
                <w:sz w:val="24"/>
                <w:szCs w:val="24"/>
              </w:rPr>
            </w:pPr>
            <w:r w:rsidRPr="00D11EE4">
              <w:rPr>
                <w:sz w:val="24"/>
                <w:szCs w:val="24"/>
              </w:rPr>
              <w:t xml:space="preserve">Position Barclays as </w:t>
            </w:r>
            <w:r w:rsidR="00B62729" w:rsidRPr="00D11EE4">
              <w:rPr>
                <w:sz w:val="24"/>
                <w:szCs w:val="24"/>
              </w:rPr>
              <w:t xml:space="preserve">the </w:t>
            </w:r>
            <w:r w:rsidRPr="00D11EE4">
              <w:rPr>
                <w:sz w:val="24"/>
                <w:szCs w:val="24"/>
              </w:rPr>
              <w:t>sector convener on AI fairness standards</w:t>
            </w:r>
          </w:p>
        </w:tc>
        <w:tc>
          <w:tcPr>
            <w:tcW w:w="8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0E24320C" w14:textId="77777777" w:rsidR="00825697" w:rsidRPr="00D11EE4" w:rsidRDefault="009C1F85" w:rsidP="000412E1">
            <w:pPr>
              <w:spacing w:line="360" w:lineRule="auto"/>
              <w:rPr>
                <w:sz w:val="24"/>
                <w:szCs w:val="24"/>
              </w:rPr>
            </w:pPr>
            <w:r w:rsidRPr="00D11EE4">
              <w:rPr>
                <w:sz w:val="24"/>
                <w:szCs w:val="24"/>
              </w:rPr>
              <w:t>External Affairs</w:t>
            </w:r>
          </w:p>
        </w:tc>
        <w:tc>
          <w:tcPr>
            <w:tcW w:w="862"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DA0BED1" w14:textId="77777777" w:rsidR="00825697" w:rsidRPr="00D11EE4" w:rsidRDefault="009C1F85" w:rsidP="000412E1">
            <w:pPr>
              <w:spacing w:line="360" w:lineRule="auto"/>
              <w:rPr>
                <w:sz w:val="24"/>
                <w:szCs w:val="24"/>
              </w:rPr>
            </w:pPr>
            <w:r w:rsidRPr="00D11EE4">
              <w:rPr>
                <w:sz w:val="24"/>
                <w:szCs w:val="24"/>
              </w:rPr>
              <w:t>Absorbed in existing function</w:t>
            </w:r>
          </w:p>
        </w:tc>
        <w:tc>
          <w:tcPr>
            <w:tcW w:w="750"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AC52434" w14:textId="77777777" w:rsidR="00825697" w:rsidRPr="00D11EE4" w:rsidRDefault="009C1F85" w:rsidP="000412E1">
            <w:pPr>
              <w:spacing w:line="360" w:lineRule="auto"/>
              <w:rPr>
                <w:sz w:val="24"/>
                <w:szCs w:val="24"/>
              </w:rPr>
            </w:pPr>
            <w:r w:rsidRPr="00D11EE4">
              <w:rPr>
                <w:sz w:val="24"/>
                <w:szCs w:val="24"/>
              </w:rPr>
              <w:t>Leadership of at least one cross-industry AI governance initiative</w:t>
            </w:r>
          </w:p>
        </w:tc>
        <w:tc>
          <w:tcPr>
            <w:tcW w:w="1037" w:type="pct"/>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80AB549" w14:textId="77777777" w:rsidR="00825697" w:rsidRPr="00D11EE4" w:rsidRDefault="009C1F85" w:rsidP="000412E1">
            <w:pPr>
              <w:spacing w:line="360" w:lineRule="auto"/>
              <w:rPr>
                <w:sz w:val="24"/>
                <w:szCs w:val="24"/>
              </w:rPr>
            </w:pPr>
            <w:r w:rsidRPr="00D11EE4">
              <w:rPr>
                <w:sz w:val="24"/>
                <w:szCs w:val="24"/>
              </w:rPr>
              <w:t>Published industry standards contribution; regulator acknowledgement</w:t>
            </w:r>
          </w:p>
        </w:tc>
      </w:tr>
      <w:tr w:rsidR="00825697" w:rsidRPr="00D11EE4" w14:paraId="35F86F55" w14:textId="77777777" w:rsidTr="00226B03">
        <w:tc>
          <w:tcPr>
            <w:tcW w:w="594"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vAlign w:val="center"/>
          </w:tcPr>
          <w:p w14:paraId="6A7F9FBA" w14:textId="77777777" w:rsidR="00825697" w:rsidRPr="00D11EE4" w:rsidRDefault="00825697" w:rsidP="000412E1">
            <w:pPr>
              <w:spacing w:line="360" w:lineRule="auto"/>
              <w:jc w:val="center"/>
              <w:rPr>
                <w:sz w:val="24"/>
                <w:szCs w:val="24"/>
              </w:rPr>
            </w:pPr>
          </w:p>
        </w:tc>
        <w:tc>
          <w:tcPr>
            <w:tcW w:w="918"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3D1F85ED" w14:textId="0C1CE397" w:rsidR="00825697" w:rsidRPr="00D11EE4" w:rsidRDefault="009C1F85" w:rsidP="000412E1">
            <w:pPr>
              <w:spacing w:line="360" w:lineRule="auto"/>
              <w:rPr>
                <w:sz w:val="24"/>
                <w:szCs w:val="24"/>
              </w:rPr>
            </w:pPr>
            <w:r w:rsidRPr="00D11EE4">
              <w:rPr>
                <w:sz w:val="24"/>
                <w:szCs w:val="24"/>
              </w:rPr>
              <w:t xml:space="preserve">Integrate AI ethics into </w:t>
            </w:r>
            <w:r w:rsidR="00B62729" w:rsidRPr="00D11EE4">
              <w:rPr>
                <w:sz w:val="24"/>
                <w:szCs w:val="24"/>
              </w:rPr>
              <w:t xml:space="preserve">the </w:t>
            </w:r>
            <w:r w:rsidRPr="00D11EE4">
              <w:rPr>
                <w:sz w:val="24"/>
                <w:szCs w:val="24"/>
              </w:rPr>
              <w:t>executive remuneration framework</w:t>
            </w:r>
          </w:p>
        </w:tc>
        <w:tc>
          <w:tcPr>
            <w:tcW w:w="837"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7D61A963" w14:textId="77777777" w:rsidR="00825697" w:rsidRPr="00D11EE4" w:rsidRDefault="009C1F85" w:rsidP="000412E1">
            <w:pPr>
              <w:spacing w:line="360" w:lineRule="auto"/>
              <w:rPr>
                <w:sz w:val="24"/>
                <w:szCs w:val="24"/>
              </w:rPr>
            </w:pPr>
            <w:r w:rsidRPr="00D11EE4">
              <w:rPr>
                <w:sz w:val="24"/>
                <w:szCs w:val="24"/>
              </w:rPr>
              <w:t>Board Remuneration Committee</w:t>
            </w:r>
          </w:p>
        </w:tc>
        <w:tc>
          <w:tcPr>
            <w:tcW w:w="862"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26AC486E" w14:textId="77777777" w:rsidR="00825697" w:rsidRPr="00D11EE4" w:rsidRDefault="009C1F85" w:rsidP="000412E1">
            <w:pPr>
              <w:spacing w:line="360" w:lineRule="auto"/>
              <w:rPr>
                <w:sz w:val="24"/>
                <w:szCs w:val="24"/>
              </w:rPr>
            </w:pPr>
            <w:r w:rsidRPr="00D11EE4">
              <w:rPr>
                <w:sz w:val="24"/>
                <w:szCs w:val="24"/>
              </w:rPr>
              <w:t>Nil additional cost</w:t>
            </w:r>
          </w:p>
        </w:tc>
        <w:tc>
          <w:tcPr>
            <w:tcW w:w="750"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3A637B67" w14:textId="31E9C1E9" w:rsidR="00825697" w:rsidRPr="00D11EE4" w:rsidRDefault="009C1F85" w:rsidP="000412E1">
            <w:pPr>
              <w:spacing w:line="360" w:lineRule="auto"/>
              <w:rPr>
                <w:sz w:val="24"/>
                <w:szCs w:val="24"/>
              </w:rPr>
            </w:pPr>
            <w:r w:rsidRPr="00D11EE4">
              <w:rPr>
                <w:sz w:val="24"/>
                <w:szCs w:val="24"/>
              </w:rPr>
              <w:t xml:space="preserve">AI governance KPIs in </w:t>
            </w:r>
            <w:r w:rsidR="00B62729" w:rsidRPr="00D11EE4">
              <w:rPr>
                <w:sz w:val="24"/>
                <w:szCs w:val="24"/>
              </w:rPr>
              <w:t xml:space="preserve">the </w:t>
            </w:r>
            <w:r w:rsidRPr="00D11EE4">
              <w:rPr>
                <w:sz w:val="24"/>
                <w:szCs w:val="24"/>
              </w:rPr>
              <w:t>scorecard for relevant executives</w:t>
            </w:r>
          </w:p>
        </w:tc>
        <w:tc>
          <w:tcPr>
            <w:tcW w:w="1037" w:type="pct"/>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1581F749" w14:textId="77777777" w:rsidR="00825697" w:rsidRPr="00D11EE4" w:rsidRDefault="009C1F85" w:rsidP="000412E1">
            <w:pPr>
              <w:spacing w:line="360" w:lineRule="auto"/>
              <w:rPr>
                <w:sz w:val="24"/>
                <w:szCs w:val="24"/>
              </w:rPr>
            </w:pPr>
            <w:r w:rsidRPr="00D11EE4">
              <w:rPr>
                <w:sz w:val="24"/>
                <w:szCs w:val="24"/>
              </w:rPr>
              <w:t>Remuneration report disclosure; Board sign-off</w:t>
            </w:r>
          </w:p>
        </w:tc>
      </w:tr>
    </w:tbl>
    <w:p w14:paraId="57309241" w14:textId="3A6406F9" w:rsidR="00825697" w:rsidRPr="00D11EE4" w:rsidRDefault="00226B03" w:rsidP="000412E1">
      <w:pPr>
        <w:spacing w:line="360" w:lineRule="auto"/>
        <w:jc w:val="both"/>
        <w:rPr>
          <w:sz w:val="24"/>
          <w:szCs w:val="24"/>
        </w:rPr>
      </w:pPr>
      <w:r w:rsidRPr="00D11EE4">
        <w:rPr>
          <w:sz w:val="24"/>
          <w:szCs w:val="24"/>
        </w:rPr>
        <w:t xml:space="preserve">Short-term measures focus on risk identification and </w:t>
      </w:r>
      <w:r w:rsidR="00254EDE">
        <w:rPr>
          <w:sz w:val="24"/>
          <w:szCs w:val="24"/>
        </w:rPr>
        <w:t>regulatory positioning, with the understanding that further interventions will not be evidence-based unless a baseline assessment of bias in current models is conducted</w:t>
      </w:r>
      <w:r w:rsidRPr="00D11EE4">
        <w:rPr>
          <w:sz w:val="24"/>
          <w:szCs w:val="24"/>
        </w:rPr>
        <w:t xml:space="preserve">. This model audit must be outsourced to a third party </w:t>
      </w:r>
      <w:r w:rsidR="00254EDE">
        <w:rPr>
          <w:sz w:val="24"/>
          <w:szCs w:val="24"/>
        </w:rPr>
        <w:t xml:space="preserve">with established competence in algorithmic fairness, technical </w:t>
      </w:r>
      <w:proofErr w:type="spellStart"/>
      <w:r w:rsidR="00254EDE">
        <w:rPr>
          <w:sz w:val="24"/>
          <w:szCs w:val="24"/>
        </w:rPr>
        <w:t>rigour</w:t>
      </w:r>
      <w:proofErr w:type="spellEnd"/>
      <w:r w:rsidR="00254EDE">
        <w:rPr>
          <w:sz w:val="24"/>
          <w:szCs w:val="24"/>
        </w:rPr>
        <w:t xml:space="preserve">, and </w:t>
      </w:r>
      <w:r w:rsidRPr="00D11EE4">
        <w:rPr>
          <w:sz w:val="24"/>
          <w:szCs w:val="24"/>
        </w:rPr>
        <w:t xml:space="preserve">credible external validation. The estimated cost of £800k-1.2m would be offset by the </w:t>
      </w:r>
      <w:r w:rsidR="00254EDE">
        <w:rPr>
          <w:sz w:val="24"/>
          <w:szCs w:val="24"/>
        </w:rPr>
        <w:t>potential costs of regulatory enforcement action, which, in worst-case scenarios, may amount to several hundred million in</w:t>
      </w:r>
      <w:r w:rsidRPr="00D11EE4">
        <w:rPr>
          <w:sz w:val="24"/>
          <w:szCs w:val="24"/>
        </w:rPr>
        <w:t xml:space="preserve"> fines, remediation, and reputational losses. The </w:t>
      </w:r>
      <w:r w:rsidR="00254EDE">
        <w:rPr>
          <w:sz w:val="24"/>
          <w:szCs w:val="24"/>
        </w:rPr>
        <w:t>medium-term</w:t>
      </w:r>
      <w:r w:rsidRPr="00D11EE4">
        <w:rPr>
          <w:sz w:val="24"/>
          <w:szCs w:val="24"/>
        </w:rPr>
        <w:t xml:space="preserve"> phase makes responsible AI a norm in the model development lifecycle. The most technically sound method of </w:t>
      </w:r>
      <w:proofErr w:type="spellStart"/>
      <w:r w:rsidRPr="00D11EE4">
        <w:rPr>
          <w:sz w:val="24"/>
          <w:szCs w:val="24"/>
        </w:rPr>
        <w:t>minimising</w:t>
      </w:r>
      <w:proofErr w:type="spellEnd"/>
      <w:r w:rsidRPr="00D11EE4">
        <w:rPr>
          <w:sz w:val="24"/>
          <w:szCs w:val="24"/>
        </w:rPr>
        <w:t xml:space="preserve"> discriminative outcomes is fairness-conscious modelling, which means that fairness constraints are introduced into the training procedure instead of post-deployment </w:t>
      </w:r>
      <w:r w:rsidRPr="00D11EE4">
        <w:rPr>
          <w:sz w:val="24"/>
          <w:szCs w:val="24"/>
        </w:rPr>
        <w:lastRenderedPageBreak/>
        <w:t xml:space="preserve">corrections, and it has been shown that it can be trained without significant compromises in predictive accuracy (de Castro Vieira et al., 2025; </w:t>
      </w:r>
      <w:proofErr w:type="spellStart"/>
      <w:r w:rsidRPr="00D11EE4">
        <w:rPr>
          <w:sz w:val="24"/>
          <w:szCs w:val="24"/>
        </w:rPr>
        <w:t>Kozodoi</w:t>
      </w:r>
      <w:proofErr w:type="spellEnd"/>
      <w:r w:rsidRPr="00D11EE4">
        <w:rPr>
          <w:sz w:val="24"/>
          <w:szCs w:val="24"/>
        </w:rPr>
        <w:t xml:space="preserve">, Jacob and </w:t>
      </w:r>
      <w:proofErr w:type="spellStart"/>
      <w:r w:rsidRPr="00D11EE4">
        <w:rPr>
          <w:sz w:val="24"/>
          <w:szCs w:val="24"/>
        </w:rPr>
        <w:t>Lessmann</w:t>
      </w:r>
      <w:proofErr w:type="spellEnd"/>
      <w:r w:rsidRPr="00D11EE4">
        <w:rPr>
          <w:sz w:val="24"/>
          <w:szCs w:val="24"/>
        </w:rPr>
        <w:t xml:space="preserve">, 2021). The long-term step transforms compliance investment into a competitive position, </w:t>
      </w:r>
      <w:r w:rsidR="00254EDE">
        <w:rPr>
          <w:sz w:val="24"/>
          <w:szCs w:val="24"/>
        </w:rPr>
        <w:t>consistent with the report's main thesis that ethical AI governance creates strategic value rather than</w:t>
      </w:r>
      <w:r w:rsidRPr="00D11EE4">
        <w:rPr>
          <w:sz w:val="24"/>
          <w:szCs w:val="24"/>
        </w:rPr>
        <w:t xml:space="preserve"> capturing it.</w:t>
      </w:r>
    </w:p>
    <w:p w14:paraId="7D679AC8" w14:textId="332FAE4F" w:rsidR="00825697" w:rsidRPr="00D11EE4" w:rsidRDefault="009C1F85" w:rsidP="00D11EE4">
      <w:pPr>
        <w:pStyle w:val="Heading1"/>
      </w:pPr>
      <w:bookmarkStart w:id="21" w:name="_Toc228047136"/>
      <w:r w:rsidRPr="00D11EE4">
        <w:t>Conclusion</w:t>
      </w:r>
      <w:bookmarkEnd w:id="21"/>
    </w:p>
    <w:p w14:paraId="13794E2E" w14:textId="7CE16C8F" w:rsidR="00226B03" w:rsidRPr="00D11EE4" w:rsidRDefault="00226B03" w:rsidP="00226B03">
      <w:pPr>
        <w:spacing w:line="360" w:lineRule="auto"/>
        <w:jc w:val="both"/>
        <w:rPr>
          <w:sz w:val="24"/>
          <w:szCs w:val="24"/>
        </w:rPr>
      </w:pPr>
      <w:r w:rsidRPr="00D11EE4">
        <w:rPr>
          <w:sz w:val="24"/>
          <w:szCs w:val="24"/>
        </w:rPr>
        <w:t xml:space="preserve">The implementation of AI in credit decision-making poses Barclays with both technical, legal, ethical, and strategic risks. Bias in the algorithm due to biased training data, proxy-variable bias, or poor monitoring of fairness is not only a failure of regulatory compliance but also a mere violation of the trust relationship on which retail banking is based. The </w:t>
      </w:r>
      <w:r w:rsidR="00254EDE">
        <w:rPr>
          <w:sz w:val="24"/>
          <w:szCs w:val="24"/>
        </w:rPr>
        <w:t xml:space="preserve">evidence reviewed in this report confirms that these risks are empirically documented, regulatory </w:t>
      </w:r>
      <w:proofErr w:type="spellStart"/>
      <w:r w:rsidR="00254EDE">
        <w:rPr>
          <w:sz w:val="24"/>
          <w:szCs w:val="24"/>
        </w:rPr>
        <w:t>prioritised</w:t>
      </w:r>
      <w:proofErr w:type="spellEnd"/>
      <w:r w:rsidR="00254EDE">
        <w:rPr>
          <w:sz w:val="24"/>
          <w:szCs w:val="24"/>
        </w:rPr>
        <w:t>, and can have consequences that are out of scale with</w:t>
      </w:r>
      <w:r w:rsidRPr="00D11EE4">
        <w:rPr>
          <w:sz w:val="24"/>
          <w:szCs w:val="24"/>
        </w:rPr>
        <w:t xml:space="preserve"> the operational savings AI deployment brings.</w:t>
      </w:r>
    </w:p>
    <w:p w14:paraId="2FB8E652" w14:textId="346D0535" w:rsidR="00226B03" w:rsidRPr="00D11EE4" w:rsidRDefault="00226B03" w:rsidP="00226B03">
      <w:pPr>
        <w:spacing w:line="360" w:lineRule="auto"/>
        <w:jc w:val="both"/>
        <w:rPr>
          <w:sz w:val="24"/>
          <w:szCs w:val="24"/>
        </w:rPr>
      </w:pPr>
      <w:r w:rsidRPr="00D11EE4">
        <w:rPr>
          <w:sz w:val="24"/>
          <w:szCs w:val="24"/>
        </w:rPr>
        <w:t xml:space="preserve">Although the regulatory environment is now </w:t>
      </w:r>
      <w:r w:rsidR="00254EDE">
        <w:rPr>
          <w:sz w:val="24"/>
          <w:szCs w:val="24"/>
        </w:rPr>
        <w:t>typified by differences between the UK's flexible, principles-based approach and the EU's prescriptive legislative framework, a convergent direction is emerging</w:t>
      </w:r>
      <w:r w:rsidRPr="00D11EE4">
        <w:rPr>
          <w:sz w:val="24"/>
          <w:szCs w:val="24"/>
        </w:rPr>
        <w:t xml:space="preserve"> towards a shared destination of accountability, explainability and demonstrable fairness. The fact that AI governance can be dual-exposed to both regimes implies that adjustment to the </w:t>
      </w:r>
      <w:r w:rsidR="00254EDE">
        <w:rPr>
          <w:sz w:val="24"/>
          <w:szCs w:val="24"/>
        </w:rPr>
        <w:t>higher EU standard is not a defensive stance but the only one compatible with the overall coherence of Barclays' long-term operations</w:t>
      </w:r>
      <w:r w:rsidRPr="00D11EE4">
        <w:rPr>
          <w:sz w:val="24"/>
          <w:szCs w:val="24"/>
        </w:rPr>
        <w:t xml:space="preserve">. The </w:t>
      </w:r>
      <w:r w:rsidR="00254EDE">
        <w:rPr>
          <w:sz w:val="24"/>
          <w:szCs w:val="24"/>
        </w:rPr>
        <w:t>3-step</w:t>
      </w:r>
      <w:r w:rsidRPr="00D11EE4">
        <w:rPr>
          <w:sz w:val="24"/>
          <w:szCs w:val="24"/>
        </w:rPr>
        <w:t xml:space="preserve"> implementation plan suggested in Section 8 offers a systematic, cost-apportioned and verifiable route to attaining that standard.</w:t>
      </w:r>
    </w:p>
    <w:p w14:paraId="1C6D00B1" w14:textId="5D3FFB6C" w:rsidR="00825697" w:rsidRPr="00D11EE4" w:rsidRDefault="00226B03" w:rsidP="00226B03">
      <w:pPr>
        <w:spacing w:line="360" w:lineRule="auto"/>
        <w:jc w:val="both"/>
        <w:rPr>
          <w:sz w:val="24"/>
          <w:szCs w:val="24"/>
        </w:rPr>
      </w:pPr>
      <w:r w:rsidRPr="00D11EE4">
        <w:rPr>
          <w:sz w:val="24"/>
          <w:szCs w:val="24"/>
        </w:rPr>
        <w:t>The thesis presented in the Introduction, the risk analysis, the comparison of regulations, and the governance framework have all been used in this report to argue that ethical AI governance is a precondition to competitive advantage, rather than a compliance requirement. Those institutions that take the most serious approach to fairness, explainability and accountability will have regulatory confidence, consumer trust and be most likely to bring about the sector transformation which is, in any case, now unavoidable. In the case of Barclays, the strategic decision is not to govern AI ethically, but to do so proactively</w:t>
      </w:r>
      <w:r w:rsidR="00254EDE">
        <w:rPr>
          <w:sz w:val="24"/>
          <w:szCs w:val="24"/>
        </w:rPr>
        <w:t>, becoming the first to act rather than</w:t>
      </w:r>
      <w:r w:rsidRPr="00D11EE4">
        <w:rPr>
          <w:sz w:val="24"/>
          <w:szCs w:val="24"/>
        </w:rPr>
        <w:t xml:space="preserve"> the last.</w:t>
      </w:r>
    </w:p>
    <w:p w14:paraId="1CC05474" w14:textId="77777777" w:rsidR="00825697" w:rsidRPr="00D11EE4" w:rsidRDefault="009C1F85" w:rsidP="000412E1">
      <w:pPr>
        <w:spacing w:line="360" w:lineRule="auto"/>
        <w:rPr>
          <w:sz w:val="24"/>
          <w:szCs w:val="24"/>
        </w:rPr>
      </w:pPr>
      <w:r w:rsidRPr="00D11EE4">
        <w:rPr>
          <w:sz w:val="24"/>
          <w:szCs w:val="24"/>
        </w:rPr>
        <w:br w:type="page"/>
      </w:r>
    </w:p>
    <w:p w14:paraId="1974AAED" w14:textId="77777777" w:rsidR="00825697" w:rsidRPr="00D11EE4" w:rsidRDefault="009C1F85" w:rsidP="00D11EE4">
      <w:pPr>
        <w:pStyle w:val="Heading1"/>
      </w:pPr>
      <w:bookmarkStart w:id="22" w:name="_Toc228047137"/>
      <w:r w:rsidRPr="00D11EE4">
        <w:lastRenderedPageBreak/>
        <w:t>Bibliography</w:t>
      </w:r>
      <w:bookmarkEnd w:id="22"/>
    </w:p>
    <w:p w14:paraId="2BCE1633" w14:textId="77777777" w:rsidR="00825697" w:rsidRPr="00D11EE4" w:rsidRDefault="009C1F85" w:rsidP="000412E1">
      <w:pPr>
        <w:spacing w:line="360" w:lineRule="auto"/>
        <w:jc w:val="both"/>
        <w:rPr>
          <w:sz w:val="24"/>
          <w:szCs w:val="24"/>
        </w:rPr>
      </w:pPr>
      <w:r w:rsidRPr="00D11EE4">
        <w:rPr>
          <w:sz w:val="24"/>
          <w:szCs w:val="24"/>
        </w:rPr>
        <w:t>Abbas, S.K. (2025). Lending by Algorithm: Fair or Flawed? An Information-Theoretic View of Credit Decision Pipelines. SN Computer Science, 6(6). doi:10.1007/s42979-025-04222-8.</w:t>
      </w:r>
    </w:p>
    <w:p w14:paraId="1C365CAD" w14:textId="77777777" w:rsidR="00825697" w:rsidRPr="00D11EE4" w:rsidRDefault="009C1F85" w:rsidP="000412E1">
      <w:pPr>
        <w:spacing w:line="360" w:lineRule="auto"/>
        <w:jc w:val="both"/>
        <w:rPr>
          <w:sz w:val="24"/>
          <w:szCs w:val="24"/>
        </w:rPr>
      </w:pPr>
      <w:r w:rsidRPr="00D11EE4">
        <w:rPr>
          <w:sz w:val="24"/>
          <w:szCs w:val="24"/>
        </w:rPr>
        <w:t>Agarwal, S., Muckley, C.B. and Neelakantan, P. (2023). Countering racial discrimination in algorithmic lending: A case for model-agnostic interpretation methods. Economics Letters, 226, p.111117. doi:10.1016/j.econlet.2023.111117.</w:t>
      </w:r>
    </w:p>
    <w:p w14:paraId="6C8E0A86" w14:textId="77777777" w:rsidR="00825697" w:rsidRPr="00D11EE4" w:rsidRDefault="009C1F85" w:rsidP="000412E1">
      <w:pPr>
        <w:spacing w:line="360" w:lineRule="auto"/>
        <w:jc w:val="both"/>
        <w:rPr>
          <w:sz w:val="24"/>
          <w:szCs w:val="24"/>
        </w:rPr>
      </w:pPr>
      <w:r w:rsidRPr="00D11EE4">
        <w:rPr>
          <w:sz w:val="24"/>
          <w:szCs w:val="24"/>
        </w:rPr>
        <w:t>Babaei, G., Giudici, P. and Raffinetti, E. (2023). Explainable FinTech lending. Journal of Economics and Business, p.106126. doi:10.1016/j.jeconbus.2023.106126.</w:t>
      </w:r>
    </w:p>
    <w:p w14:paraId="2036A0EE" w14:textId="00D49960" w:rsidR="00825697" w:rsidRPr="00D11EE4" w:rsidRDefault="009C1F85" w:rsidP="000412E1">
      <w:pPr>
        <w:spacing w:line="360" w:lineRule="auto"/>
        <w:jc w:val="both"/>
        <w:rPr>
          <w:sz w:val="24"/>
          <w:szCs w:val="24"/>
        </w:rPr>
      </w:pPr>
      <w:r w:rsidRPr="00D11EE4">
        <w:rPr>
          <w:sz w:val="24"/>
          <w:szCs w:val="24"/>
        </w:rPr>
        <w:t>Bakke, C. (2022). Explainable AI for Credit Assessment in Banks. JRFM, 15(12), pp.1-23. Available at: https://ideas.repec.org/a/gam/jjrfmx/v15y2022i12p556-d986356.html</w:t>
      </w:r>
    </w:p>
    <w:p w14:paraId="6AC893D0" w14:textId="77777777" w:rsidR="00825697" w:rsidRPr="00D11EE4" w:rsidRDefault="009C1F85" w:rsidP="000412E1">
      <w:pPr>
        <w:spacing w:line="360" w:lineRule="auto"/>
        <w:jc w:val="both"/>
        <w:rPr>
          <w:sz w:val="24"/>
          <w:szCs w:val="24"/>
        </w:rPr>
      </w:pPr>
      <w:r w:rsidRPr="00D11EE4">
        <w:rPr>
          <w:sz w:val="24"/>
          <w:szCs w:val="24"/>
        </w:rPr>
        <w:t>Bank of England (2022). Machine learning in UK financial services. Available at: https://www.bankofengland.co.uk/report/2022/machine-learning-in-uk-financial-services.</w:t>
      </w:r>
    </w:p>
    <w:p w14:paraId="2BDB8C19" w14:textId="77777777" w:rsidR="00825697" w:rsidRPr="00D11EE4" w:rsidRDefault="009C1F85" w:rsidP="000412E1">
      <w:pPr>
        <w:spacing w:line="360" w:lineRule="auto"/>
        <w:jc w:val="both"/>
        <w:rPr>
          <w:sz w:val="24"/>
          <w:szCs w:val="24"/>
        </w:rPr>
      </w:pPr>
      <w:r w:rsidRPr="00D11EE4">
        <w:rPr>
          <w:sz w:val="24"/>
          <w:szCs w:val="24"/>
        </w:rPr>
        <w:t>Bank of England (2024). Artificial Intelligence in UK Financial Services - 2024. Available at: https://www.bankofengland.co.uk/report/2024/artificial-intelligence-in-uk-financial-services-2024.</w:t>
      </w:r>
    </w:p>
    <w:p w14:paraId="209A6689" w14:textId="77777777" w:rsidR="00825697" w:rsidRPr="00D11EE4" w:rsidRDefault="009C1F85" w:rsidP="000412E1">
      <w:pPr>
        <w:spacing w:line="360" w:lineRule="auto"/>
        <w:jc w:val="both"/>
        <w:rPr>
          <w:sz w:val="24"/>
          <w:szCs w:val="24"/>
        </w:rPr>
      </w:pPr>
      <w:r w:rsidRPr="00D11EE4">
        <w:rPr>
          <w:sz w:val="24"/>
          <w:szCs w:val="24"/>
        </w:rPr>
        <w:t>Barclays (2022). Our framework, code and rules. Available at: https://home.barclays/who-we-are/our-governance/our-framework-code-and-rules/.</w:t>
      </w:r>
    </w:p>
    <w:p w14:paraId="5E5C6C3C" w14:textId="77777777" w:rsidR="00825697" w:rsidRPr="00D11EE4" w:rsidRDefault="009C1F85" w:rsidP="000412E1">
      <w:pPr>
        <w:spacing w:line="360" w:lineRule="auto"/>
        <w:jc w:val="both"/>
        <w:rPr>
          <w:sz w:val="24"/>
          <w:szCs w:val="24"/>
        </w:rPr>
      </w:pPr>
      <w:r w:rsidRPr="00D11EE4">
        <w:rPr>
          <w:sz w:val="24"/>
          <w:szCs w:val="24"/>
        </w:rPr>
        <w:t>Barclays (2024a). Barclays Bank UK PLC Annual Report. Available at: https://home.barclays/content/dam/home-barclays/documents/investor-relations/reports-and-events/annual-reports/2024/Barclays-Bank-UK-Annual-Report-2024.pdf.</w:t>
      </w:r>
    </w:p>
    <w:p w14:paraId="1AB12B2A" w14:textId="77777777" w:rsidR="00825697" w:rsidRPr="00D11EE4" w:rsidRDefault="009C1F85" w:rsidP="000412E1">
      <w:pPr>
        <w:spacing w:line="360" w:lineRule="auto"/>
        <w:jc w:val="both"/>
        <w:rPr>
          <w:sz w:val="24"/>
          <w:szCs w:val="24"/>
        </w:rPr>
      </w:pPr>
      <w:r w:rsidRPr="00D11EE4">
        <w:rPr>
          <w:sz w:val="24"/>
          <w:szCs w:val="24"/>
        </w:rPr>
        <w:t>Barclays (2024b). Barclays PLC Annual Report 2024. Available at: https://home.barclays/content/dam/home-barclays/documents/investor-relations/reports-and-events/annual-reports/2024/Barclays-PLC-Annual-Report-2024.pdf.</w:t>
      </w:r>
    </w:p>
    <w:p w14:paraId="19D1BD48" w14:textId="77777777" w:rsidR="00825697" w:rsidRPr="00D11EE4" w:rsidRDefault="009C1F85" w:rsidP="000412E1">
      <w:pPr>
        <w:spacing w:line="360" w:lineRule="auto"/>
        <w:jc w:val="both"/>
        <w:rPr>
          <w:sz w:val="24"/>
          <w:szCs w:val="24"/>
        </w:rPr>
      </w:pPr>
      <w:r w:rsidRPr="00D11EE4">
        <w:rPr>
          <w:sz w:val="24"/>
          <w:szCs w:val="24"/>
        </w:rPr>
        <w:t>Bartlett, R., Morse, A., Stanton, R. and Wallace, N. (2021). Consumer-Lending Discrimination in the FinTech Era. Journal of Financial Economics, 143(1). doi:10.1016/j.jfineco.2021.05.047.</w:t>
      </w:r>
    </w:p>
    <w:p w14:paraId="1E573086" w14:textId="77777777" w:rsidR="00825697" w:rsidRPr="00D11EE4" w:rsidRDefault="009C1F85" w:rsidP="000412E1">
      <w:pPr>
        <w:spacing w:line="360" w:lineRule="auto"/>
        <w:jc w:val="both"/>
        <w:rPr>
          <w:sz w:val="24"/>
          <w:szCs w:val="24"/>
        </w:rPr>
      </w:pPr>
      <w:proofErr w:type="spellStart"/>
      <w:r w:rsidRPr="00D11EE4">
        <w:rPr>
          <w:sz w:val="24"/>
          <w:szCs w:val="24"/>
        </w:rPr>
        <w:t>Cerneviciene</w:t>
      </w:r>
      <w:proofErr w:type="spellEnd"/>
      <w:r w:rsidRPr="00D11EE4">
        <w:rPr>
          <w:sz w:val="24"/>
          <w:szCs w:val="24"/>
        </w:rPr>
        <w:t xml:space="preserve">, J. and </w:t>
      </w:r>
      <w:proofErr w:type="spellStart"/>
      <w:r w:rsidRPr="00D11EE4">
        <w:rPr>
          <w:sz w:val="24"/>
          <w:szCs w:val="24"/>
        </w:rPr>
        <w:t>Kabasinskas</w:t>
      </w:r>
      <w:proofErr w:type="spellEnd"/>
      <w:r w:rsidRPr="00D11EE4">
        <w:rPr>
          <w:sz w:val="24"/>
          <w:szCs w:val="24"/>
        </w:rPr>
        <w:t>, A. (2024). Explainable artificial intelligence (XAI) in finance: a systematic literature review. Artificial Intelligence Review, 57(8). doi:10.1007/s10462-024-10854-8.</w:t>
      </w:r>
    </w:p>
    <w:p w14:paraId="11ED5575" w14:textId="77777777" w:rsidR="00825697" w:rsidRPr="00D11EE4" w:rsidRDefault="009C1F85" w:rsidP="000412E1">
      <w:pPr>
        <w:spacing w:line="360" w:lineRule="auto"/>
        <w:jc w:val="both"/>
        <w:rPr>
          <w:sz w:val="24"/>
          <w:szCs w:val="24"/>
        </w:rPr>
      </w:pPr>
      <w:r w:rsidRPr="00D11EE4">
        <w:rPr>
          <w:sz w:val="24"/>
          <w:szCs w:val="24"/>
        </w:rPr>
        <w:lastRenderedPageBreak/>
        <w:t>Chen, Y.Z., Calabrese, R. and Belen Martin-Barragan (2024). Interpretable machine learning for imbalanced credit scoring datasets. European Journal of Operational Research, 312(1), pp.357-372. doi:10.1016/j.ejor.2023.06.036.</w:t>
      </w:r>
    </w:p>
    <w:p w14:paraId="58F415A3" w14:textId="77777777" w:rsidR="00825697" w:rsidRPr="00D11EE4" w:rsidRDefault="009C1F85" w:rsidP="000412E1">
      <w:pPr>
        <w:spacing w:line="360" w:lineRule="auto"/>
        <w:jc w:val="both"/>
        <w:rPr>
          <w:sz w:val="24"/>
          <w:szCs w:val="24"/>
        </w:rPr>
      </w:pPr>
      <w:r w:rsidRPr="00D11EE4">
        <w:rPr>
          <w:sz w:val="24"/>
          <w:szCs w:val="24"/>
        </w:rPr>
        <w:t xml:space="preserve">Cristina, A., Gomes, M. and </w:t>
      </w:r>
      <w:proofErr w:type="spellStart"/>
      <w:r w:rsidRPr="00D11EE4">
        <w:rPr>
          <w:sz w:val="24"/>
          <w:szCs w:val="24"/>
        </w:rPr>
        <w:t>Rigobon</w:t>
      </w:r>
      <w:proofErr w:type="spellEnd"/>
      <w:r w:rsidRPr="00D11EE4">
        <w:rPr>
          <w:sz w:val="24"/>
          <w:szCs w:val="24"/>
        </w:rPr>
        <w:t>, R. (2023). Algorithmic discrimination in the credit domain: what do we know about it? AI and Society, 39, pp.2059-2098. doi:10.1007/s00146-023-01676-3.</w:t>
      </w:r>
    </w:p>
    <w:p w14:paraId="26EEE788" w14:textId="77777777" w:rsidR="00825697" w:rsidRPr="00D11EE4" w:rsidRDefault="009C1F85" w:rsidP="000412E1">
      <w:pPr>
        <w:spacing w:line="360" w:lineRule="auto"/>
        <w:jc w:val="both"/>
        <w:rPr>
          <w:sz w:val="24"/>
          <w:szCs w:val="24"/>
        </w:rPr>
      </w:pPr>
      <w:r w:rsidRPr="00D11EE4">
        <w:rPr>
          <w:sz w:val="24"/>
          <w:szCs w:val="24"/>
        </w:rPr>
        <w:t xml:space="preserve">de Castro Vieira, J.R., Barboza, F., </w:t>
      </w:r>
      <w:proofErr w:type="spellStart"/>
      <w:r w:rsidRPr="00D11EE4">
        <w:rPr>
          <w:sz w:val="24"/>
          <w:szCs w:val="24"/>
        </w:rPr>
        <w:t>Cajueiro</w:t>
      </w:r>
      <w:proofErr w:type="spellEnd"/>
      <w:r w:rsidRPr="00D11EE4">
        <w:rPr>
          <w:sz w:val="24"/>
          <w:szCs w:val="24"/>
        </w:rPr>
        <w:t>, D. and Kimura, H. (2025). Towards Fair AI: Mitigating Bias in Credit Decisions. Journal of Risk and Financial Management, 18(5), p.228. doi:10.3390/jrfm18050228.</w:t>
      </w:r>
    </w:p>
    <w:p w14:paraId="363513AA" w14:textId="77777777" w:rsidR="00825697" w:rsidRPr="00D11EE4" w:rsidRDefault="009C1F85" w:rsidP="000412E1">
      <w:pPr>
        <w:spacing w:line="360" w:lineRule="auto"/>
        <w:jc w:val="both"/>
        <w:rPr>
          <w:sz w:val="24"/>
          <w:szCs w:val="24"/>
        </w:rPr>
      </w:pPr>
      <w:r w:rsidRPr="00D11EE4">
        <w:rPr>
          <w:sz w:val="24"/>
          <w:szCs w:val="24"/>
        </w:rPr>
        <w:t>FCA (2022a). PS22/9: A New Consumer Duty. Available at: https://www.fca.org.uk/publications/policy-statements/ps22-9-new-consumer-duty.</w:t>
      </w:r>
    </w:p>
    <w:p w14:paraId="2D4030A2" w14:textId="77777777" w:rsidR="00825697" w:rsidRPr="00D11EE4" w:rsidRDefault="009C1F85" w:rsidP="000412E1">
      <w:pPr>
        <w:spacing w:line="360" w:lineRule="auto"/>
        <w:jc w:val="both"/>
        <w:rPr>
          <w:sz w:val="24"/>
          <w:szCs w:val="24"/>
        </w:rPr>
      </w:pPr>
      <w:r w:rsidRPr="00D11EE4">
        <w:rPr>
          <w:sz w:val="24"/>
          <w:szCs w:val="24"/>
        </w:rPr>
        <w:t>FCA (2022b). FS23/6: Artificial Intelligence and Machine Learning. Available at: https://www.fca.org.uk/publications/feedback-statements/fs23-6-artifical-intelligence-machine-learning.</w:t>
      </w:r>
    </w:p>
    <w:p w14:paraId="12968275" w14:textId="77777777" w:rsidR="00825697" w:rsidRPr="00D11EE4" w:rsidRDefault="009C1F85" w:rsidP="000412E1">
      <w:pPr>
        <w:spacing w:line="360" w:lineRule="auto"/>
        <w:jc w:val="both"/>
        <w:rPr>
          <w:sz w:val="24"/>
          <w:szCs w:val="24"/>
        </w:rPr>
      </w:pPr>
      <w:r w:rsidRPr="00D11EE4">
        <w:rPr>
          <w:sz w:val="24"/>
          <w:szCs w:val="24"/>
        </w:rPr>
        <w:t>FCA (2025). Research Note: Credit where credit is due: How can we explain AI's role in credit decisions for consumers? Available at: https://www.fca.org.uk/publications/research-notes/credit-where-credit-due-how-can-we-explain-ai-role-credit-decisions-consumers.</w:t>
      </w:r>
    </w:p>
    <w:p w14:paraId="3317808C" w14:textId="77777777" w:rsidR="00825697" w:rsidRPr="00D11EE4" w:rsidRDefault="009C1F85" w:rsidP="000412E1">
      <w:pPr>
        <w:spacing w:line="360" w:lineRule="auto"/>
        <w:jc w:val="both"/>
        <w:rPr>
          <w:sz w:val="24"/>
          <w:szCs w:val="24"/>
        </w:rPr>
      </w:pPr>
      <w:r w:rsidRPr="00D11EE4">
        <w:rPr>
          <w:sz w:val="24"/>
          <w:szCs w:val="24"/>
        </w:rPr>
        <w:t xml:space="preserve">Genovesi, S., </w:t>
      </w:r>
      <w:proofErr w:type="spellStart"/>
      <w:r w:rsidRPr="00D11EE4">
        <w:rPr>
          <w:sz w:val="24"/>
          <w:szCs w:val="24"/>
        </w:rPr>
        <w:t>Monig</w:t>
      </w:r>
      <w:proofErr w:type="spellEnd"/>
      <w:r w:rsidRPr="00D11EE4">
        <w:rPr>
          <w:sz w:val="24"/>
          <w:szCs w:val="24"/>
        </w:rPr>
        <w:t xml:space="preserve">, J.M., Schmitz, A., </w:t>
      </w:r>
      <w:proofErr w:type="spellStart"/>
      <w:r w:rsidRPr="00D11EE4">
        <w:rPr>
          <w:sz w:val="24"/>
          <w:szCs w:val="24"/>
        </w:rPr>
        <w:t>Poretschkin</w:t>
      </w:r>
      <w:proofErr w:type="spellEnd"/>
      <w:r w:rsidRPr="00D11EE4">
        <w:rPr>
          <w:sz w:val="24"/>
          <w:szCs w:val="24"/>
        </w:rPr>
        <w:t xml:space="preserve">, M., Akila, M., </w:t>
      </w:r>
      <w:proofErr w:type="spellStart"/>
      <w:r w:rsidRPr="00D11EE4">
        <w:rPr>
          <w:sz w:val="24"/>
          <w:szCs w:val="24"/>
        </w:rPr>
        <w:t>Kahdan</w:t>
      </w:r>
      <w:proofErr w:type="spellEnd"/>
      <w:r w:rsidRPr="00D11EE4">
        <w:rPr>
          <w:sz w:val="24"/>
          <w:szCs w:val="24"/>
        </w:rPr>
        <w:t>, M., Kleiner, R., Krieger, L. and Zimmermann, A. (2023). Standardizing fairness-evaluation procedures. AI and Ethics. doi:10.1007/s43681-023-00291-8.</w:t>
      </w:r>
    </w:p>
    <w:p w14:paraId="27AB3D9F" w14:textId="77777777" w:rsidR="00825697" w:rsidRPr="00D11EE4" w:rsidRDefault="009C1F85" w:rsidP="000412E1">
      <w:pPr>
        <w:spacing w:line="360" w:lineRule="auto"/>
        <w:jc w:val="both"/>
        <w:rPr>
          <w:sz w:val="24"/>
          <w:szCs w:val="24"/>
        </w:rPr>
      </w:pPr>
      <w:r w:rsidRPr="00D11EE4">
        <w:rPr>
          <w:sz w:val="24"/>
          <w:szCs w:val="24"/>
        </w:rPr>
        <w:t xml:space="preserve">Giudici, P. and Raffinetti, E. (2020). Shapley-Lorenz </w:t>
      </w:r>
      <w:proofErr w:type="spellStart"/>
      <w:r w:rsidRPr="00D11EE4">
        <w:rPr>
          <w:sz w:val="24"/>
          <w:szCs w:val="24"/>
        </w:rPr>
        <w:t>eXplainable</w:t>
      </w:r>
      <w:proofErr w:type="spellEnd"/>
      <w:r w:rsidRPr="00D11EE4">
        <w:rPr>
          <w:sz w:val="24"/>
          <w:szCs w:val="24"/>
        </w:rPr>
        <w:t xml:space="preserve"> Artificial Intelligence. Expert Systems with Applications, p.114104. doi:10.1016/j.eswa.2020.114104.</w:t>
      </w:r>
    </w:p>
    <w:p w14:paraId="6F67D087" w14:textId="77777777" w:rsidR="00825697" w:rsidRPr="00D11EE4" w:rsidRDefault="009C1F85" w:rsidP="000412E1">
      <w:pPr>
        <w:spacing w:line="360" w:lineRule="auto"/>
        <w:jc w:val="both"/>
        <w:rPr>
          <w:sz w:val="24"/>
          <w:szCs w:val="24"/>
        </w:rPr>
      </w:pPr>
      <w:r w:rsidRPr="00D11EE4">
        <w:rPr>
          <w:sz w:val="24"/>
          <w:szCs w:val="24"/>
        </w:rPr>
        <w:t>Giudici, P. and Raffinetti, E. (2023). SAFE Artificial Intelligence in finance. Finance Research Letters, 56, p.104088. doi:10.1016/j.frl.2023.104088.</w:t>
      </w:r>
    </w:p>
    <w:p w14:paraId="7CB7CE17" w14:textId="77777777" w:rsidR="00825697" w:rsidRPr="00D11EE4" w:rsidRDefault="009C1F85" w:rsidP="000412E1">
      <w:pPr>
        <w:spacing w:line="360" w:lineRule="auto"/>
        <w:jc w:val="both"/>
        <w:rPr>
          <w:sz w:val="24"/>
          <w:szCs w:val="24"/>
        </w:rPr>
      </w:pPr>
      <w:r w:rsidRPr="00D11EE4">
        <w:rPr>
          <w:sz w:val="24"/>
          <w:szCs w:val="24"/>
        </w:rPr>
        <w:t>GOV.UK (2020). Review into Bias in Algorithmic decision-making. Available at: https://www.gov.uk/government/publications/cdei-publishes-review-into-bias-in-algorithmic-decision-making.</w:t>
      </w:r>
    </w:p>
    <w:p w14:paraId="326A3CB8" w14:textId="77777777" w:rsidR="00825697" w:rsidRPr="00D11EE4" w:rsidRDefault="009C1F85" w:rsidP="000412E1">
      <w:pPr>
        <w:spacing w:line="360" w:lineRule="auto"/>
        <w:jc w:val="both"/>
        <w:rPr>
          <w:sz w:val="24"/>
          <w:szCs w:val="24"/>
        </w:rPr>
      </w:pPr>
      <w:r w:rsidRPr="00D11EE4">
        <w:rPr>
          <w:sz w:val="24"/>
          <w:szCs w:val="24"/>
        </w:rPr>
        <w:t>GOV.UK (2023). A pro-innovation Approach to AI Regulation. Available at: https://www.gov.uk/government/publications/ai-regulation-a-pro-innovation-approach/white-paper.</w:t>
      </w:r>
    </w:p>
    <w:p w14:paraId="30A83C21" w14:textId="77777777" w:rsidR="00825697" w:rsidRPr="00D11EE4" w:rsidRDefault="009C1F85" w:rsidP="000412E1">
      <w:pPr>
        <w:spacing w:line="360" w:lineRule="auto"/>
        <w:jc w:val="both"/>
        <w:rPr>
          <w:sz w:val="24"/>
          <w:szCs w:val="24"/>
        </w:rPr>
      </w:pPr>
      <w:r w:rsidRPr="00D11EE4">
        <w:rPr>
          <w:sz w:val="24"/>
          <w:szCs w:val="24"/>
        </w:rPr>
        <w:t>GOV.UK (2024). Implementing the UK's AI regulatory principles: initial guidance for regulators. Available at: https://www.gov.uk/government/publications/implementing-the-uks-ai-regulatory-principles-initial-guidance-for-regulators.</w:t>
      </w:r>
    </w:p>
    <w:p w14:paraId="41179D4C" w14:textId="77777777" w:rsidR="00825697" w:rsidRPr="00D11EE4" w:rsidRDefault="009C1F85" w:rsidP="000412E1">
      <w:pPr>
        <w:spacing w:line="360" w:lineRule="auto"/>
        <w:jc w:val="both"/>
        <w:rPr>
          <w:sz w:val="24"/>
          <w:szCs w:val="24"/>
        </w:rPr>
      </w:pPr>
      <w:r w:rsidRPr="00D11EE4">
        <w:rPr>
          <w:sz w:val="24"/>
          <w:szCs w:val="24"/>
        </w:rPr>
        <w:lastRenderedPageBreak/>
        <w:t>GrooveSquid.com (2025). Summary of Best Practices For Responsible Machine Learning in Credit Scoring. Available at: https://groovesquid.com/paper/summary-of-best-practices-for-responsible-machine-learning-in-credit-scoring-by-giovani-valdrighi-et-al/ [Accessed 25 Apr. 2026].</w:t>
      </w:r>
    </w:p>
    <w:p w14:paraId="41FA483F" w14:textId="77777777" w:rsidR="00825697" w:rsidRPr="00D11EE4" w:rsidRDefault="009C1F85" w:rsidP="000412E1">
      <w:pPr>
        <w:spacing w:line="360" w:lineRule="auto"/>
        <w:jc w:val="both"/>
        <w:rPr>
          <w:sz w:val="24"/>
          <w:szCs w:val="24"/>
        </w:rPr>
      </w:pPr>
      <w:r w:rsidRPr="00D11EE4">
        <w:rPr>
          <w:sz w:val="24"/>
          <w:szCs w:val="24"/>
        </w:rPr>
        <w:t xml:space="preserve">Helmi Ayari, R., </w:t>
      </w:r>
      <w:proofErr w:type="spellStart"/>
      <w:r w:rsidRPr="00D11EE4">
        <w:rPr>
          <w:sz w:val="24"/>
          <w:szCs w:val="24"/>
        </w:rPr>
        <w:t>Guetari</w:t>
      </w:r>
      <w:proofErr w:type="spellEnd"/>
      <w:r w:rsidRPr="00D11EE4">
        <w:rPr>
          <w:sz w:val="24"/>
          <w:szCs w:val="24"/>
        </w:rPr>
        <w:t xml:space="preserve">, R. and </w:t>
      </w:r>
      <w:proofErr w:type="spellStart"/>
      <w:r w:rsidRPr="00D11EE4">
        <w:rPr>
          <w:sz w:val="24"/>
          <w:szCs w:val="24"/>
        </w:rPr>
        <w:t>Kraiem</w:t>
      </w:r>
      <w:proofErr w:type="spellEnd"/>
      <w:r w:rsidRPr="00D11EE4">
        <w:rPr>
          <w:sz w:val="24"/>
          <w:szCs w:val="24"/>
        </w:rPr>
        <w:t>, N. (2025). Machine learning powered financial credit scoring: a systematic literature review. Artificial Intelligence Review, 59(1). doi:10.1007/s10462-025-11416-2.</w:t>
      </w:r>
    </w:p>
    <w:p w14:paraId="39B27859" w14:textId="77777777" w:rsidR="00825697" w:rsidRPr="00D11EE4" w:rsidRDefault="009C1F85" w:rsidP="000412E1">
      <w:pPr>
        <w:spacing w:line="360" w:lineRule="auto"/>
        <w:jc w:val="both"/>
        <w:rPr>
          <w:sz w:val="24"/>
          <w:szCs w:val="24"/>
        </w:rPr>
      </w:pPr>
      <w:r w:rsidRPr="00D11EE4">
        <w:rPr>
          <w:sz w:val="24"/>
          <w:szCs w:val="24"/>
        </w:rPr>
        <w:t>Hurlin, C., Perignon, C. and Saurin, S. (2021). The Fairness of Credit Scoring Models. SSRN Electronic Journal. doi:10.2139/ssrn.3785882.</w:t>
      </w:r>
    </w:p>
    <w:p w14:paraId="0EBFB18C" w14:textId="77777777" w:rsidR="00825697" w:rsidRPr="00D11EE4" w:rsidRDefault="009C1F85" w:rsidP="000412E1">
      <w:pPr>
        <w:spacing w:line="360" w:lineRule="auto"/>
        <w:jc w:val="both"/>
        <w:rPr>
          <w:sz w:val="24"/>
          <w:szCs w:val="24"/>
        </w:rPr>
      </w:pPr>
      <w:r w:rsidRPr="00D11EE4">
        <w:rPr>
          <w:sz w:val="24"/>
          <w:szCs w:val="24"/>
        </w:rPr>
        <w:t xml:space="preserve">Ibrahim, A.E.A., </w:t>
      </w:r>
      <w:proofErr w:type="spellStart"/>
      <w:r w:rsidRPr="00D11EE4">
        <w:rPr>
          <w:sz w:val="24"/>
          <w:szCs w:val="24"/>
        </w:rPr>
        <w:t>Hussainey</w:t>
      </w:r>
      <w:proofErr w:type="spellEnd"/>
      <w:r w:rsidRPr="00D11EE4">
        <w:rPr>
          <w:sz w:val="24"/>
          <w:szCs w:val="24"/>
        </w:rPr>
        <w:t>, K., Nawaz, T., Ntim, C. and Elamer, A. (2022). A systematic literature review on risk disclosure research. International Review of Financial Analysis, 82, p.102217. doi:10.1016/j.irfa.2022.102217.</w:t>
      </w:r>
    </w:p>
    <w:p w14:paraId="6B0AF8B6" w14:textId="77777777" w:rsidR="00825697" w:rsidRPr="00D11EE4" w:rsidRDefault="009C1F85" w:rsidP="000412E1">
      <w:pPr>
        <w:spacing w:line="360" w:lineRule="auto"/>
        <w:jc w:val="both"/>
        <w:rPr>
          <w:sz w:val="24"/>
          <w:szCs w:val="24"/>
        </w:rPr>
      </w:pPr>
      <w:r w:rsidRPr="00D11EE4">
        <w:rPr>
          <w:sz w:val="24"/>
          <w:szCs w:val="24"/>
        </w:rPr>
        <w:t>ICO (2023). Explaining decisions made with AI. Available at: https://ico.org.uk/for-organisations/uk-gdpr-guidance-and-resources/artificial-intelligence/explaining-decisions-made-with-artificial-intelligence/.</w:t>
      </w:r>
    </w:p>
    <w:p w14:paraId="1EF44871" w14:textId="77777777" w:rsidR="00825697" w:rsidRPr="00D11EE4" w:rsidRDefault="009C1F85" w:rsidP="000412E1">
      <w:pPr>
        <w:spacing w:line="360" w:lineRule="auto"/>
        <w:jc w:val="both"/>
        <w:rPr>
          <w:sz w:val="24"/>
          <w:szCs w:val="24"/>
        </w:rPr>
      </w:pPr>
      <w:r w:rsidRPr="00D11EE4">
        <w:rPr>
          <w:sz w:val="24"/>
          <w:szCs w:val="24"/>
        </w:rPr>
        <w:t>ICO (2024). The principles to follow. Available at: https://ico.org.uk/for-organisations/uk-gdpr-guidance-and-resources/artificial-intelligence/explaining-decisions-made-with-artificial-intelligence/part-1-the-basics-of-explaining-ai/the-principles-to-follow/.</w:t>
      </w:r>
    </w:p>
    <w:p w14:paraId="1C8BE74D" w14:textId="77777777" w:rsidR="00825697" w:rsidRPr="00D11EE4" w:rsidRDefault="009C1F85" w:rsidP="000412E1">
      <w:pPr>
        <w:spacing w:line="360" w:lineRule="auto"/>
        <w:jc w:val="both"/>
        <w:rPr>
          <w:sz w:val="24"/>
          <w:szCs w:val="24"/>
        </w:rPr>
      </w:pPr>
      <w:r w:rsidRPr="00D11EE4">
        <w:rPr>
          <w:sz w:val="24"/>
          <w:szCs w:val="24"/>
        </w:rPr>
        <w:t xml:space="preserve">Jammalamadaka, K.R. and </w:t>
      </w:r>
      <w:proofErr w:type="spellStart"/>
      <w:r w:rsidRPr="00D11EE4">
        <w:rPr>
          <w:sz w:val="24"/>
          <w:szCs w:val="24"/>
        </w:rPr>
        <w:t>Itapu</w:t>
      </w:r>
      <w:proofErr w:type="spellEnd"/>
      <w:r w:rsidRPr="00D11EE4">
        <w:rPr>
          <w:sz w:val="24"/>
          <w:szCs w:val="24"/>
        </w:rPr>
        <w:t>, S. (2022). Responsible AI in automated credit scoring systems. AI and Ethics. doi:10.1007/s43681-022-00175-3.</w:t>
      </w:r>
    </w:p>
    <w:p w14:paraId="3E353D0E" w14:textId="77777777" w:rsidR="00825697" w:rsidRPr="00D11EE4" w:rsidRDefault="009C1F85" w:rsidP="000412E1">
      <w:pPr>
        <w:spacing w:line="360" w:lineRule="auto"/>
        <w:jc w:val="both"/>
        <w:rPr>
          <w:sz w:val="24"/>
          <w:szCs w:val="24"/>
        </w:rPr>
      </w:pPr>
      <w:proofErr w:type="spellStart"/>
      <w:r w:rsidRPr="00D11EE4">
        <w:rPr>
          <w:sz w:val="24"/>
          <w:szCs w:val="24"/>
        </w:rPr>
        <w:t>Kozodoi</w:t>
      </w:r>
      <w:proofErr w:type="spellEnd"/>
      <w:r w:rsidRPr="00D11EE4">
        <w:rPr>
          <w:sz w:val="24"/>
          <w:szCs w:val="24"/>
        </w:rPr>
        <w:t>, N., Jacob, J. and Lessmann, S. (2021). Fairness in credit scoring: Assessment, implementation and profit implications. European Journal of Operational Research, 297(3). doi:10.1016/j.ejor.2021.06.023.</w:t>
      </w:r>
    </w:p>
    <w:p w14:paraId="1B7411E3" w14:textId="3BC8D0DC" w:rsidR="00825697" w:rsidRPr="00D11EE4" w:rsidRDefault="009C1F85" w:rsidP="000412E1">
      <w:pPr>
        <w:spacing w:line="360" w:lineRule="auto"/>
        <w:jc w:val="both"/>
        <w:rPr>
          <w:sz w:val="24"/>
          <w:szCs w:val="24"/>
        </w:rPr>
      </w:pPr>
      <w:r w:rsidRPr="00D11EE4">
        <w:rPr>
          <w:sz w:val="24"/>
          <w:szCs w:val="24"/>
        </w:rPr>
        <w:t xml:space="preserve">Mariscal, C., Yustiawan, Y., Rochim, F.C. and </w:t>
      </w:r>
      <w:proofErr w:type="spellStart"/>
      <w:r w:rsidRPr="00D11EE4">
        <w:rPr>
          <w:sz w:val="24"/>
          <w:szCs w:val="24"/>
        </w:rPr>
        <w:t>Tanuar</w:t>
      </w:r>
      <w:proofErr w:type="spellEnd"/>
      <w:r w:rsidRPr="00D11EE4">
        <w:rPr>
          <w:sz w:val="24"/>
          <w:szCs w:val="24"/>
        </w:rPr>
        <w:t xml:space="preserve">, E. (2024). Implementing and </w:t>
      </w:r>
      <w:proofErr w:type="spellStart"/>
      <w:r w:rsidR="00B62729" w:rsidRPr="00D11EE4">
        <w:rPr>
          <w:sz w:val="24"/>
          <w:szCs w:val="24"/>
        </w:rPr>
        <w:t>analysing</w:t>
      </w:r>
      <w:proofErr w:type="spellEnd"/>
      <w:r w:rsidRPr="00D11EE4">
        <w:rPr>
          <w:sz w:val="24"/>
          <w:szCs w:val="24"/>
        </w:rPr>
        <w:t xml:space="preserve"> fairness in banking credit scoring. Procedia Computer Science, 234, pp.1492-1499. doi:10.1016/j.procs.2024.03.150.</w:t>
      </w:r>
    </w:p>
    <w:p w14:paraId="4EDEF619" w14:textId="77777777" w:rsidR="00825697" w:rsidRPr="00D11EE4" w:rsidRDefault="009C1F85" w:rsidP="000412E1">
      <w:pPr>
        <w:spacing w:line="360" w:lineRule="auto"/>
        <w:jc w:val="both"/>
        <w:rPr>
          <w:sz w:val="24"/>
          <w:szCs w:val="24"/>
        </w:rPr>
      </w:pPr>
      <w:r w:rsidRPr="00D11EE4">
        <w:rPr>
          <w:sz w:val="24"/>
          <w:szCs w:val="24"/>
        </w:rPr>
        <w:t>Nwafor, C.N., Nwafor, O. and Sanjukta Brahma (2024). Enhancing transparency and fairness in automated credit decisions. Scientific Reports, 14(1). doi:10.1038/s41598-024-75026-8.</w:t>
      </w:r>
    </w:p>
    <w:p w14:paraId="5A94059B" w14:textId="77777777" w:rsidR="00825697" w:rsidRPr="00D11EE4" w:rsidRDefault="009C1F85" w:rsidP="000412E1">
      <w:pPr>
        <w:spacing w:line="360" w:lineRule="auto"/>
        <w:jc w:val="both"/>
        <w:rPr>
          <w:sz w:val="24"/>
          <w:szCs w:val="24"/>
        </w:rPr>
      </w:pPr>
      <w:r w:rsidRPr="00D11EE4">
        <w:rPr>
          <w:sz w:val="24"/>
          <w:szCs w:val="24"/>
        </w:rPr>
        <w:t>Ole Hjelkrem, L. (2023). Explaining Deep Learning Models for Credit Scoring with SHAP. JRFM, 16(4), pp.1-19. Available at: https://ideas.repec.org/a/gam/jjrfmx/v16y2023i4p221-d1114264.html.</w:t>
      </w:r>
    </w:p>
    <w:p w14:paraId="7BA7F40E" w14:textId="77777777" w:rsidR="00825697" w:rsidRPr="00D11EE4" w:rsidRDefault="009C1F85" w:rsidP="000412E1">
      <w:pPr>
        <w:spacing w:line="360" w:lineRule="auto"/>
        <w:jc w:val="both"/>
        <w:rPr>
          <w:sz w:val="24"/>
          <w:szCs w:val="24"/>
        </w:rPr>
      </w:pPr>
      <w:proofErr w:type="spellStart"/>
      <w:r w:rsidRPr="00D11EE4">
        <w:rPr>
          <w:sz w:val="24"/>
          <w:szCs w:val="24"/>
        </w:rPr>
        <w:lastRenderedPageBreak/>
        <w:t>Papagiannidis</w:t>
      </w:r>
      <w:proofErr w:type="spellEnd"/>
      <w:r w:rsidRPr="00D11EE4">
        <w:rPr>
          <w:sz w:val="24"/>
          <w:szCs w:val="24"/>
        </w:rPr>
        <w:t xml:space="preserve">, E., </w:t>
      </w:r>
      <w:proofErr w:type="spellStart"/>
      <w:r w:rsidRPr="00D11EE4">
        <w:rPr>
          <w:sz w:val="24"/>
          <w:szCs w:val="24"/>
        </w:rPr>
        <w:t>Mikalef</w:t>
      </w:r>
      <w:proofErr w:type="spellEnd"/>
      <w:r w:rsidRPr="00D11EE4">
        <w:rPr>
          <w:sz w:val="24"/>
          <w:szCs w:val="24"/>
        </w:rPr>
        <w:t>, P. and Conboy, K. (2025). Responsible artificial intelligence governance: A review and research framework. The Journal of Strategic Information Systems, 34(2). doi:10.1016/j.jsis.2024.101885.</w:t>
      </w:r>
    </w:p>
    <w:p w14:paraId="754ABABD" w14:textId="77777777" w:rsidR="00825697" w:rsidRPr="00D11EE4" w:rsidRDefault="009C1F85" w:rsidP="000412E1">
      <w:pPr>
        <w:spacing w:line="360" w:lineRule="auto"/>
        <w:jc w:val="both"/>
        <w:rPr>
          <w:sz w:val="24"/>
          <w:szCs w:val="24"/>
        </w:rPr>
      </w:pPr>
      <w:r w:rsidRPr="00D11EE4">
        <w:rPr>
          <w:sz w:val="24"/>
          <w:szCs w:val="24"/>
        </w:rPr>
        <w:t>Porter, M. (2008). The Five Competitive Forces That Shape Strategy. Harvard Business Review. Available at: https://hbr.org/2008/01/the-five-competitive-forces-that-shape-strategy.</w:t>
      </w:r>
    </w:p>
    <w:p w14:paraId="4EEAD607" w14:textId="77777777" w:rsidR="00825697" w:rsidRPr="00D11EE4" w:rsidRDefault="009C1F85" w:rsidP="000412E1">
      <w:pPr>
        <w:spacing w:line="360" w:lineRule="auto"/>
        <w:jc w:val="both"/>
        <w:rPr>
          <w:sz w:val="24"/>
          <w:szCs w:val="24"/>
        </w:rPr>
      </w:pPr>
      <w:r w:rsidRPr="00D11EE4">
        <w:rPr>
          <w:sz w:val="24"/>
          <w:szCs w:val="24"/>
        </w:rPr>
        <w:t>Sargeant, H. (2022). Algorithmic decision-making in financial services: economic and normative outcomes in consumer credit. AI and Ethics, 3(1). doi:10.1007/s43681-022-00236-7.</w:t>
      </w:r>
    </w:p>
    <w:p w14:paraId="22219DA4" w14:textId="77777777" w:rsidR="00825697" w:rsidRPr="00D11EE4" w:rsidRDefault="009C1F85" w:rsidP="000412E1">
      <w:pPr>
        <w:spacing w:line="360" w:lineRule="auto"/>
        <w:jc w:val="both"/>
        <w:rPr>
          <w:sz w:val="24"/>
          <w:szCs w:val="24"/>
        </w:rPr>
      </w:pPr>
      <w:proofErr w:type="spellStart"/>
      <w:r w:rsidRPr="00D11EE4">
        <w:rPr>
          <w:sz w:val="24"/>
          <w:szCs w:val="24"/>
        </w:rPr>
        <w:t>Vukovic</w:t>
      </w:r>
      <w:proofErr w:type="spellEnd"/>
      <w:r w:rsidRPr="00D11EE4">
        <w:rPr>
          <w:sz w:val="24"/>
          <w:szCs w:val="24"/>
        </w:rPr>
        <w:t xml:space="preserve">, D.B., </w:t>
      </w:r>
      <w:proofErr w:type="spellStart"/>
      <w:r w:rsidRPr="00D11EE4">
        <w:rPr>
          <w:sz w:val="24"/>
          <w:szCs w:val="24"/>
        </w:rPr>
        <w:t>Dekpo-Adza</w:t>
      </w:r>
      <w:proofErr w:type="spellEnd"/>
      <w:r w:rsidRPr="00D11EE4">
        <w:rPr>
          <w:sz w:val="24"/>
          <w:szCs w:val="24"/>
        </w:rPr>
        <w:t>, S. and Matovic, S. (2025). AI integration in financial services: a systematic review of trends and regulatory challenges. Humanities and Social Sciences Communications, 12(1). doi:10.1057/s41599-025-04850-8.</w:t>
      </w:r>
    </w:p>
    <w:p w14:paraId="7EA960E9" w14:textId="77777777" w:rsidR="00825697" w:rsidRPr="00D11EE4" w:rsidRDefault="009C1F85" w:rsidP="000412E1">
      <w:pPr>
        <w:spacing w:line="360" w:lineRule="auto"/>
        <w:jc w:val="both"/>
        <w:rPr>
          <w:sz w:val="24"/>
          <w:szCs w:val="24"/>
        </w:rPr>
      </w:pPr>
      <w:r w:rsidRPr="00D11EE4">
        <w:rPr>
          <w:sz w:val="24"/>
          <w:szCs w:val="24"/>
        </w:rPr>
        <w:t>Yang, Q. and Lee, Y.-C. (2024). Ethical AI in Financial Inclusion: The Role of Algorithmic Fairness on User Satisfaction and Recommendation. Big Data and Cognitive Computing, 8(9), pp.105-105. doi:10.3390/bdcc8090105.</w:t>
      </w:r>
    </w:p>
    <w:p w14:paraId="42F7BDA9" w14:textId="77777777" w:rsidR="00825697" w:rsidRPr="00D11EE4" w:rsidRDefault="009C1F85" w:rsidP="000412E1">
      <w:pPr>
        <w:spacing w:line="360" w:lineRule="auto"/>
        <w:jc w:val="both"/>
        <w:rPr>
          <w:sz w:val="24"/>
          <w:szCs w:val="24"/>
        </w:rPr>
      </w:pPr>
      <w:r w:rsidRPr="00D11EE4">
        <w:rPr>
          <w:sz w:val="24"/>
          <w:szCs w:val="24"/>
        </w:rPr>
        <w:t>Yeo, W.J., Der, V., Mao, R., Cambria, E., Ranjan Satapathy and Mengaldo, G. (2025). A comprehensive review on financial explainable AI. Artificial Intelligence Review, 58(6). doi:10.1007/s10462-024-11077-7.</w:t>
      </w:r>
    </w:p>
    <w:p w14:paraId="3533CF57" w14:textId="7BE14169" w:rsidR="00825697" w:rsidRPr="00D11EE4" w:rsidRDefault="00825697" w:rsidP="000412E1">
      <w:pPr>
        <w:spacing w:line="360" w:lineRule="auto"/>
        <w:rPr>
          <w:sz w:val="24"/>
          <w:szCs w:val="24"/>
        </w:rPr>
      </w:pPr>
    </w:p>
    <w:sectPr w:rsidR="00825697" w:rsidRPr="00D11EE4" w:rsidSect="00965412">
      <w:footerReference w:type="default" r:id="rId11"/>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017DF" w14:textId="77777777" w:rsidR="0015439D" w:rsidRDefault="0015439D" w:rsidP="00BF35D3">
      <w:r>
        <w:separator/>
      </w:r>
    </w:p>
  </w:endnote>
  <w:endnote w:type="continuationSeparator" w:id="0">
    <w:p w14:paraId="67F62635" w14:textId="77777777" w:rsidR="0015439D" w:rsidRDefault="0015439D" w:rsidP="00BF3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3662036"/>
      <w:docPartObj>
        <w:docPartGallery w:val="Page Numbers (Bottom of Page)"/>
        <w:docPartUnique/>
      </w:docPartObj>
    </w:sdtPr>
    <w:sdtEndPr>
      <w:rPr>
        <w:noProof/>
      </w:rPr>
    </w:sdtEndPr>
    <w:sdtContent>
      <w:p w14:paraId="44BA6984" w14:textId="4828326E" w:rsidR="00965412" w:rsidRDefault="00965412" w:rsidP="009654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C85A5" w14:textId="77777777" w:rsidR="0015439D" w:rsidRDefault="0015439D" w:rsidP="00BF35D3">
      <w:r>
        <w:separator/>
      </w:r>
    </w:p>
  </w:footnote>
  <w:footnote w:type="continuationSeparator" w:id="0">
    <w:p w14:paraId="5A886E91" w14:textId="77777777" w:rsidR="0015439D" w:rsidRDefault="0015439D" w:rsidP="00BF35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2F3DDD"/>
    <w:multiLevelType w:val="multilevel"/>
    <w:tmpl w:val="8F04F82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59C3C64"/>
    <w:multiLevelType w:val="hybridMultilevel"/>
    <w:tmpl w:val="C47EADB6"/>
    <w:lvl w:ilvl="0" w:tplc="4C8C07D2">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7B76729"/>
    <w:multiLevelType w:val="hybridMultilevel"/>
    <w:tmpl w:val="D7B00A10"/>
    <w:lvl w:ilvl="0" w:tplc="84CC0358">
      <w:start w:val="1"/>
      <w:numFmt w:val="bullet"/>
      <w:lvlText w:val="●"/>
      <w:lvlJc w:val="left"/>
      <w:pPr>
        <w:ind w:left="720" w:hanging="360"/>
      </w:pPr>
    </w:lvl>
    <w:lvl w:ilvl="1" w:tplc="A7CE39D8">
      <w:start w:val="1"/>
      <w:numFmt w:val="bullet"/>
      <w:lvlText w:val="○"/>
      <w:lvlJc w:val="left"/>
      <w:pPr>
        <w:ind w:left="1440" w:hanging="360"/>
      </w:pPr>
    </w:lvl>
    <w:lvl w:ilvl="2" w:tplc="909C5D94">
      <w:start w:val="1"/>
      <w:numFmt w:val="bullet"/>
      <w:lvlText w:val="■"/>
      <w:lvlJc w:val="left"/>
      <w:pPr>
        <w:ind w:left="2160" w:hanging="360"/>
      </w:pPr>
    </w:lvl>
    <w:lvl w:ilvl="3" w:tplc="8078133A">
      <w:start w:val="1"/>
      <w:numFmt w:val="bullet"/>
      <w:lvlText w:val="●"/>
      <w:lvlJc w:val="left"/>
      <w:pPr>
        <w:ind w:left="2880" w:hanging="360"/>
      </w:pPr>
    </w:lvl>
    <w:lvl w:ilvl="4" w:tplc="149850E6">
      <w:start w:val="1"/>
      <w:numFmt w:val="bullet"/>
      <w:lvlText w:val="○"/>
      <w:lvlJc w:val="left"/>
      <w:pPr>
        <w:ind w:left="3600" w:hanging="360"/>
      </w:pPr>
    </w:lvl>
    <w:lvl w:ilvl="5" w:tplc="1EBEE538">
      <w:start w:val="1"/>
      <w:numFmt w:val="bullet"/>
      <w:lvlText w:val="■"/>
      <w:lvlJc w:val="left"/>
      <w:pPr>
        <w:ind w:left="4320" w:hanging="360"/>
      </w:pPr>
    </w:lvl>
    <w:lvl w:ilvl="6" w:tplc="511ABE68">
      <w:start w:val="1"/>
      <w:numFmt w:val="bullet"/>
      <w:lvlText w:val="●"/>
      <w:lvlJc w:val="left"/>
      <w:pPr>
        <w:ind w:left="5040" w:hanging="360"/>
      </w:pPr>
    </w:lvl>
    <w:lvl w:ilvl="7" w:tplc="54362B6C">
      <w:start w:val="1"/>
      <w:numFmt w:val="bullet"/>
      <w:lvlText w:val="●"/>
      <w:lvlJc w:val="left"/>
      <w:pPr>
        <w:ind w:left="5760" w:hanging="360"/>
      </w:pPr>
    </w:lvl>
    <w:lvl w:ilvl="8" w:tplc="376EED22">
      <w:start w:val="1"/>
      <w:numFmt w:val="bullet"/>
      <w:lvlText w:val="●"/>
      <w:lvlJc w:val="left"/>
      <w:pPr>
        <w:ind w:left="6480" w:hanging="360"/>
      </w:pPr>
    </w:lvl>
  </w:abstractNum>
  <w:num w:numId="1">
    <w:abstractNumId w:val="2"/>
    <w:lvlOverride w:ilvl="0">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697"/>
    <w:rsid w:val="000412E1"/>
    <w:rsid w:val="00095825"/>
    <w:rsid w:val="0015439D"/>
    <w:rsid w:val="00226B03"/>
    <w:rsid w:val="00250B1E"/>
    <w:rsid w:val="00254EDE"/>
    <w:rsid w:val="00282C36"/>
    <w:rsid w:val="002D7B32"/>
    <w:rsid w:val="00361A6D"/>
    <w:rsid w:val="003917BE"/>
    <w:rsid w:val="003A7F40"/>
    <w:rsid w:val="00410E0E"/>
    <w:rsid w:val="004814B1"/>
    <w:rsid w:val="00484439"/>
    <w:rsid w:val="00505A63"/>
    <w:rsid w:val="00601C9B"/>
    <w:rsid w:val="00616D8C"/>
    <w:rsid w:val="00666827"/>
    <w:rsid w:val="00696072"/>
    <w:rsid w:val="006B235C"/>
    <w:rsid w:val="006D2AE1"/>
    <w:rsid w:val="006D7E9A"/>
    <w:rsid w:val="00752CE8"/>
    <w:rsid w:val="00777755"/>
    <w:rsid w:val="007E0F51"/>
    <w:rsid w:val="007E5B59"/>
    <w:rsid w:val="007E756D"/>
    <w:rsid w:val="00801DDA"/>
    <w:rsid w:val="00825697"/>
    <w:rsid w:val="00853355"/>
    <w:rsid w:val="0086206B"/>
    <w:rsid w:val="00923D25"/>
    <w:rsid w:val="00956158"/>
    <w:rsid w:val="00965412"/>
    <w:rsid w:val="0097049E"/>
    <w:rsid w:val="00980784"/>
    <w:rsid w:val="009C1F85"/>
    <w:rsid w:val="00A21D63"/>
    <w:rsid w:val="00B62729"/>
    <w:rsid w:val="00B842A5"/>
    <w:rsid w:val="00BB3627"/>
    <w:rsid w:val="00BE7BB0"/>
    <w:rsid w:val="00BF35D3"/>
    <w:rsid w:val="00C31846"/>
    <w:rsid w:val="00C81234"/>
    <w:rsid w:val="00D11EE4"/>
    <w:rsid w:val="00D12CA8"/>
    <w:rsid w:val="00DA452C"/>
    <w:rsid w:val="00DB023B"/>
    <w:rsid w:val="00DD6D3D"/>
    <w:rsid w:val="00E30E94"/>
    <w:rsid w:val="00E62E7F"/>
    <w:rsid w:val="00E8647D"/>
    <w:rsid w:val="00EE42FD"/>
    <w:rsid w:val="00EE7474"/>
    <w:rsid w:val="00F41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AE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utoRedefine/>
    <w:uiPriority w:val="9"/>
    <w:qFormat/>
    <w:rsid w:val="00D11EE4"/>
    <w:pPr>
      <w:numPr>
        <w:numId w:val="3"/>
      </w:numPr>
      <w:spacing w:line="360" w:lineRule="auto"/>
      <w:outlineLvl w:val="0"/>
    </w:pPr>
    <w:rPr>
      <w:b/>
      <w:bCs/>
      <w:color w:val="1F3864"/>
      <w:sz w:val="28"/>
      <w:szCs w:val="24"/>
    </w:rPr>
  </w:style>
  <w:style w:type="paragraph" w:styleId="Heading2">
    <w:name w:val="heading 2"/>
    <w:autoRedefine/>
    <w:uiPriority w:val="9"/>
    <w:unhideWhenUsed/>
    <w:qFormat/>
    <w:rsid w:val="00BE7BB0"/>
    <w:pPr>
      <w:numPr>
        <w:ilvl w:val="1"/>
        <w:numId w:val="3"/>
      </w:numPr>
      <w:spacing w:line="360" w:lineRule="auto"/>
      <w:outlineLvl w:val="1"/>
    </w:pPr>
    <w:rPr>
      <w:b/>
      <w:bCs/>
      <w:color w:val="4472C4" w:themeColor="accent1"/>
      <w:sz w:val="24"/>
      <w:szCs w:val="24"/>
    </w:rPr>
  </w:style>
  <w:style w:type="paragraph" w:styleId="Heading3">
    <w:name w:val="heading 3"/>
    <w:uiPriority w:val="9"/>
    <w:semiHidden/>
    <w:unhideWhenUsed/>
    <w:qFormat/>
    <w:pPr>
      <w:numPr>
        <w:ilvl w:val="2"/>
        <w:numId w:val="3"/>
      </w:numPr>
      <w:spacing w:before="200" w:after="100"/>
      <w:outlineLvl w:val="2"/>
    </w:pPr>
    <w:rPr>
      <w:b/>
      <w:bCs/>
      <w:color w:val="1F3864"/>
      <w:sz w:val="22"/>
      <w:szCs w:val="22"/>
    </w:rPr>
  </w:style>
  <w:style w:type="paragraph" w:styleId="Heading4">
    <w:name w:val="heading 4"/>
    <w:uiPriority w:val="9"/>
    <w:semiHidden/>
    <w:unhideWhenUsed/>
    <w:qFormat/>
    <w:pPr>
      <w:numPr>
        <w:ilvl w:val="3"/>
        <w:numId w:val="3"/>
      </w:numPr>
      <w:outlineLvl w:val="3"/>
    </w:pPr>
    <w:rPr>
      <w:i/>
      <w:iCs/>
      <w:color w:val="2E74B5"/>
    </w:rPr>
  </w:style>
  <w:style w:type="paragraph" w:styleId="Heading5">
    <w:name w:val="heading 5"/>
    <w:uiPriority w:val="9"/>
    <w:semiHidden/>
    <w:unhideWhenUsed/>
    <w:qFormat/>
    <w:pPr>
      <w:numPr>
        <w:ilvl w:val="4"/>
        <w:numId w:val="3"/>
      </w:numPr>
      <w:outlineLvl w:val="4"/>
    </w:pPr>
    <w:rPr>
      <w:color w:val="2E74B5"/>
    </w:rPr>
  </w:style>
  <w:style w:type="paragraph" w:styleId="Heading6">
    <w:name w:val="heading 6"/>
    <w:uiPriority w:val="9"/>
    <w:semiHidden/>
    <w:unhideWhenUsed/>
    <w:qFormat/>
    <w:pPr>
      <w:numPr>
        <w:ilvl w:val="5"/>
        <w:numId w:val="3"/>
      </w:numPr>
      <w:outlineLvl w:val="5"/>
    </w:pPr>
    <w:rPr>
      <w:color w:val="1F4D78"/>
    </w:rPr>
  </w:style>
  <w:style w:type="paragraph" w:styleId="Heading7">
    <w:name w:val="heading 7"/>
    <w:basedOn w:val="Normal"/>
    <w:next w:val="Normal"/>
    <w:link w:val="Heading7Char"/>
    <w:uiPriority w:val="9"/>
    <w:semiHidden/>
    <w:unhideWhenUsed/>
    <w:qFormat/>
    <w:rsid w:val="00410E0E"/>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10E0E"/>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10E0E"/>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utoRedefine/>
    <w:uiPriority w:val="10"/>
    <w:qFormat/>
    <w:rsid w:val="00616D8C"/>
    <w:pPr>
      <w:jc w:val="center"/>
    </w:pPr>
    <w:rPr>
      <w:i/>
      <w:iCs/>
      <w:sz w:val="32"/>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Caption">
    <w:name w:val="caption"/>
    <w:basedOn w:val="Normal"/>
    <w:next w:val="Normal"/>
    <w:uiPriority w:val="35"/>
    <w:unhideWhenUsed/>
    <w:qFormat/>
    <w:rsid w:val="00752CE8"/>
    <w:pPr>
      <w:spacing w:after="200"/>
    </w:pPr>
    <w:rPr>
      <w:i/>
      <w:iCs/>
      <w:color w:val="44546A" w:themeColor="text2"/>
      <w:sz w:val="18"/>
      <w:szCs w:val="18"/>
    </w:rPr>
  </w:style>
  <w:style w:type="character" w:customStyle="1" w:styleId="Heading7Char">
    <w:name w:val="Heading 7 Char"/>
    <w:basedOn w:val="DefaultParagraphFont"/>
    <w:link w:val="Heading7"/>
    <w:uiPriority w:val="9"/>
    <w:semiHidden/>
    <w:rsid w:val="00410E0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10E0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10E0E"/>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6B235C"/>
    <w:pPr>
      <w:keepNext/>
      <w:keepLines/>
      <w:numPr>
        <w:numId w:val="0"/>
      </w:numPr>
      <w:spacing w:before="24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6B235C"/>
    <w:pPr>
      <w:spacing w:after="100"/>
    </w:pPr>
  </w:style>
  <w:style w:type="paragraph" w:styleId="TOC2">
    <w:name w:val="toc 2"/>
    <w:basedOn w:val="Normal"/>
    <w:next w:val="Normal"/>
    <w:autoRedefine/>
    <w:uiPriority w:val="39"/>
    <w:unhideWhenUsed/>
    <w:rsid w:val="006B235C"/>
    <w:pPr>
      <w:spacing w:after="100"/>
      <w:ind w:left="200"/>
    </w:pPr>
  </w:style>
  <w:style w:type="paragraph" w:styleId="Header">
    <w:name w:val="header"/>
    <w:basedOn w:val="Normal"/>
    <w:link w:val="HeaderChar"/>
    <w:uiPriority w:val="99"/>
    <w:unhideWhenUsed/>
    <w:rsid w:val="00BF35D3"/>
    <w:pPr>
      <w:tabs>
        <w:tab w:val="center" w:pos="4680"/>
        <w:tab w:val="right" w:pos="9360"/>
      </w:tabs>
    </w:pPr>
  </w:style>
  <w:style w:type="character" w:customStyle="1" w:styleId="HeaderChar">
    <w:name w:val="Header Char"/>
    <w:basedOn w:val="DefaultParagraphFont"/>
    <w:link w:val="Header"/>
    <w:uiPriority w:val="99"/>
    <w:rsid w:val="00BF35D3"/>
  </w:style>
  <w:style w:type="paragraph" w:styleId="Footer">
    <w:name w:val="footer"/>
    <w:basedOn w:val="Normal"/>
    <w:link w:val="FooterChar"/>
    <w:uiPriority w:val="99"/>
    <w:unhideWhenUsed/>
    <w:rsid w:val="00BF35D3"/>
    <w:pPr>
      <w:tabs>
        <w:tab w:val="center" w:pos="4680"/>
        <w:tab w:val="right" w:pos="9360"/>
      </w:tabs>
    </w:pPr>
  </w:style>
  <w:style w:type="character" w:customStyle="1" w:styleId="FooterChar">
    <w:name w:val="Footer Char"/>
    <w:basedOn w:val="DefaultParagraphFont"/>
    <w:link w:val="Footer"/>
    <w:uiPriority w:val="99"/>
    <w:rsid w:val="00BF3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7276</Words>
  <Characters>41474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2026-04-26T17:11:00Z</dcterms:created>
  <dcterms:modified xsi:type="dcterms:W3CDTF">2026-04-26T20:00:00Z</dcterms:modified>
</cp:coreProperties>
</file>