
<file path=[Content_Types].xml><?xml version="1.0" encoding="utf-8"?>
<Types xmlns="http://schemas.openxmlformats.org/package/2006/content-types">
  <Default ContentType="image/jpeg" Extension="jpg"/>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rFonts w:ascii="Times New Roman" w:cs="Times New Roman" w:eastAsia="Times New Roman" w:hAnsi="Times New Roman"/>
          <w:b w:val="1"/>
          <w:bCs w:val="1"/>
          <w:sz w:val="36"/>
          <w:szCs w:val="36"/>
          <w:u w:val="single"/>
        </w:rPr>
      </w:pPr>
      <w:r w:rsidDel="00000000" w:rsidR="00000000" w:rsidRPr="00000000">
        <w:rPr>
          <w:rFonts w:ascii="Times New Roman" w:cs="Times New Roman" w:eastAsia="Times New Roman" w:hAnsi="Times New Roman"/>
          <w:b w:val="1"/>
          <w:bCs w:val="1"/>
          <w:sz w:val="36"/>
          <w:szCs w:val="36"/>
          <w:u w:val="single"/>
          <w:rtl w:val="0"/>
        </w:rPr>
        <w:t xml:space="preserve">The progression of dementia treatment over the years</w:t>
      </w:r>
    </w:p>
    <w:p w:rsidR="00000000" w:rsidDel="00000000" w:rsidP="00000000" w:rsidRDefault="00000000" w:rsidRPr="00000000" w14:paraId="00000002">
      <w:pPr>
        <w:rPr>
          <w:sz w:val="40"/>
          <w:szCs w:val="40"/>
        </w:rPr>
      </w:pPr>
      <w:r w:rsidDel="00000000" w:rsidR="00000000" w:rsidRPr="00000000">
        <w:rPr>
          <w:rtl w:val="0"/>
        </w:rPr>
      </w:r>
    </w:p>
    <w:p w:rsidR="00000000" w:rsidDel="00000000" w:rsidP="00000000" w:rsidRDefault="00000000" w:rsidRPr="00000000" w14:paraId="00000003">
      <w:pPr>
        <w:rPr>
          <w:sz w:val="40"/>
          <w:szCs w:val="40"/>
        </w:rPr>
      </w:pPr>
      <w:r w:rsidDel="00000000" w:rsidR="00000000" w:rsidRPr="00000000">
        <w:rPr>
          <w:rtl w:val="0"/>
        </w:rPr>
      </w:r>
    </w:p>
    <w:p w:rsidR="00000000" w:rsidDel="00000000" w:rsidP="00000000" w:rsidRDefault="00000000" w:rsidRPr="00000000" w14:paraId="00000004">
      <w:pPr>
        <w:rPr>
          <w:sz w:val="40"/>
          <w:szCs w:val="40"/>
        </w:rPr>
      </w:pPr>
      <w:r w:rsidDel="00000000" w:rsidR="00000000" w:rsidRPr="00000000">
        <w:rPr/>
        <w:drawing>
          <wp:inline distB="0" distT="0" distL="0" distR="0">
            <wp:extent cx="5724525" cy="4076700"/>
            <wp:effectExtent b="0" l="0" r="0" t="0"/>
            <wp:docPr id="2" name="image3.jpg"/>
            <a:graphic>
              <a:graphicData uri="http://schemas.openxmlformats.org/drawingml/2006/picture">
                <pic:pic>
                  <pic:nvPicPr>
                    <pic:cNvPr id="0" name="image3.jpg"/>
                    <pic:cNvPicPr preferRelativeResize="0"/>
                  </pic:nvPicPr>
                  <pic:blipFill>
                    <a:blip r:embed="rId7"/>
                    <a:srcRect b="0" l="0" r="0" t="0"/>
                    <a:stretch>
                      <a:fillRect/>
                    </a:stretch>
                  </pic:blipFill>
                  <pic:spPr>
                    <a:xfrm>
                      <a:off x="0" y="0"/>
                      <a:ext cx="5724525" cy="4076700"/>
                    </a:xfrm>
                    <a:prstGeom prst="rect"/>
                    <a:ln/>
                  </pic:spPr>
                </pic:pic>
              </a:graphicData>
            </a:graphic>
          </wp:inline>
        </w:drawing>
      </w:r>
      <w:r w:rsidDel="00000000" w:rsidR="00000000" w:rsidRPr="00000000">
        <w:rPr>
          <w:rtl w:val="0"/>
        </w:rPr>
      </w:r>
    </w:p>
    <w:p w:rsidR="00000000" w:rsidDel="00000000" w:rsidP="00000000" w:rsidRDefault="00000000" w:rsidRPr="00000000" w14:paraId="00000005">
      <w:pPr>
        <w:rPr>
          <w:sz w:val="40"/>
          <w:szCs w:val="40"/>
        </w:rPr>
      </w:pPr>
      <w:r w:rsidDel="00000000" w:rsidR="00000000" w:rsidRPr="00000000">
        <w:rPr>
          <w:rtl w:val="0"/>
        </w:rPr>
      </w:r>
    </w:p>
    <w:p w:rsidR="00000000" w:rsidDel="00000000" w:rsidP="00000000" w:rsidRDefault="00000000" w:rsidRPr="00000000" w14:paraId="00000006">
      <w:pPr>
        <w:rPr>
          <w:sz w:val="40"/>
          <w:szCs w:val="40"/>
        </w:rPr>
      </w:pPr>
      <w:r w:rsidDel="00000000" w:rsidR="00000000" w:rsidRPr="00000000">
        <w:rPr>
          <w:rtl w:val="0"/>
        </w:rPr>
      </w:r>
    </w:p>
    <w:p w:rsidR="00000000" w:rsidDel="00000000" w:rsidP="00000000" w:rsidRDefault="00000000" w:rsidRPr="00000000" w14:paraId="00000007">
      <w:pPr>
        <w:rPr>
          <w:sz w:val="40"/>
          <w:szCs w:val="40"/>
        </w:rPr>
      </w:pPr>
      <w:r w:rsidDel="00000000" w:rsidR="00000000" w:rsidRPr="00000000">
        <w:rPr>
          <w:rtl w:val="0"/>
        </w:rPr>
      </w:r>
    </w:p>
    <w:p w:rsidR="00000000" w:rsidDel="00000000" w:rsidP="00000000" w:rsidRDefault="00000000" w:rsidRPr="00000000" w14:paraId="00000008">
      <w:pPr>
        <w:rPr>
          <w:sz w:val="40"/>
          <w:szCs w:val="40"/>
        </w:rPr>
      </w:pPr>
      <w:r w:rsidDel="00000000" w:rsidR="00000000" w:rsidRPr="00000000">
        <w:rPr>
          <w:rtl w:val="0"/>
        </w:rPr>
      </w:r>
    </w:p>
    <w:p w:rsidR="00000000" w:rsidDel="00000000" w:rsidP="00000000" w:rsidRDefault="00000000" w:rsidRPr="00000000" w14:paraId="00000009">
      <w:pPr>
        <w:rPr>
          <w:sz w:val="40"/>
          <w:szCs w:val="40"/>
        </w:rPr>
      </w:pPr>
      <w:r w:rsidDel="00000000" w:rsidR="00000000" w:rsidRPr="00000000">
        <w:rPr>
          <w:sz w:val="40"/>
          <w:szCs w:val="40"/>
          <w:rtl w:val="0"/>
        </w:rPr>
        <w:t xml:space="preserve">Rosheena Thomas</w:t>
      </w:r>
    </w:p>
    <w:p w:rsidR="00000000" w:rsidDel="00000000" w:rsidP="00000000" w:rsidRDefault="00000000" w:rsidRPr="00000000" w14:paraId="0000000A">
      <w:pPr>
        <w:rPr>
          <w:sz w:val="40"/>
          <w:szCs w:val="40"/>
        </w:rPr>
      </w:pPr>
      <w:r w:rsidDel="00000000" w:rsidR="00000000" w:rsidRPr="00000000">
        <w:rPr>
          <w:sz w:val="40"/>
          <w:szCs w:val="40"/>
          <w:rtl w:val="0"/>
        </w:rPr>
        <w:t xml:space="preserve">2517123</w:t>
      </w:r>
    </w:p>
    <w:p w:rsidR="00000000" w:rsidDel="00000000" w:rsidP="00000000" w:rsidRDefault="00000000" w:rsidRPr="00000000" w14:paraId="0000000B">
      <w:pPr>
        <w:rPr>
          <w:rFonts w:ascii="Times New Roman" w:cs="Times New Roman" w:eastAsia="Times New Roman" w:hAnsi="Times New Roman"/>
          <w:b w:val="1"/>
          <w:bCs w:val="1"/>
          <w:u w:val="single"/>
        </w:rPr>
      </w:pPr>
      <w:r w:rsidDel="00000000" w:rsidR="00000000" w:rsidRPr="00000000">
        <w:rPr>
          <w:rtl w:val="0"/>
        </w:rPr>
      </w:r>
    </w:p>
    <w:p w:rsidR="00000000" w:rsidDel="00000000" w:rsidP="00000000" w:rsidRDefault="00000000" w:rsidRPr="00000000" w14:paraId="0000000C">
      <w:pPr>
        <w:rPr>
          <w:rFonts w:ascii="Times New Roman" w:cs="Times New Roman" w:eastAsia="Times New Roman" w:hAnsi="Times New Roman"/>
          <w:b w:val="1"/>
          <w:bCs w:val="1"/>
          <w:u w:val="single"/>
        </w:rPr>
      </w:pPr>
      <w:r w:rsidDel="00000000" w:rsidR="00000000" w:rsidRPr="00000000">
        <w:rPr>
          <w:rtl w:val="0"/>
        </w:rPr>
      </w:r>
    </w:p>
    <w:p w:rsidR="00000000" w:rsidDel="00000000" w:rsidP="00000000" w:rsidRDefault="00000000" w:rsidRPr="00000000" w14:paraId="0000000D">
      <w:pPr>
        <w:rPr>
          <w:sz w:val="40"/>
          <w:szCs w:val="40"/>
        </w:rPr>
      </w:pPr>
      <w:r w:rsidDel="00000000" w:rsidR="00000000" w:rsidRPr="00000000">
        <w:rPr>
          <w:rFonts w:ascii="Times New Roman" w:cs="Times New Roman" w:eastAsia="Times New Roman" w:hAnsi="Times New Roman"/>
          <w:b w:val="1"/>
          <w:bCs w:val="1"/>
          <w:u w:val="single"/>
          <w:rtl w:val="0"/>
        </w:rPr>
        <w:t xml:space="preserve">Contents page </w:t>
      </w:r>
      <w:r w:rsidDel="00000000" w:rsidR="00000000" w:rsidRPr="00000000">
        <w:rPr>
          <w:rtl w:val="0"/>
        </w:rPr>
      </w:r>
    </w:p>
    <w:p w:rsidR="00000000" w:rsidDel="00000000" w:rsidP="00000000" w:rsidRDefault="00000000" w:rsidRPr="00000000" w14:paraId="0000000E">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Introduction ....................  page 3</w:t>
      </w:r>
    </w:p>
    <w:p w:rsidR="00000000" w:rsidDel="00000000" w:rsidP="00000000" w:rsidRDefault="00000000" w:rsidRPr="00000000" w14:paraId="0000000F">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Case study ........................ page 4</w:t>
      </w:r>
    </w:p>
    <w:p w:rsidR="00000000" w:rsidDel="00000000" w:rsidP="00000000" w:rsidRDefault="00000000" w:rsidRPr="00000000" w14:paraId="00000010">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Overview of condition........pages 5</w:t>
      </w:r>
    </w:p>
    <w:p w:rsidR="00000000" w:rsidDel="00000000" w:rsidP="00000000" w:rsidRDefault="00000000" w:rsidRPr="00000000" w14:paraId="00000011">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Previous approaches to the condition ...... pages 5-6</w:t>
      </w:r>
    </w:p>
    <w:p w:rsidR="00000000" w:rsidDel="00000000" w:rsidP="00000000" w:rsidRDefault="00000000" w:rsidRPr="00000000" w14:paraId="00000012">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Current approaches to the condition .........pages 6-7</w:t>
      </w:r>
    </w:p>
    <w:p w:rsidR="00000000" w:rsidDel="00000000" w:rsidP="00000000" w:rsidRDefault="00000000" w:rsidRPr="00000000" w14:paraId="00000013">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Co-production.................. pages 8-9</w:t>
      </w:r>
    </w:p>
    <w:p w:rsidR="00000000" w:rsidDel="00000000" w:rsidP="00000000" w:rsidRDefault="00000000" w:rsidRPr="00000000" w14:paraId="00000014">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Clinical governance and supervision framework....pages 9-10</w:t>
      </w:r>
    </w:p>
    <w:p w:rsidR="00000000" w:rsidDel="00000000" w:rsidP="00000000" w:rsidRDefault="00000000" w:rsidRPr="00000000" w14:paraId="00000015">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Conclusion and recommendations......pages 10-11</w:t>
      </w:r>
    </w:p>
    <w:p w:rsidR="00000000" w:rsidDel="00000000" w:rsidP="00000000" w:rsidRDefault="00000000" w:rsidRPr="00000000" w14:paraId="00000016">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Reference list....... pages 12-13</w:t>
      </w:r>
    </w:p>
    <w:p w:rsidR="00000000" w:rsidDel="00000000" w:rsidP="00000000" w:rsidRDefault="00000000" w:rsidRPr="00000000" w14:paraId="00000017">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Appendices....... pages 14-15</w:t>
      </w:r>
    </w:p>
    <w:p w:rsidR="00000000" w:rsidDel="00000000" w:rsidP="00000000" w:rsidRDefault="00000000" w:rsidRPr="00000000" w14:paraId="00000018">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9">
      <w:pPr>
        <w:rPr>
          <w:sz w:val="40"/>
          <w:szCs w:val="40"/>
        </w:rPr>
      </w:pPr>
      <w:r w:rsidDel="00000000" w:rsidR="00000000" w:rsidRPr="00000000">
        <w:rPr>
          <w:rtl w:val="0"/>
        </w:rPr>
      </w:r>
    </w:p>
    <w:p w:rsidR="00000000" w:rsidDel="00000000" w:rsidP="00000000" w:rsidRDefault="00000000" w:rsidRPr="00000000" w14:paraId="0000001A">
      <w:pPr>
        <w:rPr>
          <w:sz w:val="40"/>
          <w:szCs w:val="40"/>
        </w:rPr>
      </w:pPr>
      <w:r w:rsidDel="00000000" w:rsidR="00000000" w:rsidRPr="00000000">
        <w:rPr>
          <w:rtl w:val="0"/>
        </w:rPr>
      </w:r>
    </w:p>
    <w:p w:rsidR="00000000" w:rsidDel="00000000" w:rsidP="00000000" w:rsidRDefault="00000000" w:rsidRPr="00000000" w14:paraId="0000001B">
      <w:pPr>
        <w:rPr>
          <w:sz w:val="40"/>
          <w:szCs w:val="40"/>
        </w:rPr>
      </w:pPr>
      <w:r w:rsidDel="00000000" w:rsidR="00000000" w:rsidRPr="00000000">
        <w:rPr>
          <w:rtl w:val="0"/>
        </w:rPr>
      </w:r>
    </w:p>
    <w:p w:rsidR="00000000" w:rsidDel="00000000" w:rsidP="00000000" w:rsidRDefault="00000000" w:rsidRPr="00000000" w14:paraId="0000001C">
      <w:pPr>
        <w:rPr>
          <w:sz w:val="40"/>
          <w:szCs w:val="40"/>
        </w:rPr>
      </w:pPr>
      <w:r w:rsidDel="00000000" w:rsidR="00000000" w:rsidRPr="00000000">
        <w:rPr>
          <w:rtl w:val="0"/>
        </w:rPr>
      </w:r>
    </w:p>
    <w:p w:rsidR="00000000" w:rsidDel="00000000" w:rsidP="00000000" w:rsidRDefault="00000000" w:rsidRPr="00000000" w14:paraId="0000001D">
      <w:pPr>
        <w:rPr>
          <w:sz w:val="40"/>
          <w:szCs w:val="40"/>
        </w:rPr>
      </w:pPr>
      <w:r w:rsidDel="00000000" w:rsidR="00000000" w:rsidRPr="00000000">
        <w:rPr>
          <w:rtl w:val="0"/>
        </w:rPr>
      </w:r>
    </w:p>
    <w:p w:rsidR="00000000" w:rsidDel="00000000" w:rsidP="00000000" w:rsidRDefault="00000000" w:rsidRPr="00000000" w14:paraId="0000001E">
      <w:pPr>
        <w:rPr>
          <w:sz w:val="40"/>
          <w:szCs w:val="40"/>
        </w:rPr>
      </w:pPr>
      <w:r w:rsidDel="00000000" w:rsidR="00000000" w:rsidRPr="00000000">
        <w:rPr>
          <w:rtl w:val="0"/>
        </w:rPr>
      </w:r>
    </w:p>
    <w:p w:rsidR="00000000" w:rsidDel="00000000" w:rsidP="00000000" w:rsidRDefault="00000000" w:rsidRPr="00000000" w14:paraId="0000001F">
      <w:pPr>
        <w:rPr>
          <w:sz w:val="40"/>
          <w:szCs w:val="40"/>
        </w:rPr>
      </w:pPr>
      <w:r w:rsidDel="00000000" w:rsidR="00000000" w:rsidRPr="00000000">
        <w:rPr>
          <w:rtl w:val="0"/>
        </w:rPr>
      </w:r>
    </w:p>
    <w:p w:rsidR="00000000" w:rsidDel="00000000" w:rsidP="00000000" w:rsidRDefault="00000000" w:rsidRPr="00000000" w14:paraId="00000020">
      <w:pPr>
        <w:rPr>
          <w:sz w:val="40"/>
          <w:szCs w:val="40"/>
        </w:rPr>
      </w:pPr>
      <w:r w:rsidDel="00000000" w:rsidR="00000000" w:rsidRPr="00000000">
        <w:rPr>
          <w:rtl w:val="0"/>
        </w:rPr>
      </w:r>
    </w:p>
    <w:p w:rsidR="00000000" w:rsidDel="00000000" w:rsidP="00000000" w:rsidRDefault="00000000" w:rsidRPr="00000000" w14:paraId="00000021">
      <w:pPr>
        <w:rPr>
          <w:sz w:val="40"/>
          <w:szCs w:val="40"/>
        </w:rPr>
      </w:pPr>
      <w:r w:rsidDel="00000000" w:rsidR="00000000" w:rsidRPr="00000000">
        <w:rPr>
          <w:rtl w:val="0"/>
        </w:rPr>
      </w:r>
    </w:p>
    <w:p w:rsidR="00000000" w:rsidDel="00000000" w:rsidP="00000000" w:rsidRDefault="00000000" w:rsidRPr="00000000" w14:paraId="00000022">
      <w:pPr>
        <w:rPr>
          <w:sz w:val="40"/>
          <w:szCs w:val="40"/>
        </w:rPr>
      </w:pPr>
      <w:r w:rsidDel="00000000" w:rsidR="00000000" w:rsidRPr="00000000">
        <w:rPr>
          <w:rtl w:val="0"/>
        </w:rPr>
      </w:r>
    </w:p>
    <w:p w:rsidR="00000000" w:rsidDel="00000000" w:rsidP="00000000" w:rsidRDefault="00000000" w:rsidRPr="00000000" w14:paraId="00000023">
      <w:pPr>
        <w:rPr>
          <w:sz w:val="40"/>
          <w:szCs w:val="40"/>
        </w:rPr>
      </w:pPr>
      <w:r w:rsidDel="00000000" w:rsidR="00000000" w:rsidRPr="00000000">
        <w:rPr>
          <w:rtl w:val="0"/>
        </w:rPr>
      </w:r>
    </w:p>
    <w:p w:rsidR="00000000" w:rsidDel="00000000" w:rsidP="00000000" w:rsidRDefault="00000000" w:rsidRPr="00000000" w14:paraId="00000024">
      <w:pPr>
        <w:rPr>
          <w:rFonts w:ascii="Times New Roman" w:cs="Times New Roman" w:eastAsia="Times New Roman" w:hAnsi="Times New Roman"/>
          <w:b w:val="1"/>
          <w:bCs w:val="1"/>
          <w:u w:val="single"/>
        </w:rPr>
      </w:pPr>
      <w:r w:rsidDel="00000000" w:rsidR="00000000" w:rsidRPr="00000000">
        <w:rPr>
          <w:rFonts w:ascii="Times New Roman" w:cs="Times New Roman" w:eastAsia="Times New Roman" w:hAnsi="Times New Roman"/>
          <w:b w:val="1"/>
          <w:bCs w:val="1"/>
          <w:u w:val="single"/>
          <w:rtl w:val="0"/>
        </w:rPr>
        <w:t xml:space="preserve">Introduction</w:t>
      </w:r>
    </w:p>
    <w:p w:rsidR="00000000" w:rsidDel="00000000" w:rsidP="00000000" w:rsidRDefault="00000000" w:rsidRPr="00000000" w14:paraId="00000025">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Dementia is a progressive condition that affects memory, thinking, and behaviour.  Over time, individuals may experience increasing difficulties with daily activities, communication, and decision-making.  The impact of dementia varies from person to person, but it often leads to a gradual decline in independence, requiring more support from family, carers, and healthcare professionals.  It is not a single disease, but a term used to describe a range of conditions, with Alzheimer's disease being the most common form.  Over the years, approaches to dementia treatment have evolved significantly.  In recent years there has been a limited knowledge and understanding of the condition.</w:t>
      </w:r>
    </w:p>
    <w:p w:rsidR="00000000" w:rsidDel="00000000" w:rsidP="00000000" w:rsidRDefault="00000000" w:rsidRPr="00000000" w14:paraId="00000026">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In recent decades, there has been a shift towards more holistic and person-centred approaches in dementia care. Medical treatments, and medication can help to manage symptoms; while non-pharmacological interventions like cognitive stimulation, physical activity, and social engagement have gained recognition for their positive effects on quality of life. This evolution reflects a growing understanding of the complex needs of those living with dementia and highlights the importance of tailored support in promoting dignity and wellbeing.</w:t>
      </w:r>
    </w:p>
    <w:p w:rsidR="00000000" w:rsidDel="00000000" w:rsidP="00000000" w:rsidRDefault="00000000" w:rsidRPr="00000000" w14:paraId="00000027">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Ongoing research into dementia has also paved the way for innovative therapies and support strategies, with a particular focus on enhancing communication techniques and fostering meaningful relationships.  Efforts to reduce stigma and raise public awareness have made it easier for individuals and families to access resources and community programmes, helping them to navigate the challenges posed by dementia with greater confidence.  As society continues to adapt, the emphasis on compassionate care and ongoing education remains crucial in improving outcomes and enriching the lives of those affected.</w:t>
      </w:r>
    </w:p>
    <w:p w:rsidR="00000000" w:rsidDel="00000000" w:rsidP="00000000" w:rsidRDefault="00000000" w:rsidRPr="00000000" w14:paraId="00000028">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9">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A">
      <w:pPr>
        <w:rPr>
          <w:rFonts w:ascii="Times New Roman" w:cs="Times New Roman" w:eastAsia="Times New Roman" w:hAnsi="Times New Roman"/>
          <w:b w:val="1"/>
          <w:bCs w:val="1"/>
          <w:u w:val="single"/>
        </w:rPr>
      </w:pPr>
      <w:r w:rsidDel="00000000" w:rsidR="00000000" w:rsidRPr="00000000">
        <w:rPr>
          <w:rtl w:val="0"/>
        </w:rPr>
      </w:r>
    </w:p>
    <w:p w:rsidR="00000000" w:rsidDel="00000000" w:rsidP="00000000" w:rsidRDefault="00000000" w:rsidRPr="00000000" w14:paraId="0000002B">
      <w:pPr>
        <w:rPr>
          <w:rFonts w:ascii="Times New Roman" w:cs="Times New Roman" w:eastAsia="Times New Roman" w:hAnsi="Times New Roman"/>
          <w:b w:val="1"/>
          <w:bCs w:val="1"/>
          <w:u w:val="single"/>
        </w:rPr>
      </w:pPr>
      <w:r w:rsidDel="00000000" w:rsidR="00000000" w:rsidRPr="00000000">
        <w:rPr>
          <w:rtl w:val="0"/>
        </w:rPr>
      </w:r>
    </w:p>
    <w:p w:rsidR="00000000" w:rsidDel="00000000" w:rsidP="00000000" w:rsidRDefault="00000000" w:rsidRPr="00000000" w14:paraId="0000002C">
      <w:pPr>
        <w:rPr>
          <w:rFonts w:ascii="Times New Roman" w:cs="Times New Roman" w:eastAsia="Times New Roman" w:hAnsi="Times New Roman"/>
          <w:b w:val="1"/>
          <w:bCs w:val="1"/>
          <w:u w:val="single"/>
        </w:rPr>
      </w:pPr>
      <w:r w:rsidDel="00000000" w:rsidR="00000000" w:rsidRPr="00000000">
        <w:rPr>
          <w:rtl w:val="0"/>
        </w:rPr>
      </w:r>
    </w:p>
    <w:p w:rsidR="00000000" w:rsidDel="00000000" w:rsidP="00000000" w:rsidRDefault="00000000" w:rsidRPr="00000000" w14:paraId="0000002D">
      <w:pPr>
        <w:rPr>
          <w:rFonts w:ascii="Times New Roman" w:cs="Times New Roman" w:eastAsia="Times New Roman" w:hAnsi="Times New Roman"/>
          <w:b w:val="1"/>
          <w:bCs w:val="1"/>
          <w:u w:val="single"/>
        </w:rPr>
      </w:pPr>
      <w:r w:rsidDel="00000000" w:rsidR="00000000" w:rsidRPr="00000000">
        <w:rPr>
          <w:rtl w:val="0"/>
        </w:rPr>
      </w:r>
    </w:p>
    <w:p w:rsidR="00000000" w:rsidDel="00000000" w:rsidP="00000000" w:rsidRDefault="00000000" w:rsidRPr="00000000" w14:paraId="0000002E">
      <w:pPr>
        <w:rPr>
          <w:rFonts w:ascii="Times New Roman" w:cs="Times New Roman" w:eastAsia="Times New Roman" w:hAnsi="Times New Roman"/>
          <w:b w:val="1"/>
          <w:bCs w:val="1"/>
          <w:u w:val="single"/>
        </w:rPr>
      </w:pPr>
      <w:r w:rsidDel="00000000" w:rsidR="00000000" w:rsidRPr="00000000">
        <w:rPr>
          <w:rtl w:val="0"/>
        </w:rPr>
      </w:r>
    </w:p>
    <w:p w:rsidR="00000000" w:rsidDel="00000000" w:rsidP="00000000" w:rsidRDefault="00000000" w:rsidRPr="00000000" w14:paraId="0000002F">
      <w:pPr>
        <w:rPr>
          <w:rFonts w:ascii="Times New Roman" w:cs="Times New Roman" w:eastAsia="Times New Roman" w:hAnsi="Times New Roman"/>
          <w:b w:val="1"/>
          <w:bCs w:val="1"/>
          <w:u w:val="single"/>
        </w:rPr>
      </w:pPr>
      <w:r w:rsidDel="00000000" w:rsidR="00000000" w:rsidRPr="00000000">
        <w:rPr>
          <w:rtl w:val="0"/>
        </w:rPr>
      </w:r>
    </w:p>
    <w:p w:rsidR="00000000" w:rsidDel="00000000" w:rsidP="00000000" w:rsidRDefault="00000000" w:rsidRPr="00000000" w14:paraId="00000030">
      <w:pPr>
        <w:rPr>
          <w:rFonts w:ascii="Times New Roman" w:cs="Times New Roman" w:eastAsia="Times New Roman" w:hAnsi="Times New Roman"/>
          <w:b w:val="1"/>
          <w:bCs w:val="1"/>
          <w:u w:val="single"/>
        </w:rPr>
      </w:pPr>
      <w:r w:rsidDel="00000000" w:rsidR="00000000" w:rsidRPr="00000000">
        <w:rPr>
          <w:rtl w:val="0"/>
        </w:rPr>
      </w:r>
    </w:p>
    <w:p w:rsidR="00000000" w:rsidDel="00000000" w:rsidP="00000000" w:rsidRDefault="00000000" w:rsidRPr="00000000" w14:paraId="00000031">
      <w:pPr>
        <w:rPr>
          <w:rFonts w:ascii="Times New Roman" w:cs="Times New Roman" w:eastAsia="Times New Roman" w:hAnsi="Times New Roman"/>
          <w:b w:val="1"/>
          <w:bCs w:val="1"/>
          <w:u w:val="single"/>
        </w:rPr>
      </w:pPr>
      <w:r w:rsidDel="00000000" w:rsidR="00000000" w:rsidRPr="00000000">
        <w:rPr>
          <w:rtl w:val="0"/>
        </w:rPr>
      </w:r>
    </w:p>
    <w:p w:rsidR="00000000" w:rsidDel="00000000" w:rsidP="00000000" w:rsidRDefault="00000000" w:rsidRPr="00000000" w14:paraId="00000032">
      <w:pPr>
        <w:rPr>
          <w:rFonts w:ascii="Times New Roman" w:cs="Times New Roman" w:eastAsia="Times New Roman" w:hAnsi="Times New Roman"/>
          <w:b w:val="1"/>
          <w:bCs w:val="1"/>
          <w:u w:val="single"/>
        </w:rPr>
      </w:pPr>
      <w:r w:rsidDel="00000000" w:rsidR="00000000" w:rsidRPr="00000000">
        <w:rPr>
          <w:rtl w:val="0"/>
        </w:rPr>
      </w:r>
    </w:p>
    <w:p w:rsidR="00000000" w:rsidDel="00000000" w:rsidP="00000000" w:rsidRDefault="00000000" w:rsidRPr="00000000" w14:paraId="00000033">
      <w:pPr>
        <w:rPr>
          <w:rFonts w:ascii="Times New Roman" w:cs="Times New Roman" w:eastAsia="Times New Roman" w:hAnsi="Times New Roman"/>
          <w:b w:val="1"/>
          <w:bCs w:val="1"/>
          <w:u w:val="single"/>
        </w:rPr>
      </w:pPr>
      <w:r w:rsidDel="00000000" w:rsidR="00000000" w:rsidRPr="00000000">
        <w:rPr>
          <w:rtl w:val="0"/>
        </w:rPr>
      </w:r>
    </w:p>
    <w:p w:rsidR="00000000" w:rsidDel="00000000" w:rsidP="00000000" w:rsidRDefault="00000000" w:rsidRPr="00000000" w14:paraId="00000034">
      <w:pPr>
        <w:rPr>
          <w:rFonts w:ascii="Times New Roman" w:cs="Times New Roman" w:eastAsia="Times New Roman" w:hAnsi="Times New Roman"/>
          <w:b w:val="1"/>
          <w:bCs w:val="1"/>
          <w:u w:val="single"/>
        </w:rPr>
      </w:pPr>
      <w:r w:rsidDel="00000000" w:rsidR="00000000" w:rsidRPr="00000000">
        <w:rPr>
          <w:rFonts w:ascii="Times New Roman" w:cs="Times New Roman" w:eastAsia="Times New Roman" w:hAnsi="Times New Roman"/>
          <w:b w:val="1"/>
          <w:bCs w:val="1"/>
          <w:u w:val="single"/>
          <w:rtl w:val="0"/>
        </w:rPr>
        <w:t xml:space="preserve">Case Study</w:t>
      </w:r>
    </w:p>
    <w:p w:rsidR="00000000" w:rsidDel="00000000" w:rsidP="00000000" w:rsidRDefault="00000000" w:rsidRPr="00000000" w14:paraId="00000035">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36">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Mrs T is an 82-year-old woman with Alzheimer's disease.  She lives in her own home; she receives support from her daughter.  Initially Mrs T began experiencing memory loss, confusion and difficulty managing daily tasks.  Following on from a referral from her GP to the local memory clinic, Mrs T underwent cognitive assessments and was formally diagnosed with Alzheimer's disease.  </w:t>
      </w:r>
    </w:p>
    <w:p w:rsidR="00000000" w:rsidDel="00000000" w:rsidP="00000000" w:rsidRDefault="00000000" w:rsidRPr="00000000" w14:paraId="00000037">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Mrs T had a fall at home, which resulted in her being admitted to an elderly care ward.  This fall highlighted the increased risks associated with her cognitive decline in recent months, impacting on her safety awareness and impairing her judgement, these are most associated with dementia (Alzheimer’s Society, 2023).</w:t>
      </w:r>
    </w:p>
    <w:p w:rsidR="00000000" w:rsidDel="00000000" w:rsidP="00000000" w:rsidRDefault="00000000" w:rsidRPr="00000000" w14:paraId="00000038">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Mrs T experiences signs of cognitive decline and mild physical frailty, which are symptoms consistent with the progression of her Alzheimer's, this includes memory issues, reduced mobility and difficulties around task sequencing.  Neurodegeneration associated with Alzheimer’s disease leads to accumulation of amyloid plaques and tau tangles in the brain that has a contributing effect on cognitive decline (Breijyeh and Karaman, 2020).</w:t>
      </w:r>
    </w:p>
    <w:p w:rsidR="00000000" w:rsidDel="00000000" w:rsidP="00000000" w:rsidRDefault="00000000" w:rsidRPr="00000000" w14:paraId="00000039">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Mrs T has been experiencing frequent anxiety and brief episodes of aggression that often lead to her being physically aggressive towards her daughter and ward staff.  These symptoms are often linked to her frustration when her ability to communicate her wants and needs are impacted by her confusion.  Mrs T’s agitation has had an impact on her ability in engagement in social settings, this is causing an increased withdrawal from these settings and in turn Mrs T is becoming more dependent on her daughter.</w:t>
      </w:r>
    </w:p>
    <w:p w:rsidR="00000000" w:rsidDel="00000000" w:rsidP="00000000" w:rsidRDefault="00000000" w:rsidRPr="00000000" w14:paraId="0000003A">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therapy assistant practitioner (TAP) plays a vital role in supporting Mrs t as part of the multidisciplinary team.  Tailored interventions such as cognitive stimulation therapy (CST), have been shown to improve cognitive functioning and give a better quality of life for a person with dementia (Spector et al.,2023).  The TAP supports maintaining independence and functional abilities, by using daily activities.  A kitchen assessment was conducted as part of the functional assessment.  This intervention is structured to identify any difficulties in sequencing tasks.  While Mrs T was physically able to make a cup of tea, she needed prompting due to her cognitive decline.  This assessment led Mrs T to become frustrated and highlighted the emotional impact in her declining independence. </w:t>
      </w:r>
    </w:p>
    <w:p w:rsidR="00000000" w:rsidDel="00000000" w:rsidP="00000000" w:rsidRDefault="00000000" w:rsidRPr="00000000" w14:paraId="0000003B">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Mrs T assessments highlighted that a tailored intervention was needed by using step by step cues and environmental adaptions, allowing to support Mrs T to maintain independence and reduce any risks that may impact tasks and improve Mrs T quality of life and a decrease in agitation. </w:t>
      </w:r>
    </w:p>
    <w:p w:rsidR="00000000" w:rsidDel="00000000" w:rsidP="00000000" w:rsidRDefault="00000000" w:rsidRPr="00000000" w14:paraId="0000003C">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3D">
      <w:pPr>
        <w:rPr>
          <w:rFonts w:ascii="Times New Roman" w:cs="Times New Roman" w:eastAsia="Times New Roman" w:hAnsi="Times New Roman"/>
          <w:b w:val="1"/>
          <w:bCs w:val="1"/>
          <w:u w:val="single"/>
        </w:rPr>
      </w:pPr>
      <w:r w:rsidDel="00000000" w:rsidR="00000000" w:rsidRPr="00000000">
        <w:rPr>
          <w:rtl w:val="0"/>
        </w:rPr>
      </w:r>
    </w:p>
    <w:p w:rsidR="00000000" w:rsidDel="00000000" w:rsidP="00000000" w:rsidRDefault="00000000" w:rsidRPr="00000000" w14:paraId="0000003E">
      <w:pPr>
        <w:rPr>
          <w:rFonts w:ascii="Times New Roman" w:cs="Times New Roman" w:eastAsia="Times New Roman" w:hAnsi="Times New Roman"/>
          <w:b w:val="1"/>
          <w:bCs w:val="1"/>
          <w:u w:val="single"/>
        </w:rPr>
      </w:pPr>
      <w:r w:rsidDel="00000000" w:rsidR="00000000" w:rsidRPr="00000000">
        <w:rPr>
          <w:rtl w:val="0"/>
        </w:rPr>
      </w:r>
    </w:p>
    <w:p w:rsidR="00000000" w:rsidDel="00000000" w:rsidP="00000000" w:rsidRDefault="00000000" w:rsidRPr="00000000" w14:paraId="0000003F">
      <w:pPr>
        <w:rPr>
          <w:rFonts w:ascii="Times New Roman" w:cs="Times New Roman" w:eastAsia="Times New Roman" w:hAnsi="Times New Roman"/>
          <w:b w:val="1"/>
          <w:bCs w:val="1"/>
          <w:u w:val="single"/>
        </w:rPr>
      </w:pPr>
      <w:r w:rsidDel="00000000" w:rsidR="00000000" w:rsidRPr="00000000">
        <w:rPr>
          <w:rFonts w:ascii="Times New Roman" w:cs="Times New Roman" w:eastAsia="Times New Roman" w:hAnsi="Times New Roman"/>
          <w:b w:val="1"/>
          <w:bCs w:val="1"/>
          <w:u w:val="single"/>
          <w:rtl w:val="0"/>
        </w:rPr>
        <w:t xml:space="preserve">Overview of the condition</w:t>
      </w:r>
    </w:p>
    <w:p w:rsidR="00000000" w:rsidDel="00000000" w:rsidP="00000000" w:rsidRDefault="00000000" w:rsidRPr="00000000" w14:paraId="00000040">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41">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Dementia is a progressive neurological condition that causes a decline in cognition.  The most common cause of dementia is Alzheimer's disease, which accounts for approximately 60-70% of cases worldwide (World health Organization,2023). Worldwide around 55 million individuals suffer from dementia.  With the rise in the aging population, it is expected to rise to 139 million by 2050.  In the UK alone it is estimated that 900,000 individuals suffer with the disease, making dementia the leading cause of disability and dependency in the older adults.</w:t>
      </w:r>
    </w:p>
    <w:p w:rsidR="00000000" w:rsidDel="00000000" w:rsidP="00000000" w:rsidRDefault="00000000" w:rsidRPr="00000000" w14:paraId="00000042">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Dementia does not just affect the individual; it has an impact on families and the overall healthcare system.  Individuals with dementia often experience symptoms like memory loss, confusion, difficulty in communicating and changes in behaviours.  The symptoms they experience can lead to a variety of changes such as, a loss of independence, increased need for support and can cause strain on relationships with family members.  If the individual is needing support at home or a placement in a care facility, this can lead to financial hardship and in some cases, they become a burden on family (Brodaty and Donkin, 2009).</w:t>
      </w:r>
    </w:p>
    <w:p w:rsidR="00000000" w:rsidDel="00000000" w:rsidP="00000000" w:rsidRDefault="00000000" w:rsidRPr="00000000" w14:paraId="00000043">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Access to services remains a challenge and causes a delay in diagnosis.  This can be from lack of awareness and stigma.  Access to services such as memory clinics and community-based support can be inconsistent due to multiple factors such as location, transport and often needing family support to get to appointments. (National Institute and Care Excellence, 2018). </w:t>
      </w:r>
    </w:p>
    <w:p w:rsidR="00000000" w:rsidDel="00000000" w:rsidP="00000000" w:rsidRDefault="00000000" w:rsidRPr="00000000" w14:paraId="00000044">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45">
      <w:pPr>
        <w:rPr>
          <w:rFonts w:ascii="Times New Roman" w:cs="Times New Roman" w:eastAsia="Times New Roman" w:hAnsi="Times New Roman"/>
          <w:b w:val="1"/>
          <w:bCs w:val="1"/>
          <w:u w:val="single"/>
        </w:rPr>
      </w:pPr>
      <w:r w:rsidDel="00000000" w:rsidR="00000000" w:rsidRPr="00000000">
        <w:rPr>
          <w:rFonts w:ascii="Times New Roman" w:cs="Times New Roman" w:eastAsia="Times New Roman" w:hAnsi="Times New Roman"/>
          <w:b w:val="1"/>
          <w:bCs w:val="1"/>
          <w:u w:val="single"/>
          <w:rtl w:val="0"/>
        </w:rPr>
        <w:t xml:space="preserve">Previous approaches to the condition</w:t>
      </w:r>
    </w:p>
    <w:p w:rsidR="00000000" w:rsidDel="00000000" w:rsidP="00000000" w:rsidRDefault="00000000" w:rsidRPr="00000000" w14:paraId="00000046">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Historically dementia has been seen as a factor of the aging process, rather than a medical condition.  In the early twentieth century, individuals with dementia would often be placed in long-term institutions; these institutions had a very limited understanding of dementia and had limited therapeutic interventions.  Institutions focused more on how to manage behaviours rather than improving quality of life and using a person-centred approach. In the 1970s and 1980s as research began to develop, dementia was recognised as a progressive neurological condition, with Alzheimer's disease being at the fore front; and leading on to improvements in treatments, therapeutic approaches and the way it would be diagnosed. (Small, 2002).</w:t>
      </w:r>
    </w:p>
    <w:p w:rsidR="00000000" w:rsidDel="00000000" w:rsidP="00000000" w:rsidRDefault="00000000" w:rsidRPr="00000000" w14:paraId="00000047">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During the earlier days medication was heavily used to treat dementia patients, often leading to patients being heavily sedated.  During the 1990s, cholinesterase inhibitors such as rivastigmine, galantamine and donepezil were used to slow down cognitive decline of Alzheimer's disease.  These medications could aid in commination between the nerve cells in the brain and were considered at the time an advance in dementia treatment (Geldmacher, 2002).  As research continued to develop it found these medications did not slow down cognitive decline, it temporarily reduced symptoms. </w:t>
      </w:r>
    </w:p>
    <w:p w:rsidR="00000000" w:rsidDel="00000000" w:rsidP="00000000" w:rsidRDefault="00000000" w:rsidRPr="00000000" w14:paraId="00000048">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Patients in hospitals were treated with task-oriented, and generic routines, this often-escalated patients to become agitated and distressed as they did not consider the patients preference; this was reducing their quality of life.  Over time as research developed and progressed it was promoted by researchers that patients with dementia should be treated as individuals and this led to the development of person cantered care, with the aim to improve the quality of life, dignity and respect (Bryden, 2002).  In recent decades the use of CST and cognitive rehabilitation have become more common, these interventions have aimed to aid in the improvement of communication, memory and independence, though it is not a cure, evidence suggests these therapeutic approaches can improve quality of life (NHS, 2003). </w:t>
      </w:r>
    </w:p>
    <w:p w:rsidR="00000000" w:rsidDel="00000000" w:rsidP="00000000" w:rsidRDefault="00000000" w:rsidRPr="00000000" w14:paraId="00000049">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Historically there has always been a lack of support for families and carers of individuals with dementia. As well as families having a lack of support, carers would receive minimal education and emotional support, and this would have an impact on the individual and their families.  Caring for individuals.  Current evidence has highlighted the importance of care planning and having families and carers involved in decision making and providing education and support throughout the progression of dementia (NICE, 2018).</w:t>
      </w:r>
    </w:p>
    <w:p w:rsidR="00000000" w:rsidDel="00000000" w:rsidP="00000000" w:rsidRDefault="00000000" w:rsidRPr="00000000" w14:paraId="0000004A">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Overall, the previous approaches mainly focused on medication management and institutional facilities.  As research has developed there has been more of a person-centred approach and more involvement with therapies and holistic approaches.  While these interventions have improved quality of life, independence and improvement of social needs, dementia remains a progressive neurological disease that has no cure; ongoing research is still essential. </w:t>
      </w:r>
    </w:p>
    <w:p w:rsidR="00000000" w:rsidDel="00000000" w:rsidP="00000000" w:rsidRDefault="00000000" w:rsidRPr="00000000" w14:paraId="0000004B">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4C">
      <w:pPr>
        <w:rPr>
          <w:rFonts w:ascii="Times New Roman" w:cs="Times New Roman" w:eastAsia="Times New Roman" w:hAnsi="Times New Roman"/>
          <w:b w:val="1"/>
          <w:bCs w:val="1"/>
          <w:u w:val="single"/>
        </w:rPr>
      </w:pPr>
      <w:r w:rsidDel="00000000" w:rsidR="00000000" w:rsidRPr="00000000">
        <w:rPr>
          <w:rFonts w:ascii="Times New Roman" w:cs="Times New Roman" w:eastAsia="Times New Roman" w:hAnsi="Times New Roman"/>
          <w:b w:val="1"/>
          <w:bCs w:val="1"/>
          <w:u w:val="single"/>
          <w:rtl w:val="0"/>
        </w:rPr>
        <w:t xml:space="preserve">Current approaches to dementia </w:t>
      </w:r>
    </w:p>
    <w:p w:rsidR="00000000" w:rsidDel="00000000" w:rsidP="00000000" w:rsidRDefault="00000000" w:rsidRPr="00000000" w14:paraId="0000004D">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Currently the approach to dementia care has shifted to a more holistic and person-centred approach.  Modern practice of dementia care has more of a focus on maintaining independence, dignity, wellbeing and improving the person's quality of life, while using medication and medical interventions.  The multi-disciplinary team collaborates to ensure the person receives the appropriate care from each team and the TAP has a strong role in supporting and providing care for the individual.</w:t>
      </w:r>
    </w:p>
    <w:p w:rsidR="00000000" w:rsidDel="00000000" w:rsidP="00000000" w:rsidRDefault="00000000" w:rsidRPr="00000000" w14:paraId="0000004E">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As research evolves one major development in dementia care is the use of person-centred approaches.  This approach was influenced by Kitwoods’s theory that individuals with dementia should be treated as unique people rather than simply patients with cognitive decline (Kitwood, T. 1997).  This approach involves understanding the person's communication style, preferences and their life history to help reduce distress and improve the person's wellbeing (Manthrope and Samsi, 2016).  In a clinical setting TAPs can adapt communication approaches to ensure that the person's needs are met so they feel listened to, this can then contribute to reductions in emotional distress; other ways they can contribute is reducing environmental triggers and providing reassurance to support patients during interventions.</w:t>
      </w:r>
    </w:p>
    <w:p w:rsidR="00000000" w:rsidDel="00000000" w:rsidP="00000000" w:rsidRDefault="00000000" w:rsidRPr="00000000" w14:paraId="0000004F">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use of medications is still vital in dementia care; it is important that these medications are reviewed regularly and adjusted when needed.  Medications used in the 1990s are still used today for mild to moderate Alzheimer's disease, while Memantine is used for moderate to serve stages (NHS,2024).  These medications for dementia aid in managing symptoms, improving memory to support daily tasks.  Evidence suggests that while the medication may help with slowing down symptom progression, they do not cure dementia or prevent neurological decline in the long term (O’Brien et al., 2018).  This highlights the importance of a combination of medication and therapeutic interventions. </w:t>
      </w:r>
    </w:p>
    <w:p w:rsidR="00000000" w:rsidDel="00000000" w:rsidP="00000000" w:rsidRDefault="00000000" w:rsidRPr="00000000" w14:paraId="00000050">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Technology has fast become an approach in dementia care, using sensor alarms on doors and on beds and chairs to alert family members, if a person tries to leave the property during the night and if the person is a fall risk.  These can aid in promoting independence, improving wellbeing and allowing the individual to remain in their own home.  (Alzheimer's Society, 2023).   Electronic notes are used in some clinical settings and have pathways that can help identify a patient's needs.  However, these systems can be costly, and not all clinical settings have access, this can cause challenges to the patients care. </w:t>
      </w:r>
    </w:p>
    <w:p w:rsidR="00000000" w:rsidDel="00000000" w:rsidP="00000000" w:rsidRDefault="00000000" w:rsidRPr="00000000" w14:paraId="00000051">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Family involvement is fundamental in dementia care, and families are encouraged to participate in care planning meetings and in some cases, decision making and advocating for patients when they are incapable of making safe decisions for themselves.  Often family members live with patients and are full time carers (NICE, 2018).  This approach allows family members to feel supported and can aid in getting support with emotional, physical and financial strain.  TAPs can support sign posting to organisations, support groups and gaining support at home for all aspects of care and daily tasks.</w:t>
      </w:r>
    </w:p>
    <w:p w:rsidR="00000000" w:rsidDel="00000000" w:rsidP="00000000" w:rsidRDefault="00000000" w:rsidRPr="00000000" w14:paraId="00000052">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Despite improvements in dementia care there are still challenges that affect healthcare services. As generations are living longer dementia cases are increasing and puts pressure on the need for specialist services and long-term care needs and trained healthcare professionals.  Limited funding, staff shortages and delays in diagnosis can negatively impact patients' treatment and outcomes.</w:t>
      </w:r>
    </w:p>
    <w:p w:rsidR="00000000" w:rsidDel="00000000" w:rsidP="00000000" w:rsidRDefault="00000000" w:rsidRPr="00000000" w14:paraId="00000053">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Overall, the current approaches to dementia show a clear progression from, institutions and medication being a large factor and now dementia care is more focused on person centred care and evidence-based practise and ensuring that the person's needs and wants are met with dignity and compassion. While there is no cure for dementia, modernised interventions improve quality of life and support patients and families as the condition progresses.</w:t>
      </w:r>
    </w:p>
    <w:p w:rsidR="00000000" w:rsidDel="00000000" w:rsidP="00000000" w:rsidRDefault="00000000" w:rsidRPr="00000000" w14:paraId="00000054">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55">
      <w:pPr>
        <w:rPr>
          <w:rFonts w:ascii="Times New Roman" w:cs="Times New Roman" w:eastAsia="Times New Roman" w:hAnsi="Times New Roman"/>
          <w:b w:val="1"/>
          <w:bCs w:val="1"/>
          <w:u w:val="single"/>
        </w:rPr>
      </w:pPr>
      <w:r w:rsidDel="00000000" w:rsidR="00000000" w:rsidRPr="00000000">
        <w:rPr>
          <w:rtl w:val="0"/>
        </w:rPr>
      </w:r>
    </w:p>
    <w:p w:rsidR="00000000" w:rsidDel="00000000" w:rsidP="00000000" w:rsidRDefault="00000000" w:rsidRPr="00000000" w14:paraId="00000056">
      <w:pPr>
        <w:rPr>
          <w:rFonts w:ascii="Times New Roman" w:cs="Times New Roman" w:eastAsia="Times New Roman" w:hAnsi="Times New Roman"/>
          <w:b w:val="1"/>
          <w:bCs w:val="1"/>
          <w:u w:val="single"/>
        </w:rPr>
      </w:pPr>
      <w:r w:rsidDel="00000000" w:rsidR="00000000" w:rsidRPr="00000000">
        <w:rPr>
          <w:rFonts w:ascii="Times New Roman" w:cs="Times New Roman" w:eastAsia="Times New Roman" w:hAnsi="Times New Roman"/>
          <w:b w:val="1"/>
          <w:bCs w:val="1"/>
          <w:u w:val="single"/>
          <w:rtl w:val="0"/>
        </w:rPr>
        <w:t xml:space="preserve">Co-production in dementia care </w:t>
      </w:r>
    </w:p>
    <w:p w:rsidR="00000000" w:rsidDel="00000000" w:rsidP="00000000" w:rsidRDefault="00000000" w:rsidRPr="00000000" w14:paraId="00000057">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Co-production is important in dementia care that involves patients, families, healthcare professionals and carers working collaboratively in the planning and delivery of care.  Co-production focus on the individuals and families living with dementia to contribute to interventions and care planning, rather than these decisions being made by healthcare professionals (NICE, 2018).  </w:t>
      </w:r>
    </w:p>
    <w:p w:rsidR="00000000" w:rsidDel="00000000" w:rsidP="00000000" w:rsidRDefault="00000000" w:rsidRPr="00000000" w14:paraId="00000058">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multidisciplinary team is involved in the co-production of dementia care; they commonly include doctors, nurses, occupational therapists, physiotherapists, social workers, nurse specialists.  Families and carers are important as they know the individual and understand their routines, habits and preferences (Alzheimer's society, 2023).  The TAPs role is to support the individual in communication, and adapt interventions using a person-cantered approach to ensure their individual needs are met with dignity and compassion.  </w:t>
      </w:r>
    </w:p>
    <w:p w:rsidR="00000000" w:rsidDel="00000000" w:rsidP="00000000" w:rsidRDefault="00000000" w:rsidRPr="00000000" w14:paraId="00000059">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Co-production supports effective interventions for individuals with dementia who struggle with commination and involves family members to give a full patient history to aid with the accuracy of care planning (Brooker,2007).  An example is families can support healthcare professionals to understand triggers that may cause distress for the individual and can support in providing ways of reducing stress and anxiety.  The TAP can then use this information for further interventions and create a calm and familiar environment for dementia patients in a clinical environment.</w:t>
      </w:r>
    </w:p>
    <w:p w:rsidR="00000000" w:rsidDel="00000000" w:rsidP="00000000" w:rsidRDefault="00000000" w:rsidRPr="00000000" w14:paraId="0000005A">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There are many benefits of co-production, and disadvantages with this approach.  Communication issues with dementia care can make it harder for the individuals to communicate their needs or fully participate in assessments and decision making (NICE, 2018).  Some healthcare environments remain task focused and due to added pressures such as time pressures, staff shortages and limited funding and resources, reduces the involvement of the individual being part of the care planning process.  Family pressures can also have a negative effect if they are experiencing fatigue and emotional distress can lead to burnout; and work and family commitments can affect them to be able to participate fully in the care planning of the individual (World Health Organization, 2023).  </w:t>
      </w:r>
    </w:p>
    <w:p w:rsidR="00000000" w:rsidDel="00000000" w:rsidP="00000000" w:rsidRDefault="00000000" w:rsidRPr="00000000" w14:paraId="0000005B">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Often healthcare professionals may need to safeguard patients; often they need to make decisions in the best interest of the patient if they are unable to.  Mental capacity assessments are used to determine if they have an insight to make safe choices and decisions around their care needs.  Healthcare professionals will use frameworks such as Mental Capacity Act 2005 (Department of Constitutional Affairs, 2007). This can support ethical challenges when a patient may decline treatment or if family members disagree with decisions around patient care.  The multidisciplinary team can advocate and communicate essential interventions and decisions, which are important in the co-production of dementia care.</w:t>
      </w:r>
    </w:p>
    <w:p w:rsidR="00000000" w:rsidDel="00000000" w:rsidP="00000000" w:rsidRDefault="00000000" w:rsidRPr="00000000" w14:paraId="0000005C">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Overall, co-production has become an important part of dementia care, because it encourages collaboration with the multidisciplinary team and all involved with the individual's care needs.  This improves patients and families' experiences and promotes person-centred care.  While everyone is different and there are different barriers that continue to exist, involving the individual, families and multidisciplinary team remains an essential part of meeting the complex needs of dementia patients.</w:t>
      </w:r>
    </w:p>
    <w:p w:rsidR="00000000" w:rsidDel="00000000" w:rsidP="00000000" w:rsidRDefault="00000000" w:rsidRPr="00000000" w14:paraId="0000005D">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5E">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5F">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60">
      <w:pPr>
        <w:rPr>
          <w:rFonts w:ascii="Times New Roman" w:cs="Times New Roman" w:eastAsia="Times New Roman" w:hAnsi="Times New Roman"/>
          <w:b w:val="1"/>
          <w:bCs w:val="1"/>
          <w:u w:val="single"/>
        </w:rPr>
      </w:pPr>
      <w:r w:rsidDel="00000000" w:rsidR="00000000" w:rsidRPr="00000000">
        <w:rPr>
          <w:rtl w:val="0"/>
        </w:rPr>
      </w:r>
    </w:p>
    <w:p w:rsidR="00000000" w:rsidDel="00000000" w:rsidP="00000000" w:rsidRDefault="00000000" w:rsidRPr="00000000" w14:paraId="00000061">
      <w:pPr>
        <w:rPr>
          <w:rFonts w:ascii="Times New Roman" w:cs="Times New Roman" w:eastAsia="Times New Roman" w:hAnsi="Times New Roman"/>
          <w:b w:val="1"/>
          <w:bCs w:val="1"/>
          <w:u w:val="single"/>
        </w:rPr>
      </w:pPr>
      <w:r w:rsidDel="00000000" w:rsidR="00000000" w:rsidRPr="00000000">
        <w:rPr>
          <w:rtl w:val="0"/>
        </w:rPr>
      </w:r>
    </w:p>
    <w:p w:rsidR="00000000" w:rsidDel="00000000" w:rsidP="00000000" w:rsidRDefault="00000000" w:rsidRPr="00000000" w14:paraId="00000062">
      <w:pPr>
        <w:rPr>
          <w:rFonts w:ascii="Times New Roman" w:cs="Times New Roman" w:eastAsia="Times New Roman" w:hAnsi="Times New Roman"/>
          <w:b w:val="1"/>
          <w:bCs w:val="1"/>
          <w:u w:val="single"/>
        </w:rPr>
      </w:pPr>
      <w:r w:rsidDel="00000000" w:rsidR="00000000" w:rsidRPr="00000000">
        <w:rPr>
          <w:rFonts w:ascii="Times New Roman" w:cs="Times New Roman" w:eastAsia="Times New Roman" w:hAnsi="Times New Roman"/>
          <w:b w:val="1"/>
          <w:bCs w:val="1"/>
          <w:u w:val="single"/>
          <w:rtl w:val="0"/>
        </w:rPr>
        <w:t xml:space="preserve">Clinical governance and supervision framework in dementia care</w:t>
      </w:r>
    </w:p>
    <w:p w:rsidR="00000000" w:rsidDel="00000000" w:rsidP="00000000" w:rsidRDefault="00000000" w:rsidRPr="00000000" w14:paraId="00000063">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Clinical governance is a framework used in healthcare settings to ensure patients receive high quality care that is safe, effective and evidence based.  Clinical governance is important in dementia care as these individuals are often vulnerable and may have reduced capacity and complex health needs.  The TAPs must work within the governance framework to support patient safety, dignity and deliver excellent quality of care, through any interactions or interventions while supporting the patient (NHS England, 2023).</w:t>
      </w:r>
    </w:p>
    <w:p w:rsidR="00000000" w:rsidDel="00000000" w:rsidP="00000000" w:rsidRDefault="00000000" w:rsidRPr="00000000" w14:paraId="00000064">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Risk management and patient safety is an important part of clinical governance.  Individuals living with dementia are often at risk of increased falls, malnutrition, dehydration, delirium and medication errors; this can be from cognitive decline and memory issues.  Healthcare organisations implement risk assessments, safeguarding, national guidelines and professional standards while caring for these individuals (Care Quality Commission, 2024).  TAPs can contribute to risk management by adapting interventions and environments to reduce risks, maintain safety and adapt communication styles. </w:t>
      </w:r>
    </w:p>
    <w:p w:rsidR="00000000" w:rsidDel="00000000" w:rsidP="00000000" w:rsidRDefault="00000000" w:rsidRPr="00000000" w14:paraId="00000065">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Evidence based practice is a key part of clinical governance, healthcare professionals are expected to follow current research, professional standards and notational guidelines while providing care for dementia patients.  NHS Wales guidelines help with the quality and consistency in dementia services (NHS Wales,2025).  One way to ensure this is to use reflective practice to allow healthcare professionals to evaluate their own practice and identify and develop any areas of improvement. Clinical audits can support tracking the progress and monitoring the quality of standards the individual is receiving. </w:t>
      </w:r>
    </w:p>
    <w:p w:rsidR="00000000" w:rsidDel="00000000" w:rsidP="00000000" w:rsidRDefault="00000000" w:rsidRPr="00000000" w14:paraId="00000066">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Supervisors are common practice in healthcare and can allow the TAP to be able to reflect on situations that may have been challenging, emotional or if they have any concerns.  Supervisions are an opportunity for the TAP to be able to communicate with senior staff, if they have any concerns about ethics or any other members of staff (Butterworth and Faugier, 2023).  Working with dementia patients can be challenging and can have negative effects on wellbeing and have emotional distress.  Being upfront about your feelings and situations can help the mentor to be able to support with additional training and sign posting to wellbeing and improving confidence and practise.  Staff shortages, high workloads and limited resources can impact on areas that need improvement.</w:t>
      </w:r>
    </w:p>
    <w:p w:rsidR="00000000" w:rsidDel="00000000" w:rsidP="00000000" w:rsidRDefault="00000000" w:rsidRPr="00000000" w14:paraId="00000067">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Training and professional development is also part of governance.   Mandatory training in safeguarding, health and safety, mental capacity, dementia awareness and deprivation of liberty is expected as part of your role (Skills for Care, 2022).  There is also specialist training available in each area, that is more in depth of the TAPs role and can aid in improving techniques and knowledge of the specialty.  </w:t>
      </w:r>
    </w:p>
    <w:p w:rsidR="00000000" w:rsidDel="00000000" w:rsidP="00000000" w:rsidRDefault="00000000" w:rsidRPr="00000000" w14:paraId="00000068">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Overall, clinical governance and supervision framework plays a vital role in maintaining the highest quality of care; using evidence-based practise, supervisions, reflective practise, up to date training allows for TAPs to be compassionate, knowledgeable and provide person-centred care for dementia patients.  </w:t>
      </w:r>
    </w:p>
    <w:p w:rsidR="00000000" w:rsidDel="00000000" w:rsidP="00000000" w:rsidRDefault="00000000" w:rsidRPr="00000000" w14:paraId="00000069">
      <w:pPr>
        <w:rPr>
          <w:rFonts w:ascii="Times New Roman" w:cs="Times New Roman" w:eastAsia="Times New Roman" w:hAnsi="Times New Roman"/>
          <w:b w:val="1"/>
          <w:bCs w:val="1"/>
          <w:u w:val="single"/>
        </w:rPr>
      </w:pPr>
      <w:r w:rsidDel="00000000" w:rsidR="00000000" w:rsidRPr="00000000">
        <w:rPr>
          <w:rtl w:val="0"/>
        </w:rPr>
      </w:r>
    </w:p>
    <w:p w:rsidR="00000000" w:rsidDel="00000000" w:rsidP="00000000" w:rsidRDefault="00000000" w:rsidRPr="00000000" w14:paraId="0000006A">
      <w:pPr>
        <w:rPr>
          <w:rFonts w:ascii="Times New Roman" w:cs="Times New Roman" w:eastAsia="Times New Roman" w:hAnsi="Times New Roman"/>
          <w:b w:val="1"/>
          <w:bCs w:val="1"/>
          <w:u w:val="single"/>
        </w:rPr>
      </w:pPr>
      <w:r w:rsidDel="00000000" w:rsidR="00000000" w:rsidRPr="00000000">
        <w:rPr>
          <w:rtl w:val="0"/>
        </w:rPr>
      </w:r>
    </w:p>
    <w:p w:rsidR="00000000" w:rsidDel="00000000" w:rsidP="00000000" w:rsidRDefault="00000000" w:rsidRPr="00000000" w14:paraId="0000006B">
      <w:pPr>
        <w:rPr>
          <w:rFonts w:ascii="Times New Roman" w:cs="Times New Roman" w:eastAsia="Times New Roman" w:hAnsi="Times New Roman"/>
          <w:b w:val="1"/>
          <w:bCs w:val="1"/>
          <w:u w:val="single"/>
        </w:rPr>
      </w:pPr>
      <w:r w:rsidDel="00000000" w:rsidR="00000000" w:rsidRPr="00000000">
        <w:rPr>
          <w:rFonts w:ascii="Times New Roman" w:cs="Times New Roman" w:eastAsia="Times New Roman" w:hAnsi="Times New Roman"/>
          <w:b w:val="1"/>
          <w:bCs w:val="1"/>
          <w:u w:val="single"/>
          <w:rtl w:val="0"/>
        </w:rPr>
        <w:t xml:space="preserve">Conclusion and Recommendations</w:t>
      </w:r>
    </w:p>
    <w:p w:rsidR="00000000" w:rsidDel="00000000" w:rsidP="00000000" w:rsidRDefault="00000000" w:rsidRPr="00000000" w14:paraId="0000006C">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In conclusion, dementia is a progressive neurological condition that has significant effects on the individual, families and healthcare services.  Throughout this essay, it has shown that dementia care has evolved over time.  While during the early years care was focused more on medication and institutionalisation, whereas currently approaches are more emphasised on person-centred care, co-production and multidisciplinary collaboration to provide independence, dignity, wellbeing and support to families as the condition progresses. </w:t>
      </w:r>
    </w:p>
    <w:p w:rsidR="00000000" w:rsidDel="00000000" w:rsidP="00000000" w:rsidRDefault="00000000" w:rsidRPr="00000000" w14:paraId="0000006D">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TAPs have an important role ensuring patients receive safe and compassionate care while adhering to legal and ethical frameworks, while effectively communicating with the multidisciplinary team (Royal College of Nursing, 2022). These frameworks are important in improving patient outcomes. Person-centred approaches support healthcare professionals to understand the individuals' needs of each dementia patient (Dementia UK, 2024).</w:t>
      </w:r>
    </w:p>
    <w:p w:rsidR="00000000" w:rsidDel="00000000" w:rsidP="00000000" w:rsidRDefault="00000000" w:rsidRPr="00000000" w14:paraId="0000006E">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Despite the improvements in dementia care, healthcare settings still face challenges.  Rising cases of dementia and pressures on health and social care settings and the access to specialist services impact the quality of care for patients and families (Age UK, 2023).  Communication and limited training can affect the confidence of healthcare professionals in caring for dementia patients.</w:t>
      </w:r>
    </w:p>
    <w:p w:rsidR="00000000" w:rsidDel="00000000" w:rsidP="00000000" w:rsidRDefault="00000000" w:rsidRPr="00000000" w14:paraId="0000006F">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Therefore, there are many recommendations to be made to improve dementia care; the continual training and education to improve knowledge around dementia and communication skills.  There should be more support provided to individuals and families and better access to services and earlier interventions that anyone can access regardless of location or funding.  Finally, the ongoing research into dementia services to improve diagnosis, treatment and long-term care needs of the individual.   </w:t>
      </w:r>
    </w:p>
    <w:p w:rsidR="00000000" w:rsidDel="00000000" w:rsidP="00000000" w:rsidRDefault="00000000" w:rsidRPr="00000000" w14:paraId="00000070">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Overall dementia care needs compassion, collaborative and evidence practise to support the physical and complex needs of Individuals with dementia.  With continued training and support services and quality standards TAPs can continue to promote independence, wellbeing and quality of life.</w:t>
      </w:r>
    </w:p>
    <w:p w:rsidR="00000000" w:rsidDel="00000000" w:rsidP="00000000" w:rsidRDefault="00000000" w:rsidRPr="00000000" w14:paraId="00000071">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72">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73">
      <w:pPr>
        <w:rPr>
          <w:rFonts w:ascii="Times New Roman" w:cs="Times New Roman" w:eastAsia="Times New Roman" w:hAnsi="Times New Roman"/>
          <w:b w:val="1"/>
          <w:bCs w:val="1"/>
          <w:u w:val="single"/>
        </w:rPr>
      </w:pPr>
      <w:r w:rsidDel="00000000" w:rsidR="00000000" w:rsidRPr="00000000">
        <w:rPr>
          <w:rtl w:val="0"/>
        </w:rPr>
      </w:r>
    </w:p>
    <w:p w:rsidR="00000000" w:rsidDel="00000000" w:rsidP="00000000" w:rsidRDefault="00000000" w:rsidRPr="00000000" w14:paraId="00000074">
      <w:pPr>
        <w:rPr>
          <w:rFonts w:ascii="Times New Roman" w:cs="Times New Roman" w:eastAsia="Times New Roman" w:hAnsi="Times New Roman"/>
          <w:b w:val="1"/>
          <w:bCs w:val="1"/>
          <w:u w:val="single"/>
        </w:rPr>
      </w:pPr>
      <w:r w:rsidDel="00000000" w:rsidR="00000000" w:rsidRPr="00000000">
        <w:rPr>
          <w:rtl w:val="0"/>
        </w:rPr>
      </w:r>
    </w:p>
    <w:p w:rsidR="00000000" w:rsidDel="00000000" w:rsidP="00000000" w:rsidRDefault="00000000" w:rsidRPr="00000000" w14:paraId="00000075">
      <w:pPr>
        <w:rPr>
          <w:rFonts w:ascii="Times New Roman" w:cs="Times New Roman" w:eastAsia="Times New Roman" w:hAnsi="Times New Roman"/>
          <w:b w:val="1"/>
          <w:bCs w:val="1"/>
          <w:u w:val="single"/>
        </w:rPr>
      </w:pPr>
      <w:r w:rsidDel="00000000" w:rsidR="00000000" w:rsidRPr="00000000">
        <w:rPr>
          <w:rtl w:val="0"/>
        </w:rPr>
      </w:r>
    </w:p>
    <w:p w:rsidR="00000000" w:rsidDel="00000000" w:rsidP="00000000" w:rsidRDefault="00000000" w:rsidRPr="00000000" w14:paraId="00000076">
      <w:pPr>
        <w:rPr>
          <w:rFonts w:ascii="Times New Roman" w:cs="Times New Roman" w:eastAsia="Times New Roman" w:hAnsi="Times New Roman"/>
          <w:b w:val="1"/>
          <w:bCs w:val="1"/>
          <w:u w:val="single"/>
        </w:rPr>
      </w:pPr>
      <w:r w:rsidDel="00000000" w:rsidR="00000000" w:rsidRPr="00000000">
        <w:rPr>
          <w:rtl w:val="0"/>
        </w:rPr>
      </w:r>
    </w:p>
    <w:p w:rsidR="00000000" w:rsidDel="00000000" w:rsidP="00000000" w:rsidRDefault="00000000" w:rsidRPr="00000000" w14:paraId="00000077">
      <w:pPr>
        <w:rPr>
          <w:rFonts w:ascii="Times New Roman" w:cs="Times New Roman" w:eastAsia="Times New Roman" w:hAnsi="Times New Roman"/>
          <w:b w:val="1"/>
          <w:bCs w:val="1"/>
          <w:u w:val="single"/>
        </w:rPr>
      </w:pPr>
      <w:r w:rsidDel="00000000" w:rsidR="00000000" w:rsidRPr="00000000">
        <w:rPr>
          <w:rtl w:val="0"/>
        </w:rPr>
      </w:r>
    </w:p>
    <w:p w:rsidR="00000000" w:rsidDel="00000000" w:rsidP="00000000" w:rsidRDefault="00000000" w:rsidRPr="00000000" w14:paraId="00000078">
      <w:pPr>
        <w:rPr>
          <w:rFonts w:ascii="Times New Roman" w:cs="Times New Roman" w:eastAsia="Times New Roman" w:hAnsi="Times New Roman"/>
          <w:b w:val="1"/>
          <w:bCs w:val="1"/>
          <w:u w:val="single"/>
        </w:rPr>
      </w:pPr>
      <w:r w:rsidDel="00000000" w:rsidR="00000000" w:rsidRPr="00000000">
        <w:rPr>
          <w:rtl w:val="0"/>
        </w:rPr>
      </w:r>
    </w:p>
    <w:p w:rsidR="00000000" w:rsidDel="00000000" w:rsidP="00000000" w:rsidRDefault="00000000" w:rsidRPr="00000000" w14:paraId="00000079">
      <w:pPr>
        <w:rPr>
          <w:rFonts w:ascii="Times New Roman" w:cs="Times New Roman" w:eastAsia="Times New Roman" w:hAnsi="Times New Roman"/>
          <w:b w:val="1"/>
          <w:bCs w:val="1"/>
          <w:u w:val="single"/>
        </w:rPr>
      </w:pPr>
      <w:r w:rsidDel="00000000" w:rsidR="00000000" w:rsidRPr="00000000">
        <w:rPr>
          <w:rtl w:val="0"/>
        </w:rPr>
      </w:r>
    </w:p>
    <w:p w:rsidR="00000000" w:rsidDel="00000000" w:rsidP="00000000" w:rsidRDefault="00000000" w:rsidRPr="00000000" w14:paraId="0000007A">
      <w:pPr>
        <w:rPr>
          <w:rFonts w:ascii="Times New Roman" w:cs="Times New Roman" w:eastAsia="Times New Roman" w:hAnsi="Times New Roman"/>
          <w:b w:val="1"/>
          <w:bCs w:val="1"/>
          <w:u w:val="single"/>
        </w:rPr>
      </w:pPr>
      <w:r w:rsidDel="00000000" w:rsidR="00000000" w:rsidRPr="00000000">
        <w:rPr>
          <w:rtl w:val="0"/>
        </w:rPr>
      </w:r>
    </w:p>
    <w:p w:rsidR="00000000" w:rsidDel="00000000" w:rsidP="00000000" w:rsidRDefault="00000000" w:rsidRPr="00000000" w14:paraId="0000007B">
      <w:pPr>
        <w:rPr>
          <w:rFonts w:ascii="Times New Roman" w:cs="Times New Roman" w:eastAsia="Times New Roman" w:hAnsi="Times New Roman"/>
          <w:b w:val="1"/>
          <w:bCs w:val="1"/>
          <w:u w:val="single"/>
        </w:rPr>
      </w:pPr>
      <w:r w:rsidDel="00000000" w:rsidR="00000000" w:rsidRPr="00000000">
        <w:rPr>
          <w:rtl w:val="0"/>
        </w:rPr>
      </w:r>
    </w:p>
    <w:p w:rsidR="00000000" w:rsidDel="00000000" w:rsidP="00000000" w:rsidRDefault="00000000" w:rsidRPr="00000000" w14:paraId="0000007C">
      <w:pPr>
        <w:rPr>
          <w:rFonts w:ascii="Times New Roman" w:cs="Times New Roman" w:eastAsia="Times New Roman" w:hAnsi="Times New Roman"/>
          <w:b w:val="1"/>
          <w:bCs w:val="1"/>
          <w:u w:val="single"/>
        </w:rPr>
      </w:pPr>
      <w:r w:rsidDel="00000000" w:rsidR="00000000" w:rsidRPr="00000000">
        <w:rPr>
          <w:rtl w:val="0"/>
        </w:rPr>
      </w:r>
    </w:p>
    <w:p w:rsidR="00000000" w:rsidDel="00000000" w:rsidP="00000000" w:rsidRDefault="00000000" w:rsidRPr="00000000" w14:paraId="0000007D">
      <w:pPr>
        <w:rPr>
          <w:rFonts w:ascii="Times New Roman" w:cs="Times New Roman" w:eastAsia="Times New Roman" w:hAnsi="Times New Roman"/>
          <w:b w:val="1"/>
          <w:bCs w:val="1"/>
          <w:u w:val="single"/>
        </w:rPr>
      </w:pPr>
      <w:r w:rsidDel="00000000" w:rsidR="00000000" w:rsidRPr="00000000">
        <w:rPr>
          <w:rtl w:val="0"/>
        </w:rPr>
      </w:r>
    </w:p>
    <w:p w:rsidR="00000000" w:rsidDel="00000000" w:rsidP="00000000" w:rsidRDefault="00000000" w:rsidRPr="00000000" w14:paraId="0000007E">
      <w:pPr>
        <w:rPr>
          <w:rFonts w:ascii="Times New Roman" w:cs="Times New Roman" w:eastAsia="Times New Roman" w:hAnsi="Times New Roman"/>
          <w:b w:val="1"/>
          <w:bCs w:val="1"/>
          <w:u w:val="single"/>
        </w:rPr>
      </w:pPr>
      <w:r w:rsidDel="00000000" w:rsidR="00000000" w:rsidRPr="00000000">
        <w:rPr>
          <w:rtl w:val="0"/>
        </w:rPr>
      </w:r>
    </w:p>
    <w:p w:rsidR="00000000" w:rsidDel="00000000" w:rsidP="00000000" w:rsidRDefault="00000000" w:rsidRPr="00000000" w14:paraId="0000007F">
      <w:pPr>
        <w:rPr>
          <w:rFonts w:ascii="Times New Roman" w:cs="Times New Roman" w:eastAsia="Times New Roman" w:hAnsi="Times New Roman"/>
          <w:b w:val="1"/>
          <w:bCs w:val="1"/>
          <w:u w:val="single"/>
        </w:rPr>
      </w:pPr>
      <w:r w:rsidDel="00000000" w:rsidR="00000000" w:rsidRPr="00000000">
        <w:rPr>
          <w:rtl w:val="0"/>
        </w:rPr>
      </w:r>
    </w:p>
    <w:p w:rsidR="00000000" w:rsidDel="00000000" w:rsidP="00000000" w:rsidRDefault="00000000" w:rsidRPr="00000000" w14:paraId="00000080">
      <w:pPr>
        <w:rPr>
          <w:rFonts w:ascii="Times New Roman" w:cs="Times New Roman" w:eastAsia="Times New Roman" w:hAnsi="Times New Roman"/>
          <w:b w:val="1"/>
          <w:bCs w:val="1"/>
          <w:u w:val="single"/>
        </w:rPr>
      </w:pPr>
      <w:r w:rsidDel="00000000" w:rsidR="00000000" w:rsidRPr="00000000">
        <w:rPr>
          <w:rtl w:val="0"/>
        </w:rPr>
      </w:r>
    </w:p>
    <w:p w:rsidR="00000000" w:rsidDel="00000000" w:rsidP="00000000" w:rsidRDefault="00000000" w:rsidRPr="00000000" w14:paraId="00000081">
      <w:pPr>
        <w:rPr>
          <w:rFonts w:ascii="Times New Roman" w:cs="Times New Roman" w:eastAsia="Times New Roman" w:hAnsi="Times New Roman"/>
          <w:b w:val="1"/>
          <w:bCs w:val="1"/>
          <w:u w:val="single"/>
        </w:rPr>
      </w:pPr>
      <w:r w:rsidDel="00000000" w:rsidR="00000000" w:rsidRPr="00000000">
        <w:rPr>
          <w:rtl w:val="0"/>
        </w:rPr>
      </w:r>
    </w:p>
    <w:p w:rsidR="00000000" w:rsidDel="00000000" w:rsidP="00000000" w:rsidRDefault="00000000" w:rsidRPr="00000000" w14:paraId="00000082">
      <w:pPr>
        <w:rPr>
          <w:rFonts w:ascii="Times New Roman" w:cs="Times New Roman" w:eastAsia="Times New Roman" w:hAnsi="Times New Roman"/>
          <w:b w:val="1"/>
          <w:bCs w:val="1"/>
          <w:u w:val="single"/>
        </w:rPr>
      </w:pPr>
      <w:r w:rsidDel="00000000" w:rsidR="00000000" w:rsidRPr="00000000">
        <w:rPr>
          <w:rtl w:val="0"/>
        </w:rPr>
      </w:r>
    </w:p>
    <w:p w:rsidR="00000000" w:rsidDel="00000000" w:rsidP="00000000" w:rsidRDefault="00000000" w:rsidRPr="00000000" w14:paraId="00000083">
      <w:pPr>
        <w:rPr>
          <w:rFonts w:ascii="Times New Roman" w:cs="Times New Roman" w:eastAsia="Times New Roman" w:hAnsi="Times New Roman"/>
          <w:b w:val="1"/>
          <w:bCs w:val="1"/>
          <w:u w:val="single"/>
        </w:rPr>
      </w:pPr>
      <w:r w:rsidDel="00000000" w:rsidR="00000000" w:rsidRPr="00000000">
        <w:rPr>
          <w:rtl w:val="0"/>
        </w:rPr>
      </w:r>
    </w:p>
    <w:p w:rsidR="00000000" w:rsidDel="00000000" w:rsidP="00000000" w:rsidRDefault="00000000" w:rsidRPr="00000000" w14:paraId="00000084">
      <w:pPr>
        <w:rPr>
          <w:rFonts w:ascii="Times New Roman" w:cs="Times New Roman" w:eastAsia="Times New Roman" w:hAnsi="Times New Roman"/>
          <w:b w:val="1"/>
          <w:bCs w:val="1"/>
          <w:u w:val="single"/>
        </w:rPr>
      </w:pPr>
      <w:r w:rsidDel="00000000" w:rsidR="00000000" w:rsidRPr="00000000">
        <w:rPr>
          <w:rtl w:val="0"/>
        </w:rPr>
      </w:r>
    </w:p>
    <w:p w:rsidR="00000000" w:rsidDel="00000000" w:rsidP="00000000" w:rsidRDefault="00000000" w:rsidRPr="00000000" w14:paraId="00000085">
      <w:pPr>
        <w:rPr>
          <w:rFonts w:ascii="Times New Roman" w:cs="Times New Roman" w:eastAsia="Times New Roman" w:hAnsi="Times New Roman"/>
          <w:b w:val="1"/>
          <w:bCs w:val="1"/>
          <w:u w:val="single"/>
        </w:rPr>
      </w:pPr>
      <w:r w:rsidDel="00000000" w:rsidR="00000000" w:rsidRPr="00000000">
        <w:rPr>
          <w:rtl w:val="0"/>
        </w:rPr>
      </w:r>
    </w:p>
    <w:p w:rsidR="00000000" w:rsidDel="00000000" w:rsidP="00000000" w:rsidRDefault="00000000" w:rsidRPr="00000000" w14:paraId="00000086">
      <w:pPr>
        <w:rPr>
          <w:rFonts w:ascii="Times New Roman" w:cs="Times New Roman" w:eastAsia="Times New Roman" w:hAnsi="Times New Roman"/>
          <w:b w:val="1"/>
          <w:bCs w:val="1"/>
          <w:u w:val="single"/>
        </w:rPr>
      </w:pPr>
      <w:r w:rsidDel="00000000" w:rsidR="00000000" w:rsidRPr="00000000">
        <w:rPr>
          <w:rtl w:val="0"/>
        </w:rPr>
      </w:r>
    </w:p>
    <w:p w:rsidR="00000000" w:rsidDel="00000000" w:rsidP="00000000" w:rsidRDefault="00000000" w:rsidRPr="00000000" w14:paraId="00000087">
      <w:pPr>
        <w:rPr>
          <w:rFonts w:ascii="Times New Roman" w:cs="Times New Roman" w:eastAsia="Times New Roman" w:hAnsi="Times New Roman"/>
          <w:b w:val="1"/>
          <w:bCs w:val="1"/>
          <w:u w:val="single"/>
        </w:rPr>
      </w:pPr>
      <w:r w:rsidDel="00000000" w:rsidR="00000000" w:rsidRPr="00000000">
        <w:rPr>
          <w:rtl w:val="0"/>
        </w:rPr>
      </w:r>
    </w:p>
    <w:p w:rsidR="00000000" w:rsidDel="00000000" w:rsidP="00000000" w:rsidRDefault="00000000" w:rsidRPr="00000000" w14:paraId="00000088">
      <w:pPr>
        <w:rPr>
          <w:rFonts w:ascii="Times New Roman" w:cs="Times New Roman" w:eastAsia="Times New Roman" w:hAnsi="Times New Roman"/>
          <w:b w:val="1"/>
          <w:bCs w:val="1"/>
          <w:u w:val="single"/>
        </w:rPr>
      </w:pPr>
      <w:r w:rsidDel="00000000" w:rsidR="00000000" w:rsidRPr="00000000">
        <w:rPr>
          <w:rtl w:val="0"/>
        </w:rPr>
      </w:r>
    </w:p>
    <w:p w:rsidR="00000000" w:rsidDel="00000000" w:rsidP="00000000" w:rsidRDefault="00000000" w:rsidRPr="00000000" w14:paraId="00000089">
      <w:pPr>
        <w:rPr>
          <w:rFonts w:ascii="Times New Roman" w:cs="Times New Roman" w:eastAsia="Times New Roman" w:hAnsi="Times New Roman"/>
          <w:b w:val="1"/>
          <w:bCs w:val="1"/>
          <w:u w:val="single"/>
        </w:rPr>
      </w:pPr>
      <w:r w:rsidDel="00000000" w:rsidR="00000000" w:rsidRPr="00000000">
        <w:rPr>
          <w:rtl w:val="0"/>
        </w:rPr>
      </w:r>
    </w:p>
    <w:p w:rsidR="00000000" w:rsidDel="00000000" w:rsidP="00000000" w:rsidRDefault="00000000" w:rsidRPr="00000000" w14:paraId="0000008A">
      <w:pPr>
        <w:rPr>
          <w:rFonts w:ascii="Times New Roman" w:cs="Times New Roman" w:eastAsia="Times New Roman" w:hAnsi="Times New Roman"/>
          <w:b w:val="1"/>
          <w:bCs w:val="1"/>
          <w:u w:val="single"/>
        </w:rPr>
      </w:pPr>
      <w:r w:rsidDel="00000000" w:rsidR="00000000" w:rsidRPr="00000000">
        <w:rPr>
          <w:rFonts w:ascii="Times New Roman" w:cs="Times New Roman" w:eastAsia="Times New Roman" w:hAnsi="Times New Roman"/>
          <w:b w:val="1"/>
          <w:bCs w:val="1"/>
          <w:u w:val="single"/>
          <w:rtl w:val="0"/>
        </w:rPr>
        <w:t xml:space="preserve">Reference list </w:t>
      </w:r>
    </w:p>
    <w:p w:rsidR="00000000" w:rsidDel="00000000" w:rsidP="00000000" w:rsidRDefault="00000000" w:rsidRPr="00000000" w14:paraId="0000008B">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Age UK (2023) </w:t>
      </w:r>
      <w:r w:rsidDel="00000000" w:rsidR="00000000" w:rsidRPr="00000000">
        <w:rPr>
          <w:rFonts w:ascii="Times New Roman" w:cs="Times New Roman" w:eastAsia="Times New Roman" w:hAnsi="Times New Roman"/>
          <w:i w:val="1"/>
          <w:iCs w:val="1"/>
          <w:rtl w:val="0"/>
        </w:rPr>
        <w:t xml:space="preserve">Later life in the United Kingdom 2023.</w:t>
      </w:r>
      <w:r w:rsidDel="00000000" w:rsidR="00000000" w:rsidRPr="00000000">
        <w:rPr>
          <w:rFonts w:ascii="Times New Roman" w:cs="Times New Roman" w:eastAsia="Times New Roman" w:hAnsi="Times New Roman"/>
          <w:rtl w:val="0"/>
        </w:rPr>
        <w:t xml:space="preserve"> Available at: https://www.ageuk.org.uk/information-advice/work-learning/technology-internet-security-scams/ (Accessed on 11 May 2026).</w:t>
      </w:r>
    </w:p>
    <w:p w:rsidR="00000000" w:rsidDel="00000000" w:rsidP="00000000" w:rsidRDefault="00000000" w:rsidRPr="00000000" w14:paraId="0000008C">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Alzheimer’s Society (2023) </w:t>
      </w:r>
      <w:r w:rsidDel="00000000" w:rsidR="00000000" w:rsidRPr="00000000">
        <w:rPr>
          <w:rFonts w:ascii="Times New Roman" w:cs="Times New Roman" w:eastAsia="Times New Roman" w:hAnsi="Times New Roman"/>
          <w:i w:val="1"/>
          <w:iCs w:val="1"/>
          <w:rtl w:val="0"/>
        </w:rPr>
        <w:t xml:space="preserve">Getting support for dementia</w:t>
      </w:r>
      <w:r w:rsidDel="00000000" w:rsidR="00000000" w:rsidRPr="00000000">
        <w:rPr>
          <w:rFonts w:ascii="Times New Roman" w:cs="Times New Roman" w:eastAsia="Times New Roman" w:hAnsi="Times New Roman"/>
          <w:rtl w:val="0"/>
        </w:rPr>
        <w:t xml:space="preserve">. Available at: https://www.alzheimers.org.uk (Accessed on 4 May 2026).</w:t>
      </w:r>
    </w:p>
    <w:p w:rsidR="00000000" w:rsidDel="00000000" w:rsidP="00000000" w:rsidRDefault="00000000" w:rsidRPr="00000000" w14:paraId="0000008D">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Alzheimer’s Society (2023) Technology and dementia care. Available at: https://www.alzheimers.org.uk (Accessed: 1 May 2026).</w:t>
      </w:r>
    </w:p>
    <w:p w:rsidR="00000000" w:rsidDel="00000000" w:rsidP="00000000" w:rsidRDefault="00000000" w:rsidRPr="00000000" w14:paraId="0000008E">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Alzheimer’s Society (2023) </w:t>
      </w:r>
      <w:r w:rsidDel="00000000" w:rsidR="00000000" w:rsidRPr="00000000">
        <w:rPr>
          <w:rFonts w:ascii="Times New Roman" w:cs="Times New Roman" w:eastAsia="Times New Roman" w:hAnsi="Times New Roman"/>
          <w:i w:val="1"/>
          <w:iCs w:val="1"/>
          <w:rtl w:val="0"/>
        </w:rPr>
        <w:t xml:space="preserve">What is dementia?</w:t>
      </w:r>
      <w:r w:rsidDel="00000000" w:rsidR="00000000" w:rsidRPr="00000000">
        <w:rPr>
          <w:rFonts w:ascii="Times New Roman" w:cs="Times New Roman" w:eastAsia="Times New Roman" w:hAnsi="Times New Roman"/>
          <w:rtl w:val="0"/>
        </w:rPr>
        <w:t xml:space="preserve"> Available at: https://www.alzheimers.org.uk.</w:t>
      </w:r>
    </w:p>
    <w:p w:rsidR="00000000" w:rsidDel="00000000" w:rsidP="00000000" w:rsidRDefault="00000000" w:rsidRPr="00000000" w14:paraId="0000008F">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Breijyeh, Z. and Karaman, R. (2020) ‘</w:t>
      </w:r>
      <w:r w:rsidDel="00000000" w:rsidR="00000000" w:rsidRPr="00000000">
        <w:rPr>
          <w:rFonts w:ascii="Times New Roman" w:cs="Times New Roman" w:eastAsia="Times New Roman" w:hAnsi="Times New Roman"/>
          <w:i w:val="1"/>
          <w:iCs w:val="1"/>
          <w:rtl w:val="0"/>
        </w:rPr>
        <w:t xml:space="preserve">Comprehensive review on Alzheimer’s disease</w:t>
      </w:r>
      <w:r w:rsidDel="00000000" w:rsidR="00000000" w:rsidRPr="00000000">
        <w:rPr>
          <w:rFonts w:ascii="Times New Roman" w:cs="Times New Roman" w:eastAsia="Times New Roman" w:hAnsi="Times New Roman"/>
          <w:rtl w:val="0"/>
        </w:rPr>
        <w:t xml:space="preserve">’, Molecules, 25(24), pp. 1–28.</w:t>
      </w:r>
    </w:p>
    <w:p w:rsidR="00000000" w:rsidDel="00000000" w:rsidP="00000000" w:rsidRDefault="00000000" w:rsidRPr="00000000" w14:paraId="00000090">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Brodaty, H. and Donkin, M. (2009) ‘</w:t>
      </w:r>
      <w:r w:rsidDel="00000000" w:rsidR="00000000" w:rsidRPr="00000000">
        <w:rPr>
          <w:rFonts w:ascii="Times New Roman" w:cs="Times New Roman" w:eastAsia="Times New Roman" w:hAnsi="Times New Roman"/>
          <w:i w:val="1"/>
          <w:iCs w:val="1"/>
          <w:rtl w:val="0"/>
        </w:rPr>
        <w:t xml:space="preserve">Family caregivers of people with dementia</w:t>
      </w:r>
      <w:r w:rsidDel="00000000" w:rsidR="00000000" w:rsidRPr="00000000">
        <w:rPr>
          <w:rFonts w:ascii="Times New Roman" w:cs="Times New Roman" w:eastAsia="Times New Roman" w:hAnsi="Times New Roman"/>
          <w:rtl w:val="0"/>
        </w:rPr>
        <w:t xml:space="preserve">’, Dialogues in Clinical Neuroscience, 11(2), pp. 217–228.</w:t>
      </w:r>
    </w:p>
    <w:p w:rsidR="00000000" w:rsidDel="00000000" w:rsidP="00000000" w:rsidRDefault="00000000" w:rsidRPr="00000000" w14:paraId="00000091">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Brooker, D. (2007) </w:t>
      </w:r>
      <w:r w:rsidDel="00000000" w:rsidR="00000000" w:rsidRPr="00000000">
        <w:rPr>
          <w:rFonts w:ascii="Times New Roman" w:cs="Times New Roman" w:eastAsia="Times New Roman" w:hAnsi="Times New Roman"/>
          <w:i w:val="1"/>
          <w:iCs w:val="1"/>
          <w:rtl w:val="0"/>
        </w:rPr>
        <w:t xml:space="preserve">Person-Centred Dementia Care: Making Services Better</w:t>
      </w:r>
      <w:r w:rsidDel="00000000" w:rsidR="00000000" w:rsidRPr="00000000">
        <w:rPr>
          <w:rFonts w:ascii="Times New Roman" w:cs="Times New Roman" w:eastAsia="Times New Roman" w:hAnsi="Times New Roman"/>
          <w:rtl w:val="0"/>
        </w:rPr>
        <w:t xml:space="preserve">. London: Jessica Kingsley Publishers.</w:t>
      </w:r>
    </w:p>
    <w:p w:rsidR="00000000" w:rsidDel="00000000" w:rsidP="00000000" w:rsidRDefault="00000000" w:rsidRPr="00000000" w14:paraId="00000092">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Bryden, C. (2002) ‘</w:t>
      </w:r>
      <w:r w:rsidDel="00000000" w:rsidR="00000000" w:rsidRPr="00000000">
        <w:rPr>
          <w:rFonts w:ascii="Times New Roman" w:cs="Times New Roman" w:eastAsia="Times New Roman" w:hAnsi="Times New Roman"/>
          <w:i w:val="1"/>
          <w:iCs w:val="1"/>
          <w:rtl w:val="0"/>
        </w:rPr>
        <w:t xml:space="preserve">A person-centred approach to counselling, psychotherapy and rehabilitation of people diagnosed with dementia in the early stages</w:t>
      </w:r>
      <w:r w:rsidDel="00000000" w:rsidR="00000000" w:rsidRPr="00000000">
        <w:rPr>
          <w:rFonts w:ascii="Times New Roman" w:cs="Times New Roman" w:eastAsia="Times New Roman" w:hAnsi="Times New Roman"/>
          <w:rtl w:val="0"/>
        </w:rPr>
        <w:t xml:space="preserve">’, Dementia, 1(2), pp. 241–255.</w:t>
      </w:r>
    </w:p>
    <w:p w:rsidR="00000000" w:rsidDel="00000000" w:rsidP="00000000" w:rsidRDefault="00000000" w:rsidRPr="00000000" w14:paraId="00000093">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Butterworth, T. and Faugier, J. (2013) </w:t>
      </w:r>
      <w:r w:rsidDel="00000000" w:rsidR="00000000" w:rsidRPr="00000000">
        <w:rPr>
          <w:rFonts w:ascii="Times New Roman" w:cs="Times New Roman" w:eastAsia="Times New Roman" w:hAnsi="Times New Roman"/>
          <w:i w:val="1"/>
          <w:iCs w:val="1"/>
          <w:rtl w:val="0"/>
        </w:rPr>
        <w:t xml:space="preserve">Clinical Supervision and Mentorship in Nursing</w:t>
      </w:r>
      <w:r w:rsidDel="00000000" w:rsidR="00000000" w:rsidRPr="00000000">
        <w:rPr>
          <w:rFonts w:ascii="Times New Roman" w:cs="Times New Roman" w:eastAsia="Times New Roman" w:hAnsi="Times New Roman"/>
          <w:rtl w:val="0"/>
        </w:rPr>
        <w:t xml:space="preserve">. 3</w:t>
      </w:r>
      <w:r w:rsidDel="00000000" w:rsidR="00000000" w:rsidRPr="00000000">
        <w:rPr>
          <w:rFonts w:ascii="Times New Roman" w:cs="Times New Roman" w:eastAsia="Times New Roman" w:hAnsi="Times New Roman"/>
          <w:vertAlign w:val="superscript"/>
          <w:rtl w:val="0"/>
        </w:rPr>
        <w:t xml:space="preserve">rd</w:t>
      </w:r>
      <w:r w:rsidDel="00000000" w:rsidR="00000000" w:rsidRPr="00000000">
        <w:rPr>
          <w:rFonts w:ascii="Times New Roman" w:cs="Times New Roman" w:eastAsia="Times New Roman" w:hAnsi="Times New Roman"/>
          <w:rtl w:val="0"/>
        </w:rPr>
        <w:t xml:space="preserve"> edn. London: Springer.</w:t>
      </w:r>
    </w:p>
    <w:p w:rsidR="00000000" w:rsidDel="00000000" w:rsidP="00000000" w:rsidRDefault="00000000" w:rsidRPr="00000000" w14:paraId="00000094">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Care Quality Commission (2024) </w:t>
      </w:r>
      <w:r w:rsidDel="00000000" w:rsidR="00000000" w:rsidRPr="00000000">
        <w:rPr>
          <w:rFonts w:ascii="Times New Roman" w:cs="Times New Roman" w:eastAsia="Times New Roman" w:hAnsi="Times New Roman"/>
          <w:i w:val="1"/>
          <w:iCs w:val="1"/>
          <w:rtl w:val="0"/>
        </w:rPr>
        <w:t xml:space="preserve">Cracks in the pathway: People’s experiences of dementia care as they move between care homes and hospitals</w:t>
      </w:r>
      <w:r w:rsidDel="00000000" w:rsidR="00000000" w:rsidRPr="00000000">
        <w:rPr>
          <w:rFonts w:ascii="Times New Roman" w:cs="Times New Roman" w:eastAsia="Times New Roman" w:hAnsi="Times New Roman"/>
          <w:rtl w:val="0"/>
        </w:rPr>
        <w:t xml:space="preserve">. Available at: https://www.cqc.org.uk/publications/themed-work/cracks-pathways (Accessed: 7 May 2026).</w:t>
      </w:r>
    </w:p>
    <w:p w:rsidR="00000000" w:rsidDel="00000000" w:rsidP="00000000" w:rsidRDefault="00000000" w:rsidRPr="00000000" w14:paraId="00000095">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Dementia UK (2024) </w:t>
      </w:r>
      <w:r w:rsidDel="00000000" w:rsidR="00000000" w:rsidRPr="00000000">
        <w:rPr>
          <w:rFonts w:ascii="Times New Roman" w:cs="Times New Roman" w:eastAsia="Times New Roman" w:hAnsi="Times New Roman"/>
          <w:i w:val="1"/>
          <w:iCs w:val="1"/>
          <w:rtl w:val="0"/>
        </w:rPr>
        <w:t xml:space="preserve">What is dementia?</w:t>
      </w:r>
      <w:r w:rsidDel="00000000" w:rsidR="00000000" w:rsidRPr="00000000">
        <w:rPr>
          <w:rFonts w:ascii="Times New Roman" w:cs="Times New Roman" w:eastAsia="Times New Roman" w:hAnsi="Times New Roman"/>
          <w:rtl w:val="0"/>
        </w:rPr>
        <w:t xml:space="preserve"> Available at: https://www.dementiauk.org/information-and-support/about-dementia/what-is-dementia/ (Accessed on 11 May 2026).</w:t>
      </w:r>
    </w:p>
    <w:p w:rsidR="00000000" w:rsidDel="00000000" w:rsidP="00000000" w:rsidRDefault="00000000" w:rsidRPr="00000000" w14:paraId="00000096">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Dementia UK (2024) </w:t>
      </w:r>
      <w:r w:rsidDel="00000000" w:rsidR="00000000" w:rsidRPr="00000000">
        <w:rPr>
          <w:rFonts w:ascii="Times New Roman" w:cs="Times New Roman" w:eastAsia="Times New Roman" w:hAnsi="Times New Roman"/>
          <w:i w:val="1"/>
          <w:iCs w:val="1"/>
          <w:rtl w:val="0"/>
        </w:rPr>
        <w:t xml:space="preserve">What is dementia? </w:t>
      </w:r>
      <w:r w:rsidDel="00000000" w:rsidR="00000000" w:rsidRPr="00000000">
        <w:rPr>
          <w:rFonts w:ascii="Times New Roman" w:cs="Times New Roman" w:eastAsia="Times New Roman" w:hAnsi="Times New Roman"/>
          <w:rtl w:val="0"/>
        </w:rPr>
        <w:t xml:space="preserve">Available at: https://www.dementiauk.org/information-and-support/about-dementia/what-is-dementia/ (Accessed on 11 May 2026).</w:t>
      </w:r>
    </w:p>
    <w:p w:rsidR="00000000" w:rsidDel="00000000" w:rsidP="00000000" w:rsidRDefault="00000000" w:rsidRPr="00000000" w14:paraId="00000097">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Department for Constitutional Affairs (2007) </w:t>
      </w:r>
      <w:r w:rsidDel="00000000" w:rsidR="00000000" w:rsidRPr="00000000">
        <w:rPr>
          <w:rFonts w:ascii="Times New Roman" w:cs="Times New Roman" w:eastAsia="Times New Roman" w:hAnsi="Times New Roman"/>
          <w:i w:val="1"/>
          <w:iCs w:val="1"/>
          <w:rtl w:val="0"/>
        </w:rPr>
        <w:t xml:space="preserve">Mental Capacity Act 2005 code of practice</w:t>
      </w:r>
      <w:r w:rsidDel="00000000" w:rsidR="00000000" w:rsidRPr="00000000">
        <w:rPr>
          <w:rFonts w:ascii="Times New Roman" w:cs="Times New Roman" w:eastAsia="Times New Roman" w:hAnsi="Times New Roman"/>
          <w:rtl w:val="0"/>
        </w:rPr>
        <w:t xml:space="preserve">. London: The Stationery Office.</w:t>
      </w:r>
    </w:p>
    <w:p w:rsidR="00000000" w:rsidDel="00000000" w:rsidP="00000000" w:rsidRDefault="00000000" w:rsidRPr="00000000" w14:paraId="00000098">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Geldmacher, D.S. (2003) ‘</w:t>
      </w:r>
      <w:r w:rsidDel="00000000" w:rsidR="00000000" w:rsidRPr="00000000">
        <w:rPr>
          <w:rFonts w:ascii="Times New Roman" w:cs="Times New Roman" w:eastAsia="Times New Roman" w:hAnsi="Times New Roman"/>
          <w:i w:val="1"/>
          <w:iCs w:val="1"/>
          <w:rtl w:val="0"/>
        </w:rPr>
        <w:t xml:space="preserve">Long-term cholinesterase inhibitor therapy for Alzheimer's disease: Practical considerations for the primary care physician</w:t>
      </w:r>
      <w:r w:rsidDel="00000000" w:rsidR="00000000" w:rsidRPr="00000000">
        <w:rPr>
          <w:rFonts w:ascii="Times New Roman" w:cs="Times New Roman" w:eastAsia="Times New Roman" w:hAnsi="Times New Roman"/>
          <w:rtl w:val="0"/>
        </w:rPr>
        <w:t xml:space="preserve">’, Primary Care Companion to The Journal of Clinical Psychiatry, 5(6), pp. 251–259.</w:t>
      </w:r>
    </w:p>
    <w:p w:rsidR="00000000" w:rsidDel="00000000" w:rsidP="00000000" w:rsidRDefault="00000000" w:rsidRPr="00000000" w14:paraId="00000099">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Kitwood, T. (1997) </w:t>
      </w:r>
      <w:r w:rsidDel="00000000" w:rsidR="00000000" w:rsidRPr="00000000">
        <w:rPr>
          <w:rFonts w:ascii="Times New Roman" w:cs="Times New Roman" w:eastAsia="Times New Roman" w:hAnsi="Times New Roman"/>
          <w:i w:val="1"/>
          <w:iCs w:val="1"/>
          <w:rtl w:val="0"/>
        </w:rPr>
        <w:t xml:space="preserve">Dementia Reconsidered: The Person Comes First</w:t>
      </w:r>
      <w:r w:rsidDel="00000000" w:rsidR="00000000" w:rsidRPr="00000000">
        <w:rPr>
          <w:rFonts w:ascii="Times New Roman" w:cs="Times New Roman" w:eastAsia="Times New Roman" w:hAnsi="Times New Roman"/>
          <w:rtl w:val="0"/>
        </w:rPr>
        <w:t xml:space="preserve">. Buckingham: Open University Press.</w:t>
      </w:r>
    </w:p>
    <w:p w:rsidR="00000000" w:rsidDel="00000000" w:rsidP="00000000" w:rsidRDefault="00000000" w:rsidRPr="00000000" w14:paraId="0000009A">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Manthorpe, J. and Samsi, K. (2016) ‘</w:t>
      </w:r>
      <w:r w:rsidDel="00000000" w:rsidR="00000000" w:rsidRPr="00000000">
        <w:rPr>
          <w:rFonts w:ascii="Times New Roman" w:cs="Times New Roman" w:eastAsia="Times New Roman" w:hAnsi="Times New Roman"/>
          <w:i w:val="1"/>
          <w:iCs w:val="1"/>
          <w:rtl w:val="0"/>
        </w:rPr>
        <w:t xml:space="preserve">Person-centred dementia care: current perspectives</w:t>
      </w:r>
      <w:r w:rsidDel="00000000" w:rsidR="00000000" w:rsidRPr="00000000">
        <w:rPr>
          <w:rFonts w:ascii="Times New Roman" w:cs="Times New Roman" w:eastAsia="Times New Roman" w:hAnsi="Times New Roman"/>
          <w:rtl w:val="0"/>
        </w:rPr>
        <w:t xml:space="preserve">’, Clinical Interventions in Aging, 11, pp. 1733–1740.</w:t>
      </w:r>
    </w:p>
    <w:p w:rsidR="00000000" w:rsidDel="00000000" w:rsidP="00000000" w:rsidRDefault="00000000" w:rsidRPr="00000000" w14:paraId="0000009B">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National Institute for Health and Care Excellence (2018) </w:t>
      </w:r>
      <w:r w:rsidDel="00000000" w:rsidR="00000000" w:rsidRPr="00000000">
        <w:rPr>
          <w:rFonts w:ascii="Times New Roman" w:cs="Times New Roman" w:eastAsia="Times New Roman" w:hAnsi="Times New Roman"/>
          <w:i w:val="1"/>
          <w:iCs w:val="1"/>
          <w:rtl w:val="0"/>
        </w:rPr>
        <w:t xml:space="preserve">Dementia: assessment, management and support (NG97)</w:t>
      </w:r>
      <w:r w:rsidDel="00000000" w:rsidR="00000000" w:rsidRPr="00000000">
        <w:rPr>
          <w:rFonts w:ascii="Times New Roman" w:cs="Times New Roman" w:eastAsia="Times New Roman" w:hAnsi="Times New Roman"/>
          <w:rtl w:val="0"/>
        </w:rPr>
        <w:t xml:space="preserve">.</w:t>
      </w:r>
    </w:p>
    <w:p w:rsidR="00000000" w:rsidDel="00000000" w:rsidP="00000000" w:rsidRDefault="00000000" w:rsidRPr="00000000" w14:paraId="0000009C">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National Institute for Health and Care Excellence (NICE) (2018) </w:t>
      </w:r>
      <w:r w:rsidDel="00000000" w:rsidR="00000000" w:rsidRPr="00000000">
        <w:rPr>
          <w:rFonts w:ascii="Times New Roman" w:cs="Times New Roman" w:eastAsia="Times New Roman" w:hAnsi="Times New Roman"/>
          <w:i w:val="1"/>
          <w:iCs w:val="1"/>
          <w:rtl w:val="0"/>
        </w:rPr>
        <w:t xml:space="preserve">Dementia: assessment, management and support for people living with dementia and their carers</w:t>
      </w:r>
      <w:r w:rsidDel="00000000" w:rsidR="00000000" w:rsidRPr="00000000">
        <w:rPr>
          <w:rFonts w:ascii="Times New Roman" w:cs="Times New Roman" w:eastAsia="Times New Roman" w:hAnsi="Times New Roman"/>
          <w:rtl w:val="0"/>
        </w:rPr>
        <w:t xml:space="preserve">. Available at: https://www.nice.org.uk/guidance/ng97 (Accessed on 1 May 2026).</w:t>
      </w:r>
    </w:p>
    <w:p w:rsidR="00000000" w:rsidDel="00000000" w:rsidP="00000000" w:rsidRDefault="00000000" w:rsidRPr="00000000" w14:paraId="0000009D">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NHS (2024) </w:t>
      </w:r>
      <w:r w:rsidDel="00000000" w:rsidR="00000000" w:rsidRPr="00000000">
        <w:rPr>
          <w:rFonts w:ascii="Times New Roman" w:cs="Times New Roman" w:eastAsia="Times New Roman" w:hAnsi="Times New Roman"/>
          <w:i w:val="1"/>
          <w:iCs w:val="1"/>
          <w:rtl w:val="0"/>
        </w:rPr>
        <w:t xml:space="preserve">Alzheimer's disease – Treatment</w:t>
      </w:r>
      <w:r w:rsidDel="00000000" w:rsidR="00000000" w:rsidRPr="00000000">
        <w:rPr>
          <w:rFonts w:ascii="Times New Roman" w:cs="Times New Roman" w:eastAsia="Times New Roman" w:hAnsi="Times New Roman"/>
          <w:rtl w:val="0"/>
        </w:rPr>
        <w:t xml:space="preserve">. Available at: https://www.nhs.uk/conditions/alzheimers-disease/treatment/ (Accessed on 1 May 2026).</w:t>
      </w:r>
    </w:p>
    <w:p w:rsidR="00000000" w:rsidDel="00000000" w:rsidP="00000000" w:rsidRDefault="00000000" w:rsidRPr="00000000" w14:paraId="0000009E">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NHS England (2023) </w:t>
      </w:r>
      <w:r w:rsidDel="00000000" w:rsidR="00000000" w:rsidRPr="00000000">
        <w:rPr>
          <w:rFonts w:ascii="Times New Roman" w:cs="Times New Roman" w:eastAsia="Times New Roman" w:hAnsi="Times New Roman"/>
          <w:i w:val="1"/>
          <w:iCs w:val="1"/>
          <w:rtl w:val="0"/>
        </w:rPr>
        <w:t xml:space="preserve">Clinical governance and quality improvement</w:t>
      </w:r>
      <w:r w:rsidDel="00000000" w:rsidR="00000000" w:rsidRPr="00000000">
        <w:rPr>
          <w:rFonts w:ascii="Times New Roman" w:cs="Times New Roman" w:eastAsia="Times New Roman" w:hAnsi="Times New Roman"/>
          <w:rtl w:val="0"/>
        </w:rPr>
        <w:t xml:space="preserve">. Available at: https://www.england.nhs.uk (Accessed: 7 May 2026).</w:t>
      </w:r>
    </w:p>
    <w:p w:rsidR="00000000" w:rsidDel="00000000" w:rsidP="00000000" w:rsidRDefault="00000000" w:rsidRPr="00000000" w14:paraId="0000009F">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NHS Wales Shared Services Partnership (2023) </w:t>
      </w:r>
      <w:r w:rsidDel="00000000" w:rsidR="00000000" w:rsidRPr="00000000">
        <w:rPr>
          <w:rFonts w:ascii="Times New Roman" w:cs="Times New Roman" w:eastAsia="Times New Roman" w:hAnsi="Times New Roman"/>
          <w:i w:val="1"/>
          <w:iCs w:val="1"/>
          <w:rtl w:val="0"/>
        </w:rPr>
        <w:t xml:space="preserve">Health and Care Quality Standards 2023</w:t>
      </w:r>
      <w:r w:rsidDel="00000000" w:rsidR="00000000" w:rsidRPr="00000000">
        <w:rPr>
          <w:rFonts w:ascii="Times New Roman" w:cs="Times New Roman" w:eastAsia="Times New Roman" w:hAnsi="Times New Roman"/>
          <w:rtl w:val="0"/>
        </w:rPr>
        <w:t xml:space="preserve">. Available at: Health and Care Quality Standards 2023.</w:t>
      </w:r>
    </w:p>
    <w:p w:rsidR="00000000" w:rsidDel="00000000" w:rsidP="00000000" w:rsidRDefault="00000000" w:rsidRPr="00000000" w14:paraId="000000A0">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O’Brien, J.T. et al. (2018) ‘Cholinesterase inhibitors and memantine for dementia’, in </w:t>
      </w:r>
      <w:r w:rsidDel="00000000" w:rsidR="00000000" w:rsidRPr="00000000">
        <w:rPr>
          <w:rFonts w:ascii="Times New Roman" w:cs="Times New Roman" w:eastAsia="Times New Roman" w:hAnsi="Times New Roman"/>
          <w:i w:val="1"/>
          <w:iCs w:val="1"/>
          <w:rtl w:val="0"/>
        </w:rPr>
        <w:t xml:space="preserve">Dementia: assessment, management and support for people living with dementia and their carers</w:t>
      </w:r>
      <w:r w:rsidDel="00000000" w:rsidR="00000000" w:rsidRPr="00000000">
        <w:rPr>
          <w:rFonts w:ascii="Times New Roman" w:cs="Times New Roman" w:eastAsia="Times New Roman" w:hAnsi="Times New Roman"/>
          <w:rtl w:val="0"/>
        </w:rPr>
        <w:t xml:space="preserve">. London: NICE.</w:t>
      </w:r>
    </w:p>
    <w:p w:rsidR="00000000" w:rsidDel="00000000" w:rsidP="00000000" w:rsidRDefault="00000000" w:rsidRPr="00000000" w14:paraId="000000A1">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Royal College of Nursing (2022) </w:t>
      </w:r>
      <w:r w:rsidDel="00000000" w:rsidR="00000000" w:rsidRPr="00000000">
        <w:rPr>
          <w:rFonts w:ascii="Times New Roman" w:cs="Times New Roman" w:eastAsia="Times New Roman" w:hAnsi="Times New Roman"/>
          <w:i w:val="1"/>
          <w:iCs w:val="1"/>
          <w:rtl w:val="0"/>
        </w:rPr>
        <w:t xml:space="preserve">Dementia: Nursing care and support</w:t>
      </w:r>
      <w:r w:rsidDel="00000000" w:rsidR="00000000" w:rsidRPr="00000000">
        <w:rPr>
          <w:rFonts w:ascii="Times New Roman" w:cs="Times New Roman" w:eastAsia="Times New Roman" w:hAnsi="Times New Roman"/>
          <w:rtl w:val="0"/>
        </w:rPr>
        <w:t xml:space="preserve">. Available at: https://www.rcn.org.uk/clinical-topics/older-people/dementia (Accessed on 11 May 2026).</w:t>
      </w:r>
    </w:p>
    <w:p w:rsidR="00000000" w:rsidDel="00000000" w:rsidP="00000000" w:rsidRDefault="00000000" w:rsidRPr="00000000" w14:paraId="000000A2">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Small, G.W. (2002) ‘Pharmacologic treatments of dementia’, Dialogues in Clinical Neuroscience, 4(1), pp. 45–53.</w:t>
      </w:r>
    </w:p>
    <w:p w:rsidR="00000000" w:rsidDel="00000000" w:rsidP="00000000" w:rsidRDefault="00000000" w:rsidRPr="00000000" w14:paraId="000000A3">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World Health Organization (2023) Dementia. Available at: https://www.who.int/news-room/fact-sheets/detail/dementia(Accessed: 3 May 2026). </w:t>
      </w:r>
    </w:p>
    <w:p w:rsidR="00000000" w:rsidDel="00000000" w:rsidP="00000000" w:rsidRDefault="00000000" w:rsidRPr="00000000" w14:paraId="000000A4">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A5">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A6">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A7">
      <w:pPr>
        <w:rPr>
          <w:rFonts w:ascii="Times New Roman" w:cs="Times New Roman" w:eastAsia="Times New Roman" w:hAnsi="Times New Roman"/>
        </w:rPr>
        <w:sectPr>
          <w:headerReference r:id="rId8" w:type="default"/>
          <w:footerReference r:id="rId9" w:type="default"/>
          <w:pgSz w:h="16838" w:w="11906" w:orient="portrait"/>
          <w:pgMar w:bottom="1440" w:top="1440" w:left="1440" w:right="1440" w:header="720" w:footer="720"/>
          <w:pgNumType w:start="1"/>
        </w:sectPr>
      </w:pPr>
      <w:r w:rsidDel="00000000" w:rsidR="00000000" w:rsidRPr="00000000">
        <w:rPr>
          <w:rtl w:val="0"/>
        </w:rPr>
      </w:r>
    </w:p>
    <w:p w:rsidR="00000000" w:rsidDel="00000000" w:rsidP="00000000" w:rsidRDefault="00000000" w:rsidRPr="00000000" w14:paraId="000000A8">
      <w:pPr>
        <w:rPr>
          <w:rFonts w:ascii="Times New Roman" w:cs="Times New Roman" w:eastAsia="Times New Roman" w:hAnsi="Times New Roman"/>
        </w:rPr>
      </w:pPr>
      <w:r w:rsidDel="00000000" w:rsidR="00000000" w:rsidRPr="00000000">
        <w:rPr>
          <w:rtl w:val="0"/>
        </w:rPr>
      </w:r>
      <w:r w:rsidDel="00000000" w:rsidR="00000000" w:rsidRPr="00000000">
        <w:drawing>
          <wp:anchor allowOverlap="1" behindDoc="0" distB="0" distT="0" distL="114300" distR="114300" hidden="0" layoutInCell="1" locked="0" relativeHeight="0" simplePos="0">
            <wp:simplePos x="0" y="0"/>
            <wp:positionH relativeFrom="column">
              <wp:posOffset>-914400</wp:posOffset>
            </wp:positionH>
            <wp:positionV relativeFrom="paragraph">
              <wp:posOffset>160</wp:posOffset>
            </wp:positionV>
            <wp:extent cx="10457204" cy="7308594"/>
            <wp:effectExtent b="0" l="0" r="0" t="0"/>
            <wp:wrapSquare wrapText="bothSides" distB="0" distT="0" distL="114300" distR="114300"/>
            <wp:docPr descr="A close-up of a check list&#10;&#10;AI-generated content may be incorrect." id="3" name="image2.png"/>
            <a:graphic>
              <a:graphicData uri="http://schemas.openxmlformats.org/drawingml/2006/picture">
                <pic:pic>
                  <pic:nvPicPr>
                    <pic:cNvPr descr="A close-up of a check list&#10;&#10;AI-generated content may be incorrect." id="0" name="image2.png"/>
                    <pic:cNvPicPr preferRelativeResize="0"/>
                  </pic:nvPicPr>
                  <pic:blipFill>
                    <a:blip r:embed="rId10"/>
                    <a:srcRect b="0" l="0" r="0" t="0"/>
                    <a:stretch>
                      <a:fillRect/>
                    </a:stretch>
                  </pic:blipFill>
                  <pic:spPr>
                    <a:xfrm>
                      <a:off x="0" y="0"/>
                      <a:ext cx="10457204" cy="7308594"/>
                    </a:xfrm>
                    <a:prstGeom prst="rect"/>
                    <a:ln/>
                  </pic:spPr>
                </pic:pic>
              </a:graphicData>
            </a:graphic>
          </wp:anchor>
        </w:drawing>
      </w:r>
    </w:p>
    <w:p w:rsidR="00000000" w:rsidDel="00000000" w:rsidP="00000000" w:rsidRDefault="00000000" w:rsidRPr="00000000" w14:paraId="000000A9">
      <w:pPr>
        <w:rPr>
          <w:rFonts w:ascii="Times New Roman" w:cs="Times New Roman" w:eastAsia="Times New Roman" w:hAnsi="Times New Roman"/>
        </w:rPr>
      </w:pPr>
      <w:r w:rsidDel="00000000" w:rsidR="00000000" w:rsidRPr="00000000">
        <w:rPr>
          <w:rtl w:val="0"/>
        </w:rPr>
      </w:r>
      <w:r w:rsidDel="00000000" w:rsidR="00000000" w:rsidRPr="00000000">
        <w:drawing>
          <wp:anchor allowOverlap="1" behindDoc="0" distB="0" distT="0" distL="114300" distR="114300" hidden="0" layoutInCell="1" locked="0" relativeHeight="0" simplePos="0">
            <wp:simplePos x="0" y="0"/>
            <wp:positionH relativeFrom="column">
              <wp:posOffset>-613186</wp:posOffset>
            </wp:positionH>
            <wp:positionV relativeFrom="paragraph">
              <wp:posOffset>-471</wp:posOffset>
            </wp:positionV>
            <wp:extent cx="10122614" cy="7013484"/>
            <wp:effectExtent b="0" l="0" r="0" t="0"/>
            <wp:wrapSquare wrapText="bothSides" distB="0" distT="0" distL="114300" distR="114300"/>
            <wp:docPr descr="A white sheet with black text&#10;&#10;AI-generated content may be incorrect." id="1" name="image1.png"/>
            <a:graphic>
              <a:graphicData uri="http://schemas.openxmlformats.org/drawingml/2006/picture">
                <pic:pic>
                  <pic:nvPicPr>
                    <pic:cNvPr descr="A white sheet with black text&#10;&#10;AI-generated content may be incorrect." id="0" name="image1.png"/>
                    <pic:cNvPicPr preferRelativeResize="0"/>
                  </pic:nvPicPr>
                  <pic:blipFill>
                    <a:blip r:embed="rId11"/>
                    <a:srcRect b="0" l="0" r="0" t="0"/>
                    <a:stretch>
                      <a:fillRect/>
                    </a:stretch>
                  </pic:blipFill>
                  <pic:spPr>
                    <a:xfrm>
                      <a:off x="0" y="0"/>
                      <a:ext cx="10122614" cy="7013484"/>
                    </a:xfrm>
                    <a:prstGeom prst="rect"/>
                    <a:ln/>
                  </pic:spPr>
                </pic:pic>
              </a:graphicData>
            </a:graphic>
          </wp:anchor>
        </w:drawing>
      </w:r>
    </w:p>
    <w:sectPr>
      <w:type w:val="nextPage"/>
      <w:pgSz w:h="11906" w:w="16838" w:orient="landscape"/>
      <w:pgMar w:bottom="1440" w:top="1440" w:left="1440" w:right="1440" w:header="720" w:footer="720"/>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Georgia"/>
  <w:font w:name="Times New Roman"/>
  <w:font w:name="Aptos"/>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A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tbl>
    <w:tblPr>
      <w:tblStyle w:val="Table2"/>
      <w:tblW w:w="9015.0" w:type="dxa"/>
      <w:jc w:val="left"/>
      <w:tblLayout w:type="fixed"/>
      <w:tblLook w:val="0600"/>
    </w:tblPr>
    <w:tblGrid>
      <w:gridCol w:w="3005"/>
      <w:gridCol w:w="3005"/>
      <w:gridCol w:w="3005"/>
      <w:tblGridChange w:id="0">
        <w:tblGrid>
          <w:gridCol w:w="3005"/>
          <w:gridCol w:w="3005"/>
          <w:gridCol w:w="3005"/>
        </w:tblGrid>
      </w:tblGridChange>
    </w:tblGrid>
    <w:tr>
      <w:trPr>
        <w:cantSplit w:val="0"/>
        <w:trHeight w:val="300" w:hRule="atLeast"/>
        <w:tblHeader w:val="0"/>
      </w:trPr>
      <w:tc>
        <w:tcPr/>
        <w:p w:rsidR="00000000" w:rsidDel="00000000" w:rsidP="00000000" w:rsidRDefault="00000000" w:rsidRPr="00000000" w14:paraId="000000B0">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115"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tc>
      <w:tc>
        <w:tcPr/>
        <w:p w:rsidR="00000000" w:rsidDel="00000000" w:rsidP="00000000" w:rsidRDefault="00000000" w:rsidRPr="00000000" w14:paraId="000000B1">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center"/>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tc>
      <w:tc>
        <w:tcPr/>
        <w:p w:rsidR="00000000" w:rsidDel="00000000" w:rsidP="00000000" w:rsidRDefault="00000000" w:rsidRPr="00000000" w14:paraId="000000B2">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115" w:firstLine="0"/>
            <w:jc w:val="righ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tc>
    </w:tr>
  </w:tbl>
  <w:p w:rsidR="00000000" w:rsidDel="00000000" w:rsidP="00000000" w:rsidRDefault="00000000" w:rsidRPr="00000000" w14:paraId="000000B3">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A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imes New Roman" w:cs="Times New Roman" w:eastAsia="Times New Roman" w:hAnsi="Times New Roman"/>
      </w:rPr>
    </w:pPr>
    <w:r w:rsidDel="00000000" w:rsidR="00000000" w:rsidRPr="00000000">
      <w:rPr>
        <w:rtl w:val="0"/>
      </w:rPr>
    </w:r>
  </w:p>
  <w:tbl>
    <w:tblPr>
      <w:tblStyle w:val="Table1"/>
      <w:tblW w:w="9015.0" w:type="dxa"/>
      <w:jc w:val="left"/>
      <w:tblLayout w:type="fixed"/>
      <w:tblLook w:val="0600"/>
    </w:tblPr>
    <w:tblGrid>
      <w:gridCol w:w="3005"/>
      <w:gridCol w:w="3005"/>
      <w:gridCol w:w="3005"/>
      <w:tblGridChange w:id="0">
        <w:tblGrid>
          <w:gridCol w:w="3005"/>
          <w:gridCol w:w="3005"/>
          <w:gridCol w:w="3005"/>
        </w:tblGrid>
      </w:tblGridChange>
    </w:tblGrid>
    <w:tr>
      <w:trPr>
        <w:cantSplit w:val="0"/>
        <w:trHeight w:val="300" w:hRule="atLeast"/>
        <w:tblHeader w:val="0"/>
      </w:trPr>
      <w:tc>
        <w:tcPr/>
        <w:p w:rsidR="00000000" w:rsidDel="00000000" w:rsidP="00000000" w:rsidRDefault="00000000" w:rsidRPr="00000000" w14:paraId="000000AB">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115"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tc>
      <w:tc>
        <w:tcPr/>
        <w:p w:rsidR="00000000" w:rsidDel="00000000" w:rsidP="00000000" w:rsidRDefault="00000000" w:rsidRPr="00000000" w14:paraId="000000AC">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center"/>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tc>
      <w:tc>
        <w:tcPr/>
        <w:p w:rsidR="00000000" w:rsidDel="00000000" w:rsidP="00000000" w:rsidRDefault="00000000" w:rsidRPr="00000000" w14:paraId="000000AD">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115" w:firstLine="0"/>
            <w:jc w:val="righ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tc>
    </w:tr>
  </w:tbl>
  <w:p w:rsidR="00000000" w:rsidDel="00000000" w:rsidP="00000000" w:rsidRDefault="00000000" w:rsidRPr="00000000" w14:paraId="000000AE">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ptos" w:cs="Aptos" w:eastAsia="Aptos" w:hAnsi="Aptos"/>
        <w:sz w:val="24"/>
        <w:szCs w:val="24"/>
        <w:lang w:val="en_GB"/>
      </w:rPr>
    </w:rPrDefault>
    <w:pPrDefault>
      <w:pPr>
        <w:spacing w:after="160" w:line="279"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80" w:lineRule="auto"/>
    </w:pPr>
    <w:rPr>
      <w:b w:val="1"/>
      <w:bCs w:val="1"/>
      <w:sz w:val="48"/>
      <w:szCs w:val="48"/>
    </w:rPr>
  </w:style>
  <w:style w:type="paragraph" w:styleId="Heading2">
    <w:name w:val="heading 2"/>
    <w:basedOn w:val="Normal"/>
    <w:next w:val="Normal"/>
    <w:pPr>
      <w:keepNext w:val="1"/>
      <w:keepLines w:val="1"/>
      <w:pageBreakBefore w:val="0"/>
      <w:spacing w:after="80" w:before="360" w:lineRule="auto"/>
    </w:pPr>
    <w:rPr>
      <w:b w:val="1"/>
      <w:bCs w:val="1"/>
      <w:sz w:val="36"/>
      <w:szCs w:val="36"/>
    </w:rPr>
  </w:style>
  <w:style w:type="paragraph" w:styleId="Heading3">
    <w:name w:val="heading 3"/>
    <w:basedOn w:val="Normal"/>
    <w:next w:val="Normal"/>
    <w:pPr>
      <w:keepNext w:val="1"/>
      <w:keepLines w:val="1"/>
      <w:pageBreakBefore w:val="0"/>
      <w:spacing w:after="80" w:before="280" w:lineRule="auto"/>
    </w:pPr>
    <w:rPr>
      <w:b w:val="1"/>
      <w:bCs w:val="1"/>
      <w:sz w:val="28"/>
      <w:szCs w:val="28"/>
    </w:rPr>
  </w:style>
  <w:style w:type="paragraph" w:styleId="Heading4">
    <w:name w:val="heading 4"/>
    <w:basedOn w:val="Normal"/>
    <w:next w:val="Normal"/>
    <w:pPr>
      <w:keepNext w:val="1"/>
      <w:keepLines w:val="1"/>
      <w:pageBreakBefore w:val="0"/>
      <w:spacing w:after="40" w:before="240" w:lineRule="auto"/>
    </w:pPr>
    <w:rPr>
      <w:b w:val="1"/>
      <w:bCs w:val="1"/>
      <w:sz w:val="24"/>
      <w:szCs w:val="24"/>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keepLines w:val="1"/>
      <w:pageBreakBefore w:val="0"/>
      <w:spacing w:after="40" w:before="200" w:lineRule="auto"/>
    </w:pPr>
    <w:rPr>
      <w:b w:val="1"/>
      <w:bCs w:val="1"/>
      <w:sz w:val="20"/>
      <w:szCs w:val="20"/>
    </w:rPr>
  </w:style>
  <w:style w:type="paragraph" w:styleId="Title">
    <w:name w:val="Title"/>
    <w:basedOn w:val="Normal"/>
    <w:next w:val="Normal"/>
    <w:pPr>
      <w:keepNext w:val="1"/>
      <w:keepLines w:val="1"/>
      <w:pageBreakBefore w:val="0"/>
      <w:spacing w:after="120" w:before="480" w:lineRule="auto"/>
    </w:pPr>
    <w:rPr>
      <w:b w:val="1"/>
      <w:bCs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image" Target="media/image1.png"/><Relationship Id="rId10" Type="http://schemas.openxmlformats.org/officeDocument/2006/relationships/image" Target="media/image2.png"/><Relationship Id="rId9" Type="http://schemas.openxmlformats.org/officeDocument/2006/relationships/footer" Target="footer1.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3.jpg"/><Relationship Id="rId8"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FaVt05G9lAPWANeROfKW/FylpUg==">CgMxLjA4AGonChRzdWdnZXN0LjlyYmNjYTZ2ZGdlNRIPUm9zaGVlbmEgVGhvbWFzciExQjhsREZKR2Y5R25hNlU4d0t3YVBSQVFMN1c2QzRucGg=</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