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B89AF2" w14:textId="77777777" w:rsidR="001B7545" w:rsidRPr="00D7213B" w:rsidRDefault="00217838" w:rsidP="00D7213B">
      <w:pPr>
        <w:pBdr>
          <w:top w:val="nil"/>
          <w:left w:val="nil"/>
          <w:bottom w:val="nil"/>
          <w:right w:val="nil"/>
          <w:between w:val="nil"/>
        </w:pBdr>
        <w:spacing w:before="1540" w:after="240"/>
        <w:jc w:val="center"/>
        <w:rPr>
          <w:rFonts w:cs="Times New Roman"/>
          <w:color w:val="5B9BD5"/>
          <w:szCs w:val="24"/>
        </w:rPr>
      </w:pPr>
      <w:r w:rsidRPr="00D7213B">
        <w:rPr>
          <w:rFonts w:cs="Times New Roman"/>
          <w:noProof/>
          <w:color w:val="5B9BD5"/>
          <w:szCs w:val="24"/>
        </w:rPr>
        <w:drawing>
          <wp:inline distT="0" distB="0" distL="0" distR="0" wp14:anchorId="51F26650" wp14:editId="5B4BED4B">
            <wp:extent cx="1417320" cy="75089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417320" cy="750898"/>
                    </a:xfrm>
                    <a:prstGeom prst="rect">
                      <a:avLst/>
                    </a:prstGeom>
                    <a:ln/>
                  </pic:spPr>
                </pic:pic>
              </a:graphicData>
            </a:graphic>
          </wp:inline>
        </w:drawing>
      </w:r>
    </w:p>
    <w:p w14:paraId="061D06FE" w14:textId="77777777" w:rsidR="00D7213B" w:rsidRPr="00D7213B" w:rsidRDefault="00D7213B" w:rsidP="000F4261">
      <w:pPr>
        <w:ind w:right="-957"/>
        <w:jc w:val="center"/>
        <w:rPr>
          <w:rFonts w:eastAsia="Arial" w:cs="Times New Roman"/>
          <w:b/>
          <w:bCs/>
          <w:szCs w:val="24"/>
        </w:rPr>
      </w:pPr>
      <w:r w:rsidRPr="00D7213B">
        <w:rPr>
          <w:rFonts w:eastAsia="Arial" w:cs="Times New Roman"/>
          <w:b/>
          <w:bCs/>
          <w:szCs w:val="24"/>
        </w:rPr>
        <w:t>Finance for Business Managers</w:t>
      </w:r>
    </w:p>
    <w:p w14:paraId="22A1DFEB" w14:textId="77777777" w:rsidR="00B50A2A" w:rsidRPr="00B50A2A" w:rsidRDefault="00B50A2A" w:rsidP="00B50A2A">
      <w:pPr>
        <w:pStyle w:val="NormalWeb"/>
        <w:jc w:val="center"/>
        <w:rPr>
          <w:rStyle w:val="Strong"/>
          <w:b w:val="0"/>
          <w:sz w:val="32"/>
        </w:rPr>
      </w:pPr>
      <w:r w:rsidRPr="00B50A2A">
        <w:rPr>
          <w:b/>
          <w:sz w:val="32"/>
        </w:rPr>
        <w:t>Comprehensive Investment Appraisal and Strategic Capital Budgeting Analysis for Beard Plc</w:t>
      </w:r>
    </w:p>
    <w:p w14:paraId="37180334" w14:textId="77777777" w:rsidR="001B7545" w:rsidRPr="00D7213B" w:rsidRDefault="00217838" w:rsidP="00D7213B">
      <w:pPr>
        <w:pBdr>
          <w:top w:val="nil"/>
          <w:left w:val="nil"/>
          <w:bottom w:val="nil"/>
          <w:right w:val="nil"/>
          <w:between w:val="nil"/>
        </w:pBdr>
        <w:spacing w:before="480" w:after="0"/>
        <w:jc w:val="center"/>
        <w:rPr>
          <w:rFonts w:cs="Times New Roman"/>
          <w:color w:val="5B9BD5"/>
          <w:szCs w:val="24"/>
        </w:rPr>
      </w:pPr>
      <w:r w:rsidRPr="00D7213B">
        <w:rPr>
          <w:rFonts w:cs="Times New Roman"/>
          <w:noProof/>
          <w:color w:val="5B9BD5"/>
          <w:szCs w:val="24"/>
        </w:rPr>
        <mc:AlternateContent>
          <mc:Choice Requires="wps">
            <w:drawing>
              <wp:anchor distT="0" distB="0" distL="114300" distR="114300" simplePos="0" relativeHeight="251658240" behindDoc="0" locked="0" layoutInCell="1" hidden="0" allowOverlap="1" wp14:anchorId="0ADB351C" wp14:editId="16912501">
                <wp:simplePos x="0" y="0"/>
                <wp:positionH relativeFrom="margin">
                  <wp:align>center</wp:align>
                </wp:positionH>
                <wp:positionV relativeFrom="page">
                  <wp:posOffset>9083358</wp:posOffset>
                </wp:positionV>
                <wp:extent cx="5741035" cy="599440"/>
                <wp:effectExtent l="0" t="0" r="0" b="0"/>
                <wp:wrapNone/>
                <wp:docPr id="1" name="Rectangle 1"/>
                <wp:cNvGraphicFramePr/>
                <a:graphic xmlns:a="http://schemas.openxmlformats.org/drawingml/2006/main">
                  <a:graphicData uri="http://schemas.microsoft.com/office/word/2010/wordprocessingShape">
                    <wps:wsp>
                      <wps:cNvSpPr/>
                      <wps:spPr>
                        <a:xfrm>
                          <a:off x="2480245" y="3485043"/>
                          <a:ext cx="5731510" cy="589915"/>
                        </a:xfrm>
                        <a:prstGeom prst="rect">
                          <a:avLst/>
                        </a:prstGeom>
                        <a:noFill/>
                        <a:ln>
                          <a:noFill/>
                        </a:ln>
                      </wps:spPr>
                      <wps:txbx>
                        <w:txbxContent>
                          <w:p w14:paraId="11EEC828" w14:textId="77777777" w:rsidR="00127345" w:rsidRDefault="00127345">
                            <w:pPr>
                              <w:spacing w:after="40" w:line="240" w:lineRule="auto"/>
                              <w:jc w:val="center"/>
                              <w:textDirection w:val="btLr"/>
                            </w:pPr>
                            <w:r>
                              <w:rPr>
                                <w:rFonts w:ascii="Arial" w:eastAsia="Arial" w:hAnsi="Arial" w:cs="Arial"/>
                                <w:smallCaps/>
                                <w:color w:val="5B9BD5"/>
                                <w:sz w:val="28"/>
                              </w:rPr>
                              <w:t>[DATE]</w:t>
                            </w:r>
                          </w:p>
                          <w:p w14:paraId="10816699" w14:textId="77777777" w:rsidR="00127345" w:rsidRDefault="00127345">
                            <w:pPr>
                              <w:spacing w:after="0" w:line="240" w:lineRule="auto"/>
                              <w:jc w:val="center"/>
                              <w:textDirection w:val="btLr"/>
                            </w:pPr>
                            <w:r>
                              <w:rPr>
                                <w:rFonts w:ascii="Arial" w:eastAsia="Arial" w:hAnsi="Arial" w:cs="Arial"/>
                                <w:smallCaps/>
                                <w:color w:val="5B9BD5"/>
                                <w:sz w:val="28"/>
                              </w:rPr>
                              <w:t>UNIVERSITY OF WALES TRINITY SAINT DAVID</w:t>
                            </w:r>
                          </w:p>
                          <w:p w14:paraId="4F49BAAC" w14:textId="77777777" w:rsidR="00127345" w:rsidRDefault="00127345">
                            <w:pPr>
                              <w:spacing w:after="0" w:line="240" w:lineRule="auto"/>
                              <w:jc w:val="center"/>
                              <w:textDirection w:val="btLr"/>
                            </w:pPr>
                            <w:r>
                              <w:rPr>
                                <w:rFonts w:ascii="Arial" w:eastAsia="Arial" w:hAnsi="Arial" w:cs="Arial"/>
                                <w:color w:val="5B9BD5"/>
                                <w:sz w:val="28"/>
                              </w:rPr>
                              <w:t xml:space="preserve">     </w:t>
                            </w:r>
                          </w:p>
                        </w:txbxContent>
                      </wps:txbx>
                      <wps:bodyPr spcFirstLastPara="1" wrap="square" lIns="0" tIns="0" rIns="0" bIns="0" anchor="b" anchorCtr="0">
                        <a:noAutofit/>
                      </wps:bodyPr>
                    </wps:wsp>
                  </a:graphicData>
                </a:graphic>
              </wp:anchor>
            </w:drawing>
          </mc:Choice>
          <mc:Fallback>
            <w:pict>
              <v:rect w14:anchorId="0ADB351C" id="Rectangle 1" o:spid="_x0000_s1026" style="position:absolute;left:0;text-align:left;margin-left:0;margin-top:715.25pt;width:452.05pt;height:47.2pt;z-index:251658240;visibility:visible;mso-wrap-style:square;mso-wrap-distance-left:9pt;mso-wrap-distance-top:0;mso-wrap-distance-right:9pt;mso-wrap-distance-bottom:0;mso-position-horizontal:center;mso-position-horizontal-relative:margin;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" filled="f" stroked="f">
                <v:textbox inset="0,0,0,0">
                  <w:txbxContent>
                    <w:p w14:paraId="11EEC828" w14:textId="77777777" w:rsidR="00127345" w:rsidRDefault="00127345">
                      <w:pPr>
                        <w:spacing w:after="40" w:line="240" w:lineRule="auto"/>
                        <w:jc w:val="center"/>
                        <w:textDirection w:val="btLr"/>
                      </w:pPr>
                      <w:r>
                        <w:rPr>
                          <w:rFonts w:ascii="Arial" w:eastAsia="Arial" w:hAnsi="Arial" w:cs="Arial"/>
                          <w:smallCaps/>
                          <w:color w:val="5B9BD5"/>
                          <w:sz w:val="28"/>
                        </w:rPr>
                        <w:t>[DATE]</w:t>
                      </w:r>
                    </w:p>
                    <w:p w14:paraId="10816699" w14:textId="77777777" w:rsidR="00127345" w:rsidRDefault="00127345">
                      <w:pPr>
                        <w:spacing w:after="0" w:line="240" w:lineRule="auto"/>
                        <w:jc w:val="center"/>
                        <w:textDirection w:val="btLr"/>
                      </w:pPr>
                      <w:r>
                        <w:rPr>
                          <w:rFonts w:ascii="Arial" w:eastAsia="Arial" w:hAnsi="Arial" w:cs="Arial"/>
                          <w:smallCaps/>
                          <w:color w:val="5B9BD5"/>
                          <w:sz w:val="28"/>
                        </w:rPr>
                        <w:t>UNIVERSITY OF WALES TRINITY SAINT DAVID</w:t>
                      </w:r>
                    </w:p>
                    <w:p w14:paraId="4F49BAAC" w14:textId="77777777" w:rsidR="00127345" w:rsidRDefault="00127345">
                      <w:pPr>
                        <w:spacing w:after="0" w:line="240" w:lineRule="auto"/>
                        <w:jc w:val="center"/>
                        <w:textDirection w:val="btLr"/>
                      </w:pPr>
                      <w:r>
                        <w:rPr>
                          <w:rFonts w:ascii="Arial" w:eastAsia="Arial" w:hAnsi="Arial" w:cs="Arial"/>
                          <w:color w:val="5B9BD5"/>
                          <w:sz w:val="28"/>
                        </w:rPr>
                        <w:t xml:space="preserve">     </w:t>
                      </w:r>
                    </w:p>
                  </w:txbxContent>
                </v:textbox>
                <w10:wrap anchorx="margin" anchory="page"/>
              </v:rect>
            </w:pict>
          </mc:Fallback>
        </mc:AlternateContent>
      </w:r>
      <w:r w:rsidRPr="00D7213B">
        <w:rPr>
          <w:rFonts w:cs="Times New Roman"/>
          <w:noProof/>
          <w:color w:val="5B9BD5"/>
          <w:szCs w:val="24"/>
        </w:rPr>
        <w:drawing>
          <wp:inline distT="0" distB="0" distL="0" distR="0" wp14:anchorId="594542D2" wp14:editId="5121599D">
            <wp:extent cx="758952" cy="478932"/>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758952" cy="478932"/>
                    </a:xfrm>
                    <a:prstGeom prst="rect">
                      <a:avLst/>
                    </a:prstGeom>
                    <a:ln/>
                  </pic:spPr>
                </pic:pic>
              </a:graphicData>
            </a:graphic>
          </wp:inline>
        </w:drawing>
      </w:r>
    </w:p>
    <w:p w14:paraId="2F3FAAA6" w14:textId="77777777" w:rsidR="00F13288" w:rsidRDefault="00217838" w:rsidP="00F13288">
      <w:pPr>
        <w:pStyle w:val="NormalWeb"/>
        <w:rPr>
          <w:rStyle w:val="Strong"/>
        </w:rPr>
      </w:pPr>
      <w:r w:rsidRPr="00D7213B">
        <w:br w:type="page"/>
      </w:r>
    </w:p>
    <w:p w14:paraId="38826418" w14:textId="77777777" w:rsidR="00F13288" w:rsidRPr="00B50A2A" w:rsidRDefault="00F13288" w:rsidP="00B50A2A">
      <w:pPr>
        <w:pStyle w:val="Heading1"/>
      </w:pPr>
      <w:bookmarkStart w:id="0" w:name="_Toc222786303"/>
      <w:r w:rsidRPr="00B50A2A">
        <w:lastRenderedPageBreak/>
        <w:t>Executive Summary</w:t>
      </w:r>
      <w:bookmarkEnd w:id="0"/>
    </w:p>
    <w:p w14:paraId="7D46B2A0" w14:textId="77777777" w:rsidR="00F13288" w:rsidRPr="001864BC" w:rsidRDefault="00F13288" w:rsidP="00F13288">
      <w:pPr>
        <w:rPr>
          <w:rFonts w:cs="Times New Roman"/>
          <w:szCs w:val="24"/>
        </w:rPr>
      </w:pPr>
      <w:r w:rsidRPr="001864BC">
        <w:rPr>
          <w:rFonts w:cs="Times New Roman"/>
          <w:szCs w:val="24"/>
        </w:rPr>
        <w:t xml:space="preserve">This report analyses the financial performance of Unilever PLC in the period of both </w:t>
      </w:r>
      <w:r>
        <w:rPr>
          <w:rFonts w:cs="Times New Roman"/>
          <w:szCs w:val="24"/>
        </w:rPr>
        <w:t>the 2023 and 2024 financial years and explains the decision-making</w:t>
      </w:r>
      <w:r w:rsidRPr="001864BC">
        <w:rPr>
          <w:rFonts w:cs="Times New Roman"/>
          <w:szCs w:val="24"/>
        </w:rPr>
        <w:t xml:space="preserve"> on investment when judging by the capital appraisal techniques in the case of Beard Plc. Unilever is addressed in terms of audited consolidated financial statements and uses the primary financial ratios</w:t>
      </w:r>
      <w:r>
        <w:rPr>
          <w:rFonts w:cs="Times New Roman"/>
          <w:szCs w:val="24"/>
        </w:rPr>
        <w:t xml:space="preserve">, which involve profitability, liquidity, </w:t>
      </w:r>
      <w:r w:rsidRPr="001864BC">
        <w:rPr>
          <w:rFonts w:cs="Times New Roman"/>
          <w:szCs w:val="24"/>
        </w:rPr>
        <w:t>gearing, efficiency and performance of investors.</w:t>
      </w:r>
    </w:p>
    <w:p w14:paraId="1C3F9006" w14:textId="77777777" w:rsidR="00F13288" w:rsidRPr="001864BC" w:rsidRDefault="00F13288" w:rsidP="00F13288">
      <w:pPr>
        <w:rPr>
          <w:rFonts w:cs="Times New Roman"/>
          <w:szCs w:val="24"/>
        </w:rPr>
      </w:pPr>
      <w:r w:rsidRPr="001864BC">
        <w:rPr>
          <w:rFonts w:cs="Times New Roman"/>
          <w:szCs w:val="24"/>
        </w:rPr>
        <w:t xml:space="preserve">Unilever has achieved an improved underlying </w:t>
      </w:r>
      <w:r>
        <w:rPr>
          <w:rFonts w:cs="Times New Roman"/>
          <w:szCs w:val="24"/>
        </w:rPr>
        <w:t>sales growth in 2024 of 4.2%,</w:t>
      </w:r>
      <w:r w:rsidRPr="001864BC">
        <w:rPr>
          <w:rFonts w:cs="Times New Roman"/>
          <w:szCs w:val="24"/>
        </w:rPr>
        <w:t xml:space="preserve"> with a great contribution of 2.9% volume growth and a brilliant performance of its Power Brands portfolio. The gross margin rate has increased by 280 basis </w:t>
      </w:r>
      <w:r>
        <w:rPr>
          <w:rFonts w:cs="Times New Roman"/>
          <w:szCs w:val="24"/>
        </w:rPr>
        <w:t>points to around 45 per cent and has resulted in an underlying operating profit of 12.6 per cent</w:t>
      </w:r>
      <w:r w:rsidRPr="001864BC">
        <w:rPr>
          <w:rFonts w:cs="Times New Roman"/>
          <w:szCs w:val="24"/>
        </w:rPr>
        <w:t xml:space="preserve"> (11.2 billion Euros) and in a better operating margin of 18.4. The underlying earnings per share also increased by 14.7 per cent to 2.98, free cash flow increased considerably to </w:t>
      </w:r>
      <w:r>
        <w:rPr>
          <w:rFonts w:cs="Times New Roman"/>
          <w:szCs w:val="24"/>
        </w:rPr>
        <w:t xml:space="preserve">6.9 billion, which gives a cash conversion of </w:t>
      </w:r>
      <w:r w:rsidRPr="001864BC">
        <w:rPr>
          <w:rFonts w:cs="Times New Roman"/>
          <w:szCs w:val="24"/>
        </w:rPr>
        <w:t>106 per cent. It was stable in terms of liquidity (0.76 current ratio), gearing</w:t>
      </w:r>
      <w:r>
        <w:rPr>
          <w:rFonts w:cs="Times New Roman"/>
          <w:szCs w:val="24"/>
        </w:rPr>
        <w:t>, and operating efficiency was satisfactory due to the productivity programmes,</w:t>
      </w:r>
      <w:r w:rsidRPr="001864BC">
        <w:rPr>
          <w:rFonts w:cs="Times New Roman"/>
          <w:szCs w:val="24"/>
        </w:rPr>
        <w:t xml:space="preserve"> but the restructuring costs affected statutory profitability.</w:t>
      </w:r>
    </w:p>
    <w:p w14:paraId="4D84FF3C" w14:textId="77777777" w:rsidR="00F13288" w:rsidRPr="001864BC" w:rsidRDefault="00F13288" w:rsidP="00F13288">
      <w:pPr>
        <w:rPr>
          <w:rFonts w:cs="Times New Roman"/>
          <w:szCs w:val="24"/>
        </w:rPr>
      </w:pPr>
      <w:r w:rsidRPr="001864BC">
        <w:rPr>
          <w:rFonts w:cs="Times New Roman"/>
          <w:szCs w:val="24"/>
        </w:rPr>
        <w:t xml:space="preserve">The comparison was made on three projects at a cost of capital of 5 per cent (after tax and capital allowance) and under the Net Present Value (NPV) and Internal </w:t>
      </w:r>
      <w:r>
        <w:rPr>
          <w:rFonts w:cs="Times New Roman"/>
          <w:szCs w:val="24"/>
        </w:rPr>
        <w:t>Rate</w:t>
      </w:r>
      <w:r w:rsidRPr="001864BC">
        <w:rPr>
          <w:rFonts w:cs="Times New Roman"/>
          <w:szCs w:val="24"/>
        </w:rPr>
        <w:t xml:space="preserve"> of Return (IRR) in the case of Beard Plc. The greatest NPV (around</w:t>
      </w:r>
      <w:r>
        <w:rPr>
          <w:rFonts w:cs="Times New Roman"/>
          <w:szCs w:val="24"/>
        </w:rPr>
        <w:t xml:space="preserve"> £380,000) and the greatest IRR (1822%) were in project B. Projects B and A will be sought under the capital rationing of constraints of 1.5 million, where the funds will be raised by the retained earnings, as it will maximise the shareholders'</w:t>
      </w:r>
      <w:r w:rsidRPr="001864BC">
        <w:rPr>
          <w:rFonts w:cs="Times New Roman"/>
          <w:szCs w:val="24"/>
        </w:rPr>
        <w:t xml:space="preserve"> value.</w:t>
      </w:r>
    </w:p>
    <w:p w14:paraId="02407E76" w14:textId="77777777" w:rsidR="00B50A2A" w:rsidRDefault="00B50A2A">
      <w:pPr>
        <w:spacing w:line="259" w:lineRule="auto"/>
        <w:jc w:val="left"/>
        <w:rPr>
          <w:b/>
          <w:color w:val="2E75B5"/>
          <w:sz w:val="28"/>
          <w:szCs w:val="26"/>
        </w:rPr>
      </w:pPr>
      <w:r>
        <w:br w:type="page"/>
      </w:r>
    </w:p>
    <w:sdt>
      <w:sdtPr>
        <w:rPr>
          <w:rFonts w:ascii="Times New Roman" w:eastAsia="Calibri" w:hAnsi="Times New Roman" w:cs="Calibri"/>
          <w:color w:val="auto"/>
          <w:sz w:val="24"/>
          <w:szCs w:val="22"/>
          <w:lang w:val="en-GB" w:eastAsia="en-GB"/>
        </w:rPr>
        <w:id w:val="961767703"/>
        <w:docPartObj>
          <w:docPartGallery w:val="Table of Contents"/>
          <w:docPartUnique/>
        </w:docPartObj>
      </w:sdtPr>
      <w:sdtEndPr>
        <w:rPr>
          <w:b/>
          <w:bCs/>
          <w:noProof/>
        </w:rPr>
      </w:sdtEndPr>
      <w:sdtContent>
        <w:p w14:paraId="7F402A4A" w14:textId="77777777" w:rsidR="00B50A2A" w:rsidRPr="00B50A2A" w:rsidRDefault="00B50A2A" w:rsidP="00B50A2A">
          <w:pPr>
            <w:pStyle w:val="TOCHeading"/>
            <w:spacing w:line="360" w:lineRule="auto"/>
            <w:jc w:val="both"/>
            <w:rPr>
              <w:rFonts w:ascii="Times New Roman" w:hAnsi="Times New Roman" w:cs="Times New Roman"/>
              <w:sz w:val="24"/>
              <w:szCs w:val="24"/>
            </w:rPr>
          </w:pPr>
          <w:r w:rsidRPr="00B50A2A">
            <w:rPr>
              <w:rFonts w:ascii="Times New Roman" w:hAnsi="Times New Roman" w:cs="Times New Roman"/>
              <w:sz w:val="24"/>
              <w:szCs w:val="24"/>
            </w:rPr>
            <w:t>Table of Contents</w:t>
          </w:r>
        </w:p>
        <w:p w14:paraId="4F10EFF6" w14:textId="5E5D0FA3" w:rsidR="003C0754" w:rsidRDefault="00B50A2A">
          <w:pPr>
            <w:pStyle w:val="TOC1"/>
            <w:rPr>
              <w:rFonts w:asciiTheme="minorHAnsi" w:eastAsiaTheme="minorEastAsia" w:hAnsiTheme="minorHAnsi" w:cstheme="minorBidi"/>
              <w:noProof/>
              <w:kern w:val="2"/>
              <w:szCs w:val="24"/>
              <w:lang w:val="en-US" w:eastAsia="en-US"/>
              <w14:ligatures w14:val="standardContextual"/>
            </w:rPr>
          </w:pPr>
          <w:r w:rsidRPr="00B50A2A">
            <w:rPr>
              <w:rFonts w:cs="Times New Roman"/>
              <w:szCs w:val="24"/>
            </w:rPr>
            <w:fldChar w:fldCharType="begin"/>
          </w:r>
          <w:r w:rsidRPr="00B50A2A">
            <w:rPr>
              <w:rFonts w:cs="Times New Roman"/>
              <w:szCs w:val="24"/>
            </w:rPr>
            <w:instrText xml:space="preserve"> TOC \o "1-3" \h \z \u </w:instrText>
          </w:r>
          <w:r w:rsidRPr="00B50A2A">
            <w:rPr>
              <w:rFonts w:cs="Times New Roman"/>
              <w:szCs w:val="24"/>
            </w:rPr>
            <w:fldChar w:fldCharType="separate"/>
          </w:r>
          <w:hyperlink w:anchor="_Toc222786303" w:history="1">
            <w:r w:rsidR="003C0754" w:rsidRPr="006F0CF1">
              <w:rPr>
                <w:rStyle w:val="Hyperlink"/>
                <w:noProof/>
              </w:rPr>
              <w:t>Executive Summary</w:t>
            </w:r>
            <w:r w:rsidR="003C0754">
              <w:rPr>
                <w:noProof/>
                <w:webHidden/>
              </w:rPr>
              <w:tab/>
            </w:r>
            <w:r w:rsidR="003C0754">
              <w:rPr>
                <w:noProof/>
                <w:webHidden/>
              </w:rPr>
              <w:fldChar w:fldCharType="begin"/>
            </w:r>
            <w:r w:rsidR="003C0754">
              <w:rPr>
                <w:noProof/>
                <w:webHidden/>
              </w:rPr>
              <w:instrText xml:space="preserve"> PAGEREF _Toc222786303 \h </w:instrText>
            </w:r>
            <w:r w:rsidR="003C0754">
              <w:rPr>
                <w:noProof/>
                <w:webHidden/>
              </w:rPr>
            </w:r>
            <w:r w:rsidR="003C0754">
              <w:rPr>
                <w:noProof/>
                <w:webHidden/>
              </w:rPr>
              <w:fldChar w:fldCharType="separate"/>
            </w:r>
            <w:r w:rsidR="003C0754">
              <w:rPr>
                <w:noProof/>
                <w:webHidden/>
              </w:rPr>
              <w:t>1</w:t>
            </w:r>
            <w:r w:rsidR="003C0754">
              <w:rPr>
                <w:noProof/>
                <w:webHidden/>
              </w:rPr>
              <w:fldChar w:fldCharType="end"/>
            </w:r>
          </w:hyperlink>
        </w:p>
        <w:p w14:paraId="57D29B10" w14:textId="7E7DC347" w:rsidR="003C0754" w:rsidRDefault="003C0754">
          <w:pPr>
            <w:pStyle w:val="TOC1"/>
            <w:rPr>
              <w:rFonts w:asciiTheme="minorHAnsi" w:eastAsiaTheme="minorEastAsia" w:hAnsiTheme="minorHAnsi" w:cstheme="minorBidi"/>
              <w:noProof/>
              <w:kern w:val="2"/>
              <w:szCs w:val="24"/>
              <w:lang w:val="en-US" w:eastAsia="en-US"/>
              <w14:ligatures w14:val="standardContextual"/>
            </w:rPr>
          </w:pPr>
          <w:hyperlink w:anchor="_Toc222786304" w:history="1">
            <w:r w:rsidRPr="006F0CF1">
              <w:rPr>
                <w:rStyle w:val="Hyperlink"/>
                <w:noProof/>
              </w:rPr>
              <w:t>1. Introduction</w:t>
            </w:r>
            <w:r>
              <w:rPr>
                <w:noProof/>
                <w:webHidden/>
              </w:rPr>
              <w:tab/>
            </w:r>
            <w:r>
              <w:rPr>
                <w:noProof/>
                <w:webHidden/>
              </w:rPr>
              <w:fldChar w:fldCharType="begin"/>
            </w:r>
            <w:r>
              <w:rPr>
                <w:noProof/>
                <w:webHidden/>
              </w:rPr>
              <w:instrText xml:space="preserve"> PAGEREF _Toc222786304 \h </w:instrText>
            </w:r>
            <w:r>
              <w:rPr>
                <w:noProof/>
                <w:webHidden/>
              </w:rPr>
            </w:r>
            <w:r>
              <w:rPr>
                <w:noProof/>
                <w:webHidden/>
              </w:rPr>
              <w:fldChar w:fldCharType="separate"/>
            </w:r>
            <w:r>
              <w:rPr>
                <w:noProof/>
                <w:webHidden/>
              </w:rPr>
              <w:t>4</w:t>
            </w:r>
            <w:r>
              <w:rPr>
                <w:noProof/>
                <w:webHidden/>
              </w:rPr>
              <w:fldChar w:fldCharType="end"/>
            </w:r>
          </w:hyperlink>
        </w:p>
        <w:p w14:paraId="4593A7D4" w14:textId="1AB085F9" w:rsidR="003C0754" w:rsidRDefault="003C0754">
          <w:pPr>
            <w:pStyle w:val="TOC1"/>
            <w:rPr>
              <w:rFonts w:asciiTheme="minorHAnsi" w:eastAsiaTheme="minorEastAsia" w:hAnsiTheme="minorHAnsi" w:cstheme="minorBidi"/>
              <w:noProof/>
              <w:kern w:val="2"/>
              <w:szCs w:val="24"/>
              <w:lang w:val="en-US" w:eastAsia="en-US"/>
              <w14:ligatures w14:val="standardContextual"/>
            </w:rPr>
          </w:pPr>
          <w:hyperlink w:anchor="_Toc222786305" w:history="1">
            <w:r w:rsidRPr="006F0CF1">
              <w:rPr>
                <w:rStyle w:val="Hyperlink"/>
                <w:noProof/>
              </w:rPr>
              <w:t>Task 1: Financial Ratio Analysis of Unilever PLC</w:t>
            </w:r>
            <w:r>
              <w:rPr>
                <w:noProof/>
                <w:webHidden/>
              </w:rPr>
              <w:tab/>
            </w:r>
            <w:r>
              <w:rPr>
                <w:noProof/>
                <w:webHidden/>
              </w:rPr>
              <w:fldChar w:fldCharType="begin"/>
            </w:r>
            <w:r>
              <w:rPr>
                <w:noProof/>
                <w:webHidden/>
              </w:rPr>
              <w:instrText xml:space="preserve"> PAGEREF _Toc222786305 \h </w:instrText>
            </w:r>
            <w:r>
              <w:rPr>
                <w:noProof/>
                <w:webHidden/>
              </w:rPr>
            </w:r>
            <w:r>
              <w:rPr>
                <w:noProof/>
                <w:webHidden/>
              </w:rPr>
              <w:fldChar w:fldCharType="separate"/>
            </w:r>
            <w:r>
              <w:rPr>
                <w:noProof/>
                <w:webHidden/>
              </w:rPr>
              <w:t>5</w:t>
            </w:r>
            <w:r>
              <w:rPr>
                <w:noProof/>
                <w:webHidden/>
              </w:rPr>
              <w:fldChar w:fldCharType="end"/>
            </w:r>
          </w:hyperlink>
        </w:p>
        <w:p w14:paraId="4C9A42E3" w14:textId="6A15CC50" w:rsidR="003C0754" w:rsidRDefault="003C0754">
          <w:pPr>
            <w:pStyle w:val="TOC2"/>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2786306" w:history="1">
            <w:r w:rsidRPr="006F0CF1">
              <w:rPr>
                <w:rStyle w:val="Hyperlink"/>
                <w:noProof/>
              </w:rPr>
              <w:t>1. Profitability Performance</w:t>
            </w:r>
            <w:r>
              <w:rPr>
                <w:noProof/>
                <w:webHidden/>
              </w:rPr>
              <w:tab/>
            </w:r>
            <w:r>
              <w:rPr>
                <w:noProof/>
                <w:webHidden/>
              </w:rPr>
              <w:fldChar w:fldCharType="begin"/>
            </w:r>
            <w:r>
              <w:rPr>
                <w:noProof/>
                <w:webHidden/>
              </w:rPr>
              <w:instrText xml:space="preserve"> PAGEREF _Toc222786306 \h </w:instrText>
            </w:r>
            <w:r>
              <w:rPr>
                <w:noProof/>
                <w:webHidden/>
              </w:rPr>
            </w:r>
            <w:r>
              <w:rPr>
                <w:noProof/>
                <w:webHidden/>
              </w:rPr>
              <w:fldChar w:fldCharType="separate"/>
            </w:r>
            <w:r>
              <w:rPr>
                <w:noProof/>
                <w:webHidden/>
              </w:rPr>
              <w:t>5</w:t>
            </w:r>
            <w:r>
              <w:rPr>
                <w:noProof/>
                <w:webHidden/>
              </w:rPr>
              <w:fldChar w:fldCharType="end"/>
            </w:r>
          </w:hyperlink>
        </w:p>
        <w:p w14:paraId="5504D442" w14:textId="3E6C8E9C" w:rsidR="003C0754" w:rsidRDefault="003C0754">
          <w:pPr>
            <w:pStyle w:val="TOC2"/>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2786307" w:history="1">
            <w:r w:rsidRPr="006F0CF1">
              <w:rPr>
                <w:rStyle w:val="Hyperlink"/>
                <w:noProof/>
              </w:rPr>
              <w:t>2. Liquidity Position</w:t>
            </w:r>
            <w:r>
              <w:rPr>
                <w:noProof/>
                <w:webHidden/>
              </w:rPr>
              <w:tab/>
            </w:r>
            <w:r>
              <w:rPr>
                <w:noProof/>
                <w:webHidden/>
              </w:rPr>
              <w:fldChar w:fldCharType="begin"/>
            </w:r>
            <w:r>
              <w:rPr>
                <w:noProof/>
                <w:webHidden/>
              </w:rPr>
              <w:instrText xml:space="preserve"> PAGEREF _Toc222786307 \h </w:instrText>
            </w:r>
            <w:r>
              <w:rPr>
                <w:noProof/>
                <w:webHidden/>
              </w:rPr>
            </w:r>
            <w:r>
              <w:rPr>
                <w:noProof/>
                <w:webHidden/>
              </w:rPr>
              <w:fldChar w:fldCharType="separate"/>
            </w:r>
            <w:r>
              <w:rPr>
                <w:noProof/>
                <w:webHidden/>
              </w:rPr>
              <w:t>7</w:t>
            </w:r>
            <w:r>
              <w:rPr>
                <w:noProof/>
                <w:webHidden/>
              </w:rPr>
              <w:fldChar w:fldCharType="end"/>
            </w:r>
          </w:hyperlink>
        </w:p>
        <w:p w14:paraId="354FC0FE" w14:textId="6F67A0BF" w:rsidR="003C0754" w:rsidRDefault="003C0754">
          <w:pPr>
            <w:pStyle w:val="TOC2"/>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2786308" w:history="1">
            <w:r w:rsidRPr="006F0CF1">
              <w:rPr>
                <w:rStyle w:val="Hyperlink"/>
                <w:noProof/>
              </w:rPr>
              <w:t>3. Gearing and Financial Risk</w:t>
            </w:r>
            <w:r>
              <w:rPr>
                <w:noProof/>
                <w:webHidden/>
              </w:rPr>
              <w:tab/>
            </w:r>
            <w:r>
              <w:rPr>
                <w:noProof/>
                <w:webHidden/>
              </w:rPr>
              <w:fldChar w:fldCharType="begin"/>
            </w:r>
            <w:r>
              <w:rPr>
                <w:noProof/>
                <w:webHidden/>
              </w:rPr>
              <w:instrText xml:space="preserve"> PAGEREF _Toc222786308 \h </w:instrText>
            </w:r>
            <w:r>
              <w:rPr>
                <w:noProof/>
                <w:webHidden/>
              </w:rPr>
            </w:r>
            <w:r>
              <w:rPr>
                <w:noProof/>
                <w:webHidden/>
              </w:rPr>
              <w:fldChar w:fldCharType="separate"/>
            </w:r>
            <w:r>
              <w:rPr>
                <w:noProof/>
                <w:webHidden/>
              </w:rPr>
              <w:t>8</w:t>
            </w:r>
            <w:r>
              <w:rPr>
                <w:noProof/>
                <w:webHidden/>
              </w:rPr>
              <w:fldChar w:fldCharType="end"/>
            </w:r>
          </w:hyperlink>
        </w:p>
        <w:p w14:paraId="4FABA205" w14:textId="7D5C3800" w:rsidR="003C0754" w:rsidRDefault="003C0754">
          <w:pPr>
            <w:pStyle w:val="TOC2"/>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2786309" w:history="1">
            <w:r w:rsidRPr="006F0CF1">
              <w:rPr>
                <w:rStyle w:val="Hyperlink"/>
                <w:noProof/>
              </w:rPr>
              <w:t>4. Operational Efficiency</w:t>
            </w:r>
            <w:r>
              <w:rPr>
                <w:noProof/>
                <w:webHidden/>
              </w:rPr>
              <w:tab/>
            </w:r>
            <w:r>
              <w:rPr>
                <w:noProof/>
                <w:webHidden/>
              </w:rPr>
              <w:fldChar w:fldCharType="begin"/>
            </w:r>
            <w:r>
              <w:rPr>
                <w:noProof/>
                <w:webHidden/>
              </w:rPr>
              <w:instrText xml:space="preserve"> PAGEREF _Toc222786309 \h </w:instrText>
            </w:r>
            <w:r>
              <w:rPr>
                <w:noProof/>
                <w:webHidden/>
              </w:rPr>
            </w:r>
            <w:r>
              <w:rPr>
                <w:noProof/>
                <w:webHidden/>
              </w:rPr>
              <w:fldChar w:fldCharType="separate"/>
            </w:r>
            <w:r>
              <w:rPr>
                <w:noProof/>
                <w:webHidden/>
              </w:rPr>
              <w:t>9</w:t>
            </w:r>
            <w:r>
              <w:rPr>
                <w:noProof/>
                <w:webHidden/>
              </w:rPr>
              <w:fldChar w:fldCharType="end"/>
            </w:r>
          </w:hyperlink>
        </w:p>
        <w:p w14:paraId="06737A2E" w14:textId="2617E574" w:rsidR="003C0754" w:rsidRDefault="003C0754">
          <w:pPr>
            <w:pStyle w:val="TOC2"/>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2786310" w:history="1">
            <w:r w:rsidRPr="006F0CF1">
              <w:rPr>
                <w:rStyle w:val="Hyperlink"/>
                <w:noProof/>
              </w:rPr>
              <w:t>5. Investor Performance</w:t>
            </w:r>
            <w:r>
              <w:rPr>
                <w:noProof/>
                <w:webHidden/>
              </w:rPr>
              <w:tab/>
            </w:r>
            <w:r>
              <w:rPr>
                <w:noProof/>
                <w:webHidden/>
              </w:rPr>
              <w:fldChar w:fldCharType="begin"/>
            </w:r>
            <w:r>
              <w:rPr>
                <w:noProof/>
                <w:webHidden/>
              </w:rPr>
              <w:instrText xml:space="preserve"> PAGEREF _Toc222786310 \h </w:instrText>
            </w:r>
            <w:r>
              <w:rPr>
                <w:noProof/>
                <w:webHidden/>
              </w:rPr>
            </w:r>
            <w:r>
              <w:rPr>
                <w:noProof/>
                <w:webHidden/>
              </w:rPr>
              <w:fldChar w:fldCharType="separate"/>
            </w:r>
            <w:r>
              <w:rPr>
                <w:noProof/>
                <w:webHidden/>
              </w:rPr>
              <w:t>9</w:t>
            </w:r>
            <w:r>
              <w:rPr>
                <w:noProof/>
                <w:webHidden/>
              </w:rPr>
              <w:fldChar w:fldCharType="end"/>
            </w:r>
          </w:hyperlink>
        </w:p>
        <w:p w14:paraId="1722DA74" w14:textId="54CA4425" w:rsidR="003C0754" w:rsidRDefault="003C0754">
          <w:pPr>
            <w:pStyle w:val="TOC2"/>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2786311" w:history="1">
            <w:r w:rsidRPr="006F0CF1">
              <w:rPr>
                <w:rStyle w:val="Hyperlink"/>
                <w:noProof/>
              </w:rPr>
              <w:t>6. Critical Evaluation and Limitations</w:t>
            </w:r>
            <w:r>
              <w:rPr>
                <w:noProof/>
                <w:webHidden/>
              </w:rPr>
              <w:tab/>
            </w:r>
            <w:r>
              <w:rPr>
                <w:noProof/>
                <w:webHidden/>
              </w:rPr>
              <w:fldChar w:fldCharType="begin"/>
            </w:r>
            <w:r>
              <w:rPr>
                <w:noProof/>
                <w:webHidden/>
              </w:rPr>
              <w:instrText xml:space="preserve"> PAGEREF _Toc222786311 \h </w:instrText>
            </w:r>
            <w:r>
              <w:rPr>
                <w:noProof/>
                <w:webHidden/>
              </w:rPr>
            </w:r>
            <w:r>
              <w:rPr>
                <w:noProof/>
                <w:webHidden/>
              </w:rPr>
              <w:fldChar w:fldCharType="separate"/>
            </w:r>
            <w:r>
              <w:rPr>
                <w:noProof/>
                <w:webHidden/>
              </w:rPr>
              <w:t>10</w:t>
            </w:r>
            <w:r>
              <w:rPr>
                <w:noProof/>
                <w:webHidden/>
              </w:rPr>
              <w:fldChar w:fldCharType="end"/>
            </w:r>
          </w:hyperlink>
        </w:p>
        <w:p w14:paraId="2F236045" w14:textId="521A8A8C" w:rsidR="003C0754" w:rsidRDefault="003C0754">
          <w:pPr>
            <w:pStyle w:val="TOC2"/>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2786312" w:history="1">
            <w:r w:rsidRPr="006F0CF1">
              <w:rPr>
                <w:rStyle w:val="Hyperlink"/>
                <w:noProof/>
              </w:rPr>
              <w:t>7. Strategic Recommendations</w:t>
            </w:r>
            <w:r>
              <w:rPr>
                <w:noProof/>
                <w:webHidden/>
              </w:rPr>
              <w:tab/>
            </w:r>
            <w:r>
              <w:rPr>
                <w:noProof/>
                <w:webHidden/>
              </w:rPr>
              <w:fldChar w:fldCharType="begin"/>
            </w:r>
            <w:r>
              <w:rPr>
                <w:noProof/>
                <w:webHidden/>
              </w:rPr>
              <w:instrText xml:space="preserve"> PAGEREF _Toc222786312 \h </w:instrText>
            </w:r>
            <w:r>
              <w:rPr>
                <w:noProof/>
                <w:webHidden/>
              </w:rPr>
            </w:r>
            <w:r>
              <w:rPr>
                <w:noProof/>
                <w:webHidden/>
              </w:rPr>
              <w:fldChar w:fldCharType="separate"/>
            </w:r>
            <w:r>
              <w:rPr>
                <w:noProof/>
                <w:webHidden/>
              </w:rPr>
              <w:t>11</w:t>
            </w:r>
            <w:r>
              <w:rPr>
                <w:noProof/>
                <w:webHidden/>
              </w:rPr>
              <w:fldChar w:fldCharType="end"/>
            </w:r>
          </w:hyperlink>
        </w:p>
        <w:p w14:paraId="7B30FF85" w14:textId="01C175C5" w:rsidR="003C0754" w:rsidRDefault="003C0754">
          <w:pPr>
            <w:pStyle w:val="TOC1"/>
            <w:rPr>
              <w:rFonts w:asciiTheme="minorHAnsi" w:eastAsiaTheme="minorEastAsia" w:hAnsiTheme="minorHAnsi" w:cstheme="minorBidi"/>
              <w:noProof/>
              <w:kern w:val="2"/>
              <w:szCs w:val="24"/>
              <w:lang w:val="en-US" w:eastAsia="en-US"/>
              <w14:ligatures w14:val="standardContextual"/>
            </w:rPr>
          </w:pPr>
          <w:hyperlink w:anchor="_Toc222786313" w:history="1">
            <w:r w:rsidRPr="006F0CF1">
              <w:rPr>
                <w:rStyle w:val="Hyperlink"/>
                <w:noProof/>
              </w:rPr>
              <w:t>Task 2: Investment Appraisal for Beard Plc</w:t>
            </w:r>
            <w:r>
              <w:rPr>
                <w:noProof/>
                <w:webHidden/>
              </w:rPr>
              <w:tab/>
            </w:r>
            <w:r>
              <w:rPr>
                <w:noProof/>
                <w:webHidden/>
              </w:rPr>
              <w:fldChar w:fldCharType="begin"/>
            </w:r>
            <w:r>
              <w:rPr>
                <w:noProof/>
                <w:webHidden/>
              </w:rPr>
              <w:instrText xml:space="preserve"> PAGEREF _Toc222786313 \h </w:instrText>
            </w:r>
            <w:r>
              <w:rPr>
                <w:noProof/>
                <w:webHidden/>
              </w:rPr>
            </w:r>
            <w:r>
              <w:rPr>
                <w:noProof/>
                <w:webHidden/>
              </w:rPr>
              <w:fldChar w:fldCharType="separate"/>
            </w:r>
            <w:r>
              <w:rPr>
                <w:noProof/>
                <w:webHidden/>
              </w:rPr>
              <w:t>12</w:t>
            </w:r>
            <w:r>
              <w:rPr>
                <w:noProof/>
                <w:webHidden/>
              </w:rPr>
              <w:fldChar w:fldCharType="end"/>
            </w:r>
          </w:hyperlink>
        </w:p>
        <w:p w14:paraId="21C783F5" w14:textId="3E8B3960" w:rsidR="003C0754" w:rsidRDefault="003C0754">
          <w:pPr>
            <w:pStyle w:val="TOC2"/>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2786314" w:history="1">
            <w:r w:rsidRPr="006F0CF1">
              <w:rPr>
                <w:rStyle w:val="Hyperlink"/>
                <w:noProof/>
              </w:rPr>
              <w:t>Evaluation of the Three Investment Options Using Net Present Value (NPV)</w:t>
            </w:r>
            <w:r>
              <w:rPr>
                <w:noProof/>
                <w:webHidden/>
              </w:rPr>
              <w:tab/>
            </w:r>
            <w:r>
              <w:rPr>
                <w:noProof/>
                <w:webHidden/>
              </w:rPr>
              <w:fldChar w:fldCharType="begin"/>
            </w:r>
            <w:r>
              <w:rPr>
                <w:noProof/>
                <w:webHidden/>
              </w:rPr>
              <w:instrText xml:space="preserve"> PAGEREF _Toc222786314 \h </w:instrText>
            </w:r>
            <w:r>
              <w:rPr>
                <w:noProof/>
                <w:webHidden/>
              </w:rPr>
            </w:r>
            <w:r>
              <w:rPr>
                <w:noProof/>
                <w:webHidden/>
              </w:rPr>
              <w:fldChar w:fldCharType="separate"/>
            </w:r>
            <w:r>
              <w:rPr>
                <w:noProof/>
                <w:webHidden/>
              </w:rPr>
              <w:t>12</w:t>
            </w:r>
            <w:r>
              <w:rPr>
                <w:noProof/>
                <w:webHidden/>
              </w:rPr>
              <w:fldChar w:fldCharType="end"/>
            </w:r>
          </w:hyperlink>
        </w:p>
        <w:p w14:paraId="7E1E248B" w14:textId="6AAA4787" w:rsidR="003C0754" w:rsidRDefault="003C0754">
          <w:pPr>
            <w:pStyle w:val="TOC3"/>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2786315" w:history="1">
            <w:r w:rsidRPr="006F0CF1">
              <w:rPr>
                <w:rStyle w:val="Hyperlink"/>
                <w:noProof/>
              </w:rPr>
              <w:t>Tax Adjustments and Capital Allowances</w:t>
            </w:r>
            <w:r>
              <w:rPr>
                <w:noProof/>
                <w:webHidden/>
              </w:rPr>
              <w:tab/>
            </w:r>
            <w:r>
              <w:rPr>
                <w:noProof/>
                <w:webHidden/>
              </w:rPr>
              <w:fldChar w:fldCharType="begin"/>
            </w:r>
            <w:r>
              <w:rPr>
                <w:noProof/>
                <w:webHidden/>
              </w:rPr>
              <w:instrText xml:space="preserve"> PAGEREF _Toc222786315 \h </w:instrText>
            </w:r>
            <w:r>
              <w:rPr>
                <w:noProof/>
                <w:webHidden/>
              </w:rPr>
            </w:r>
            <w:r>
              <w:rPr>
                <w:noProof/>
                <w:webHidden/>
              </w:rPr>
              <w:fldChar w:fldCharType="separate"/>
            </w:r>
            <w:r>
              <w:rPr>
                <w:noProof/>
                <w:webHidden/>
              </w:rPr>
              <w:t>12</w:t>
            </w:r>
            <w:r>
              <w:rPr>
                <w:noProof/>
                <w:webHidden/>
              </w:rPr>
              <w:fldChar w:fldCharType="end"/>
            </w:r>
          </w:hyperlink>
        </w:p>
        <w:p w14:paraId="656CE0D4" w14:textId="53F07198" w:rsidR="003C0754" w:rsidRDefault="003C0754">
          <w:pPr>
            <w:pStyle w:val="TOC3"/>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2786316" w:history="1">
            <w:r w:rsidRPr="006F0CF1">
              <w:rPr>
                <w:rStyle w:val="Hyperlink"/>
                <w:noProof/>
              </w:rPr>
              <w:t>Discounting Process</w:t>
            </w:r>
            <w:r>
              <w:rPr>
                <w:noProof/>
                <w:webHidden/>
              </w:rPr>
              <w:tab/>
            </w:r>
            <w:r>
              <w:rPr>
                <w:noProof/>
                <w:webHidden/>
              </w:rPr>
              <w:fldChar w:fldCharType="begin"/>
            </w:r>
            <w:r>
              <w:rPr>
                <w:noProof/>
                <w:webHidden/>
              </w:rPr>
              <w:instrText xml:space="preserve"> PAGEREF _Toc222786316 \h </w:instrText>
            </w:r>
            <w:r>
              <w:rPr>
                <w:noProof/>
                <w:webHidden/>
              </w:rPr>
            </w:r>
            <w:r>
              <w:rPr>
                <w:noProof/>
                <w:webHidden/>
              </w:rPr>
              <w:fldChar w:fldCharType="separate"/>
            </w:r>
            <w:r>
              <w:rPr>
                <w:noProof/>
                <w:webHidden/>
              </w:rPr>
              <w:t>13</w:t>
            </w:r>
            <w:r>
              <w:rPr>
                <w:noProof/>
                <w:webHidden/>
              </w:rPr>
              <w:fldChar w:fldCharType="end"/>
            </w:r>
          </w:hyperlink>
        </w:p>
        <w:p w14:paraId="1CFA1A6E" w14:textId="7A3C1135" w:rsidR="003C0754" w:rsidRDefault="003C0754">
          <w:pPr>
            <w:pStyle w:val="TOC3"/>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2786317" w:history="1">
            <w:r w:rsidRPr="006F0CF1">
              <w:rPr>
                <w:rStyle w:val="Hyperlink"/>
                <w:noProof/>
              </w:rPr>
              <w:t>Option A: Retail Expansion</w:t>
            </w:r>
            <w:r>
              <w:rPr>
                <w:noProof/>
                <w:webHidden/>
              </w:rPr>
              <w:tab/>
            </w:r>
            <w:r>
              <w:rPr>
                <w:noProof/>
                <w:webHidden/>
              </w:rPr>
              <w:fldChar w:fldCharType="begin"/>
            </w:r>
            <w:r>
              <w:rPr>
                <w:noProof/>
                <w:webHidden/>
              </w:rPr>
              <w:instrText xml:space="preserve"> PAGEREF _Toc222786317 \h </w:instrText>
            </w:r>
            <w:r>
              <w:rPr>
                <w:noProof/>
                <w:webHidden/>
              </w:rPr>
            </w:r>
            <w:r>
              <w:rPr>
                <w:noProof/>
                <w:webHidden/>
              </w:rPr>
              <w:fldChar w:fldCharType="separate"/>
            </w:r>
            <w:r>
              <w:rPr>
                <w:noProof/>
                <w:webHidden/>
              </w:rPr>
              <w:t>13</w:t>
            </w:r>
            <w:r>
              <w:rPr>
                <w:noProof/>
                <w:webHidden/>
              </w:rPr>
              <w:fldChar w:fldCharType="end"/>
            </w:r>
          </w:hyperlink>
        </w:p>
        <w:p w14:paraId="41D4B9A4" w14:textId="0A92EA28" w:rsidR="003C0754" w:rsidRDefault="003C0754">
          <w:pPr>
            <w:pStyle w:val="TOC3"/>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2786318" w:history="1">
            <w:r w:rsidRPr="006F0CF1">
              <w:rPr>
                <w:rStyle w:val="Hyperlink"/>
                <w:noProof/>
              </w:rPr>
              <w:t>Option B: Development of Online Sales Platform</w:t>
            </w:r>
            <w:r>
              <w:rPr>
                <w:noProof/>
                <w:webHidden/>
              </w:rPr>
              <w:tab/>
            </w:r>
            <w:r>
              <w:rPr>
                <w:noProof/>
                <w:webHidden/>
              </w:rPr>
              <w:fldChar w:fldCharType="begin"/>
            </w:r>
            <w:r>
              <w:rPr>
                <w:noProof/>
                <w:webHidden/>
              </w:rPr>
              <w:instrText xml:space="preserve"> PAGEREF _Toc222786318 \h </w:instrText>
            </w:r>
            <w:r>
              <w:rPr>
                <w:noProof/>
                <w:webHidden/>
              </w:rPr>
            </w:r>
            <w:r>
              <w:rPr>
                <w:noProof/>
                <w:webHidden/>
              </w:rPr>
              <w:fldChar w:fldCharType="separate"/>
            </w:r>
            <w:r>
              <w:rPr>
                <w:noProof/>
                <w:webHidden/>
              </w:rPr>
              <w:t>13</w:t>
            </w:r>
            <w:r>
              <w:rPr>
                <w:noProof/>
                <w:webHidden/>
              </w:rPr>
              <w:fldChar w:fldCharType="end"/>
            </w:r>
          </w:hyperlink>
        </w:p>
        <w:p w14:paraId="18E28D97" w14:textId="113D03F4" w:rsidR="003C0754" w:rsidRDefault="003C0754">
          <w:pPr>
            <w:pStyle w:val="TOC3"/>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2786319" w:history="1">
            <w:r w:rsidRPr="006F0CF1">
              <w:rPr>
                <w:rStyle w:val="Hyperlink"/>
                <w:noProof/>
              </w:rPr>
              <w:t>Option C: Diversification into Purses and Wallets</w:t>
            </w:r>
            <w:r>
              <w:rPr>
                <w:noProof/>
                <w:webHidden/>
              </w:rPr>
              <w:tab/>
            </w:r>
            <w:r>
              <w:rPr>
                <w:noProof/>
                <w:webHidden/>
              </w:rPr>
              <w:fldChar w:fldCharType="begin"/>
            </w:r>
            <w:r>
              <w:rPr>
                <w:noProof/>
                <w:webHidden/>
              </w:rPr>
              <w:instrText xml:space="preserve"> PAGEREF _Toc222786319 \h </w:instrText>
            </w:r>
            <w:r>
              <w:rPr>
                <w:noProof/>
                <w:webHidden/>
              </w:rPr>
            </w:r>
            <w:r>
              <w:rPr>
                <w:noProof/>
                <w:webHidden/>
              </w:rPr>
              <w:fldChar w:fldCharType="separate"/>
            </w:r>
            <w:r>
              <w:rPr>
                <w:noProof/>
                <w:webHidden/>
              </w:rPr>
              <w:t>14</w:t>
            </w:r>
            <w:r>
              <w:rPr>
                <w:noProof/>
                <w:webHidden/>
              </w:rPr>
              <w:fldChar w:fldCharType="end"/>
            </w:r>
          </w:hyperlink>
        </w:p>
        <w:p w14:paraId="465E987F" w14:textId="1EC58D35" w:rsidR="003C0754" w:rsidRDefault="003C0754">
          <w:pPr>
            <w:pStyle w:val="TOC3"/>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2786320" w:history="1">
            <w:r w:rsidRPr="006F0CF1">
              <w:rPr>
                <w:rStyle w:val="Hyperlink"/>
                <w:noProof/>
              </w:rPr>
              <w:t>Comparative Analysis</w:t>
            </w:r>
            <w:r>
              <w:rPr>
                <w:noProof/>
                <w:webHidden/>
              </w:rPr>
              <w:tab/>
            </w:r>
            <w:r>
              <w:rPr>
                <w:noProof/>
                <w:webHidden/>
              </w:rPr>
              <w:fldChar w:fldCharType="begin"/>
            </w:r>
            <w:r>
              <w:rPr>
                <w:noProof/>
                <w:webHidden/>
              </w:rPr>
              <w:instrText xml:space="preserve"> PAGEREF _Toc222786320 \h </w:instrText>
            </w:r>
            <w:r>
              <w:rPr>
                <w:noProof/>
                <w:webHidden/>
              </w:rPr>
            </w:r>
            <w:r>
              <w:rPr>
                <w:noProof/>
                <w:webHidden/>
              </w:rPr>
              <w:fldChar w:fldCharType="separate"/>
            </w:r>
            <w:r>
              <w:rPr>
                <w:noProof/>
                <w:webHidden/>
              </w:rPr>
              <w:t>14</w:t>
            </w:r>
            <w:r>
              <w:rPr>
                <w:noProof/>
                <w:webHidden/>
              </w:rPr>
              <w:fldChar w:fldCharType="end"/>
            </w:r>
          </w:hyperlink>
        </w:p>
        <w:p w14:paraId="360D1448" w14:textId="3B6DEFFB" w:rsidR="003C0754" w:rsidRDefault="003C0754">
          <w:pPr>
            <w:pStyle w:val="TOC2"/>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2786321" w:history="1">
            <w:r w:rsidRPr="006F0CF1">
              <w:rPr>
                <w:rStyle w:val="Hyperlink"/>
                <w:noProof/>
              </w:rPr>
              <w:t>Recommendation</w:t>
            </w:r>
            <w:r>
              <w:rPr>
                <w:noProof/>
                <w:webHidden/>
              </w:rPr>
              <w:tab/>
            </w:r>
            <w:r>
              <w:rPr>
                <w:noProof/>
                <w:webHidden/>
              </w:rPr>
              <w:fldChar w:fldCharType="begin"/>
            </w:r>
            <w:r>
              <w:rPr>
                <w:noProof/>
                <w:webHidden/>
              </w:rPr>
              <w:instrText xml:space="preserve"> PAGEREF _Toc222786321 \h </w:instrText>
            </w:r>
            <w:r>
              <w:rPr>
                <w:noProof/>
                <w:webHidden/>
              </w:rPr>
            </w:r>
            <w:r>
              <w:rPr>
                <w:noProof/>
                <w:webHidden/>
              </w:rPr>
              <w:fldChar w:fldCharType="separate"/>
            </w:r>
            <w:r>
              <w:rPr>
                <w:noProof/>
                <w:webHidden/>
              </w:rPr>
              <w:t>14</w:t>
            </w:r>
            <w:r>
              <w:rPr>
                <w:noProof/>
                <w:webHidden/>
              </w:rPr>
              <w:fldChar w:fldCharType="end"/>
            </w:r>
          </w:hyperlink>
        </w:p>
        <w:p w14:paraId="2ECFE753" w14:textId="1B80747F" w:rsidR="003C0754" w:rsidRDefault="003C0754">
          <w:pPr>
            <w:pStyle w:val="TOC2"/>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2786322" w:history="1">
            <w:r w:rsidRPr="006F0CF1">
              <w:rPr>
                <w:rStyle w:val="Hyperlink"/>
                <w:noProof/>
              </w:rPr>
              <w:t>Approximate Internal Rate of Return (IRR) for the Recommended Option</w:t>
            </w:r>
            <w:r>
              <w:rPr>
                <w:noProof/>
                <w:webHidden/>
              </w:rPr>
              <w:tab/>
            </w:r>
            <w:r>
              <w:rPr>
                <w:noProof/>
                <w:webHidden/>
              </w:rPr>
              <w:fldChar w:fldCharType="begin"/>
            </w:r>
            <w:r>
              <w:rPr>
                <w:noProof/>
                <w:webHidden/>
              </w:rPr>
              <w:instrText xml:space="preserve"> PAGEREF _Toc222786322 \h </w:instrText>
            </w:r>
            <w:r>
              <w:rPr>
                <w:noProof/>
                <w:webHidden/>
              </w:rPr>
            </w:r>
            <w:r>
              <w:rPr>
                <w:noProof/>
                <w:webHidden/>
              </w:rPr>
              <w:fldChar w:fldCharType="separate"/>
            </w:r>
            <w:r>
              <w:rPr>
                <w:noProof/>
                <w:webHidden/>
              </w:rPr>
              <w:t>15</w:t>
            </w:r>
            <w:r>
              <w:rPr>
                <w:noProof/>
                <w:webHidden/>
              </w:rPr>
              <w:fldChar w:fldCharType="end"/>
            </w:r>
          </w:hyperlink>
        </w:p>
        <w:p w14:paraId="78EA1478" w14:textId="2598D3F3" w:rsidR="003C0754" w:rsidRDefault="003C0754">
          <w:pPr>
            <w:pStyle w:val="TOC2"/>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2786323" w:history="1">
            <w:r w:rsidRPr="006F0CF1">
              <w:rPr>
                <w:rStyle w:val="Hyperlink"/>
                <w:noProof/>
              </w:rPr>
              <w:t>Interpretation of Results for Management</w:t>
            </w:r>
            <w:r>
              <w:rPr>
                <w:noProof/>
                <w:webHidden/>
              </w:rPr>
              <w:tab/>
            </w:r>
            <w:r>
              <w:rPr>
                <w:noProof/>
                <w:webHidden/>
              </w:rPr>
              <w:fldChar w:fldCharType="begin"/>
            </w:r>
            <w:r>
              <w:rPr>
                <w:noProof/>
                <w:webHidden/>
              </w:rPr>
              <w:instrText xml:space="preserve"> PAGEREF _Toc222786323 \h </w:instrText>
            </w:r>
            <w:r>
              <w:rPr>
                <w:noProof/>
                <w:webHidden/>
              </w:rPr>
            </w:r>
            <w:r>
              <w:rPr>
                <w:noProof/>
                <w:webHidden/>
              </w:rPr>
              <w:fldChar w:fldCharType="separate"/>
            </w:r>
            <w:r>
              <w:rPr>
                <w:noProof/>
                <w:webHidden/>
              </w:rPr>
              <w:t>15</w:t>
            </w:r>
            <w:r>
              <w:rPr>
                <w:noProof/>
                <w:webHidden/>
              </w:rPr>
              <w:fldChar w:fldCharType="end"/>
            </w:r>
          </w:hyperlink>
        </w:p>
        <w:p w14:paraId="47203E13" w14:textId="0F330DD6" w:rsidR="003C0754" w:rsidRDefault="003C0754">
          <w:pPr>
            <w:pStyle w:val="TOC2"/>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2786324" w:history="1">
            <w:r w:rsidRPr="006F0CF1">
              <w:rPr>
                <w:rStyle w:val="Hyperlink"/>
                <w:noProof/>
              </w:rPr>
              <w:t>Theoretical Arguments for NPV as the Best Investment Appraisal Method</w:t>
            </w:r>
            <w:r>
              <w:rPr>
                <w:noProof/>
                <w:webHidden/>
              </w:rPr>
              <w:tab/>
            </w:r>
            <w:r>
              <w:rPr>
                <w:noProof/>
                <w:webHidden/>
              </w:rPr>
              <w:fldChar w:fldCharType="begin"/>
            </w:r>
            <w:r>
              <w:rPr>
                <w:noProof/>
                <w:webHidden/>
              </w:rPr>
              <w:instrText xml:space="preserve"> PAGEREF _Toc222786324 \h </w:instrText>
            </w:r>
            <w:r>
              <w:rPr>
                <w:noProof/>
                <w:webHidden/>
              </w:rPr>
            </w:r>
            <w:r>
              <w:rPr>
                <w:noProof/>
                <w:webHidden/>
              </w:rPr>
              <w:fldChar w:fldCharType="separate"/>
            </w:r>
            <w:r>
              <w:rPr>
                <w:noProof/>
                <w:webHidden/>
              </w:rPr>
              <w:t>16</w:t>
            </w:r>
            <w:r>
              <w:rPr>
                <w:noProof/>
                <w:webHidden/>
              </w:rPr>
              <w:fldChar w:fldCharType="end"/>
            </w:r>
          </w:hyperlink>
        </w:p>
        <w:p w14:paraId="3AFA29C2" w14:textId="72FCF3BC" w:rsidR="003C0754" w:rsidRDefault="003C0754">
          <w:pPr>
            <w:pStyle w:val="TOC2"/>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2786325" w:history="1">
            <w:r w:rsidRPr="006F0CF1">
              <w:rPr>
                <w:rStyle w:val="Hyperlink"/>
                <w:noProof/>
              </w:rPr>
              <w:t>Continued Popularity of Non-Discounting Methods</w:t>
            </w:r>
            <w:r>
              <w:rPr>
                <w:noProof/>
                <w:webHidden/>
              </w:rPr>
              <w:tab/>
            </w:r>
            <w:r>
              <w:rPr>
                <w:noProof/>
                <w:webHidden/>
              </w:rPr>
              <w:fldChar w:fldCharType="begin"/>
            </w:r>
            <w:r>
              <w:rPr>
                <w:noProof/>
                <w:webHidden/>
              </w:rPr>
              <w:instrText xml:space="preserve"> PAGEREF _Toc222786325 \h </w:instrText>
            </w:r>
            <w:r>
              <w:rPr>
                <w:noProof/>
                <w:webHidden/>
              </w:rPr>
            </w:r>
            <w:r>
              <w:rPr>
                <w:noProof/>
                <w:webHidden/>
              </w:rPr>
              <w:fldChar w:fldCharType="separate"/>
            </w:r>
            <w:r>
              <w:rPr>
                <w:noProof/>
                <w:webHidden/>
              </w:rPr>
              <w:t>16</w:t>
            </w:r>
            <w:r>
              <w:rPr>
                <w:noProof/>
                <w:webHidden/>
              </w:rPr>
              <w:fldChar w:fldCharType="end"/>
            </w:r>
          </w:hyperlink>
        </w:p>
        <w:p w14:paraId="2A20BC90" w14:textId="6B457FBE" w:rsidR="003C0754" w:rsidRDefault="003C0754">
          <w:pPr>
            <w:pStyle w:val="TOC2"/>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2786326" w:history="1">
            <w:r w:rsidRPr="006F0CF1">
              <w:rPr>
                <w:rStyle w:val="Hyperlink"/>
                <w:noProof/>
              </w:rPr>
              <w:t>Other Factors to Consider Before an Investment Decision</w:t>
            </w:r>
            <w:r>
              <w:rPr>
                <w:noProof/>
                <w:webHidden/>
              </w:rPr>
              <w:tab/>
            </w:r>
            <w:r>
              <w:rPr>
                <w:noProof/>
                <w:webHidden/>
              </w:rPr>
              <w:fldChar w:fldCharType="begin"/>
            </w:r>
            <w:r>
              <w:rPr>
                <w:noProof/>
                <w:webHidden/>
              </w:rPr>
              <w:instrText xml:space="preserve"> PAGEREF _Toc222786326 \h </w:instrText>
            </w:r>
            <w:r>
              <w:rPr>
                <w:noProof/>
                <w:webHidden/>
              </w:rPr>
            </w:r>
            <w:r>
              <w:rPr>
                <w:noProof/>
                <w:webHidden/>
              </w:rPr>
              <w:fldChar w:fldCharType="separate"/>
            </w:r>
            <w:r>
              <w:rPr>
                <w:noProof/>
                <w:webHidden/>
              </w:rPr>
              <w:t>17</w:t>
            </w:r>
            <w:r>
              <w:rPr>
                <w:noProof/>
                <w:webHidden/>
              </w:rPr>
              <w:fldChar w:fldCharType="end"/>
            </w:r>
          </w:hyperlink>
        </w:p>
        <w:p w14:paraId="44EEA5EC" w14:textId="6A19F2B2" w:rsidR="003C0754" w:rsidRDefault="003C0754">
          <w:pPr>
            <w:pStyle w:val="TOC2"/>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2786327" w:history="1">
            <w:r w:rsidRPr="006F0CF1">
              <w:rPr>
                <w:rStyle w:val="Hyperlink"/>
                <w:noProof/>
              </w:rPr>
              <w:t>Optimal Investment Policy Under Capital Rationing (£1,500,000 Limit, Divisible Projects)</w:t>
            </w:r>
            <w:r>
              <w:rPr>
                <w:noProof/>
                <w:webHidden/>
              </w:rPr>
              <w:tab/>
            </w:r>
            <w:r>
              <w:rPr>
                <w:noProof/>
                <w:webHidden/>
              </w:rPr>
              <w:fldChar w:fldCharType="begin"/>
            </w:r>
            <w:r>
              <w:rPr>
                <w:noProof/>
                <w:webHidden/>
              </w:rPr>
              <w:instrText xml:space="preserve"> PAGEREF _Toc222786327 \h </w:instrText>
            </w:r>
            <w:r>
              <w:rPr>
                <w:noProof/>
                <w:webHidden/>
              </w:rPr>
            </w:r>
            <w:r>
              <w:rPr>
                <w:noProof/>
                <w:webHidden/>
              </w:rPr>
              <w:fldChar w:fldCharType="separate"/>
            </w:r>
            <w:r>
              <w:rPr>
                <w:noProof/>
                <w:webHidden/>
              </w:rPr>
              <w:t>17</w:t>
            </w:r>
            <w:r>
              <w:rPr>
                <w:noProof/>
                <w:webHidden/>
              </w:rPr>
              <w:fldChar w:fldCharType="end"/>
            </w:r>
          </w:hyperlink>
        </w:p>
        <w:p w14:paraId="12601EC3" w14:textId="5CAA9C8A" w:rsidR="003C0754" w:rsidRDefault="003C0754">
          <w:pPr>
            <w:pStyle w:val="TOC2"/>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2786328" w:history="1">
            <w:r w:rsidRPr="006F0CF1">
              <w:rPr>
                <w:rStyle w:val="Hyperlink"/>
                <w:noProof/>
              </w:rPr>
              <w:t>Financing the Investment Programme</w:t>
            </w:r>
            <w:r>
              <w:rPr>
                <w:noProof/>
                <w:webHidden/>
              </w:rPr>
              <w:tab/>
            </w:r>
            <w:r>
              <w:rPr>
                <w:noProof/>
                <w:webHidden/>
              </w:rPr>
              <w:fldChar w:fldCharType="begin"/>
            </w:r>
            <w:r>
              <w:rPr>
                <w:noProof/>
                <w:webHidden/>
              </w:rPr>
              <w:instrText xml:space="preserve"> PAGEREF _Toc222786328 \h </w:instrText>
            </w:r>
            <w:r>
              <w:rPr>
                <w:noProof/>
                <w:webHidden/>
              </w:rPr>
            </w:r>
            <w:r>
              <w:rPr>
                <w:noProof/>
                <w:webHidden/>
              </w:rPr>
              <w:fldChar w:fldCharType="separate"/>
            </w:r>
            <w:r>
              <w:rPr>
                <w:noProof/>
                <w:webHidden/>
              </w:rPr>
              <w:t>18</w:t>
            </w:r>
            <w:r>
              <w:rPr>
                <w:noProof/>
                <w:webHidden/>
              </w:rPr>
              <w:fldChar w:fldCharType="end"/>
            </w:r>
          </w:hyperlink>
        </w:p>
        <w:p w14:paraId="0C88D205" w14:textId="0DD23A58" w:rsidR="003C0754" w:rsidRDefault="003C0754">
          <w:pPr>
            <w:pStyle w:val="TOC1"/>
            <w:rPr>
              <w:rFonts w:asciiTheme="minorHAnsi" w:eastAsiaTheme="minorEastAsia" w:hAnsiTheme="minorHAnsi" w:cstheme="minorBidi"/>
              <w:noProof/>
              <w:kern w:val="2"/>
              <w:szCs w:val="24"/>
              <w:lang w:val="en-US" w:eastAsia="en-US"/>
              <w14:ligatures w14:val="standardContextual"/>
            </w:rPr>
          </w:pPr>
          <w:hyperlink w:anchor="_Toc222786329" w:history="1">
            <w:r w:rsidRPr="006F0CF1">
              <w:rPr>
                <w:rStyle w:val="Hyperlink"/>
                <w:noProof/>
              </w:rPr>
              <w:t>Conclusion</w:t>
            </w:r>
            <w:r>
              <w:rPr>
                <w:noProof/>
                <w:webHidden/>
              </w:rPr>
              <w:tab/>
            </w:r>
            <w:r>
              <w:rPr>
                <w:noProof/>
                <w:webHidden/>
              </w:rPr>
              <w:fldChar w:fldCharType="begin"/>
            </w:r>
            <w:r>
              <w:rPr>
                <w:noProof/>
                <w:webHidden/>
              </w:rPr>
              <w:instrText xml:space="preserve"> PAGEREF _Toc222786329 \h </w:instrText>
            </w:r>
            <w:r>
              <w:rPr>
                <w:noProof/>
                <w:webHidden/>
              </w:rPr>
            </w:r>
            <w:r>
              <w:rPr>
                <w:noProof/>
                <w:webHidden/>
              </w:rPr>
              <w:fldChar w:fldCharType="separate"/>
            </w:r>
            <w:r>
              <w:rPr>
                <w:noProof/>
                <w:webHidden/>
              </w:rPr>
              <w:t>19</w:t>
            </w:r>
            <w:r>
              <w:rPr>
                <w:noProof/>
                <w:webHidden/>
              </w:rPr>
              <w:fldChar w:fldCharType="end"/>
            </w:r>
          </w:hyperlink>
        </w:p>
        <w:p w14:paraId="77EDBF9D" w14:textId="1FF0A9E6" w:rsidR="003C0754" w:rsidRDefault="003C0754">
          <w:pPr>
            <w:pStyle w:val="TOC1"/>
            <w:rPr>
              <w:rFonts w:asciiTheme="minorHAnsi" w:eastAsiaTheme="minorEastAsia" w:hAnsiTheme="minorHAnsi" w:cstheme="minorBidi"/>
              <w:noProof/>
              <w:kern w:val="2"/>
              <w:szCs w:val="24"/>
              <w:lang w:val="en-US" w:eastAsia="en-US"/>
              <w14:ligatures w14:val="standardContextual"/>
            </w:rPr>
          </w:pPr>
          <w:hyperlink w:anchor="_Toc222786330" w:history="1">
            <w:r w:rsidRPr="006F0CF1">
              <w:rPr>
                <w:rStyle w:val="Hyperlink"/>
                <w:noProof/>
              </w:rPr>
              <w:t>References</w:t>
            </w:r>
            <w:r>
              <w:rPr>
                <w:noProof/>
                <w:webHidden/>
              </w:rPr>
              <w:tab/>
            </w:r>
            <w:r>
              <w:rPr>
                <w:noProof/>
                <w:webHidden/>
              </w:rPr>
              <w:fldChar w:fldCharType="begin"/>
            </w:r>
            <w:r>
              <w:rPr>
                <w:noProof/>
                <w:webHidden/>
              </w:rPr>
              <w:instrText xml:space="preserve"> PAGEREF _Toc222786330 \h </w:instrText>
            </w:r>
            <w:r>
              <w:rPr>
                <w:noProof/>
                <w:webHidden/>
              </w:rPr>
            </w:r>
            <w:r>
              <w:rPr>
                <w:noProof/>
                <w:webHidden/>
              </w:rPr>
              <w:fldChar w:fldCharType="separate"/>
            </w:r>
            <w:r>
              <w:rPr>
                <w:noProof/>
                <w:webHidden/>
              </w:rPr>
              <w:t>20</w:t>
            </w:r>
            <w:r>
              <w:rPr>
                <w:noProof/>
                <w:webHidden/>
              </w:rPr>
              <w:fldChar w:fldCharType="end"/>
            </w:r>
          </w:hyperlink>
        </w:p>
        <w:p w14:paraId="76DCD3E8" w14:textId="5620B3FD" w:rsidR="003C0754" w:rsidRDefault="003C0754">
          <w:pPr>
            <w:pStyle w:val="TOC1"/>
            <w:rPr>
              <w:rFonts w:asciiTheme="minorHAnsi" w:eastAsiaTheme="minorEastAsia" w:hAnsiTheme="minorHAnsi" w:cstheme="minorBidi"/>
              <w:noProof/>
              <w:kern w:val="2"/>
              <w:szCs w:val="24"/>
              <w:lang w:val="en-US" w:eastAsia="en-US"/>
              <w14:ligatures w14:val="standardContextual"/>
            </w:rPr>
          </w:pPr>
          <w:hyperlink w:anchor="_Toc222786331" w:history="1">
            <w:r w:rsidRPr="006F0CF1">
              <w:rPr>
                <w:rStyle w:val="Hyperlink"/>
                <w:noProof/>
              </w:rPr>
              <w:t>Appendices</w:t>
            </w:r>
            <w:r>
              <w:rPr>
                <w:noProof/>
                <w:webHidden/>
              </w:rPr>
              <w:tab/>
            </w:r>
            <w:r>
              <w:rPr>
                <w:noProof/>
                <w:webHidden/>
              </w:rPr>
              <w:fldChar w:fldCharType="begin"/>
            </w:r>
            <w:r>
              <w:rPr>
                <w:noProof/>
                <w:webHidden/>
              </w:rPr>
              <w:instrText xml:space="preserve"> PAGEREF _Toc222786331 \h </w:instrText>
            </w:r>
            <w:r>
              <w:rPr>
                <w:noProof/>
                <w:webHidden/>
              </w:rPr>
            </w:r>
            <w:r>
              <w:rPr>
                <w:noProof/>
                <w:webHidden/>
              </w:rPr>
              <w:fldChar w:fldCharType="separate"/>
            </w:r>
            <w:r>
              <w:rPr>
                <w:noProof/>
                <w:webHidden/>
              </w:rPr>
              <w:t>24</w:t>
            </w:r>
            <w:r>
              <w:rPr>
                <w:noProof/>
                <w:webHidden/>
              </w:rPr>
              <w:fldChar w:fldCharType="end"/>
            </w:r>
          </w:hyperlink>
        </w:p>
        <w:p w14:paraId="10BA5E73" w14:textId="55ECFE98" w:rsidR="003C0754" w:rsidRDefault="003C0754">
          <w:pPr>
            <w:pStyle w:val="TOC2"/>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2786332" w:history="1">
            <w:r w:rsidRPr="006F0CF1">
              <w:rPr>
                <w:rStyle w:val="Hyperlink"/>
                <w:noProof/>
              </w:rPr>
              <w:t>Appendix 1: Full Consolidated Financial Statements from Unilever Annual Report 2024 (Key Extracts for 2023 &amp; 2024)</w:t>
            </w:r>
            <w:r>
              <w:rPr>
                <w:noProof/>
                <w:webHidden/>
              </w:rPr>
              <w:tab/>
            </w:r>
            <w:r>
              <w:rPr>
                <w:noProof/>
                <w:webHidden/>
              </w:rPr>
              <w:fldChar w:fldCharType="begin"/>
            </w:r>
            <w:r>
              <w:rPr>
                <w:noProof/>
                <w:webHidden/>
              </w:rPr>
              <w:instrText xml:space="preserve"> PAGEREF _Toc222786332 \h </w:instrText>
            </w:r>
            <w:r>
              <w:rPr>
                <w:noProof/>
                <w:webHidden/>
              </w:rPr>
            </w:r>
            <w:r>
              <w:rPr>
                <w:noProof/>
                <w:webHidden/>
              </w:rPr>
              <w:fldChar w:fldCharType="separate"/>
            </w:r>
            <w:r>
              <w:rPr>
                <w:noProof/>
                <w:webHidden/>
              </w:rPr>
              <w:t>24</w:t>
            </w:r>
            <w:r>
              <w:rPr>
                <w:noProof/>
                <w:webHidden/>
              </w:rPr>
              <w:fldChar w:fldCharType="end"/>
            </w:r>
          </w:hyperlink>
        </w:p>
        <w:p w14:paraId="58C61C4C" w14:textId="3323A93E" w:rsidR="003C0754" w:rsidRDefault="003C0754">
          <w:pPr>
            <w:pStyle w:val="TOC2"/>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2786333" w:history="1">
            <w:r w:rsidRPr="006F0CF1">
              <w:rPr>
                <w:rStyle w:val="Hyperlink"/>
                <w:noProof/>
              </w:rPr>
              <w:t>Appendix 2: Detailed Ratio Calculations (Over Two Years)</w:t>
            </w:r>
            <w:r>
              <w:rPr>
                <w:noProof/>
                <w:webHidden/>
              </w:rPr>
              <w:tab/>
            </w:r>
            <w:r>
              <w:rPr>
                <w:noProof/>
                <w:webHidden/>
              </w:rPr>
              <w:fldChar w:fldCharType="begin"/>
            </w:r>
            <w:r>
              <w:rPr>
                <w:noProof/>
                <w:webHidden/>
              </w:rPr>
              <w:instrText xml:space="preserve"> PAGEREF _Toc222786333 \h </w:instrText>
            </w:r>
            <w:r>
              <w:rPr>
                <w:noProof/>
                <w:webHidden/>
              </w:rPr>
            </w:r>
            <w:r>
              <w:rPr>
                <w:noProof/>
                <w:webHidden/>
              </w:rPr>
              <w:fldChar w:fldCharType="separate"/>
            </w:r>
            <w:r>
              <w:rPr>
                <w:noProof/>
                <w:webHidden/>
              </w:rPr>
              <w:t>25</w:t>
            </w:r>
            <w:r>
              <w:rPr>
                <w:noProof/>
                <w:webHidden/>
              </w:rPr>
              <w:fldChar w:fldCharType="end"/>
            </w:r>
          </w:hyperlink>
        </w:p>
        <w:p w14:paraId="43386421" w14:textId="4943347F" w:rsidR="003C0754" w:rsidRDefault="003C0754">
          <w:pPr>
            <w:pStyle w:val="TOC2"/>
            <w:tabs>
              <w:tab w:val="right" w:leader="dot" w:pos="9016"/>
            </w:tabs>
            <w:rPr>
              <w:rFonts w:asciiTheme="minorHAnsi" w:eastAsiaTheme="minorEastAsia" w:hAnsiTheme="minorHAnsi" w:cstheme="minorBidi"/>
              <w:noProof/>
              <w:kern w:val="2"/>
              <w:szCs w:val="24"/>
              <w:lang w:val="en-US" w:eastAsia="en-US"/>
              <w14:ligatures w14:val="standardContextual"/>
            </w:rPr>
          </w:pPr>
          <w:hyperlink w:anchor="_Toc222786334" w:history="1">
            <w:r w:rsidRPr="006F0CF1">
              <w:rPr>
                <w:rStyle w:val="Hyperlink"/>
                <w:noProof/>
              </w:rPr>
              <w:t>Appendix 3: Beard Plc Project Calculations</w:t>
            </w:r>
            <w:r>
              <w:rPr>
                <w:noProof/>
                <w:webHidden/>
              </w:rPr>
              <w:tab/>
            </w:r>
            <w:r>
              <w:rPr>
                <w:noProof/>
                <w:webHidden/>
              </w:rPr>
              <w:fldChar w:fldCharType="begin"/>
            </w:r>
            <w:r>
              <w:rPr>
                <w:noProof/>
                <w:webHidden/>
              </w:rPr>
              <w:instrText xml:space="preserve"> PAGEREF _Toc222786334 \h </w:instrText>
            </w:r>
            <w:r>
              <w:rPr>
                <w:noProof/>
                <w:webHidden/>
              </w:rPr>
            </w:r>
            <w:r>
              <w:rPr>
                <w:noProof/>
                <w:webHidden/>
              </w:rPr>
              <w:fldChar w:fldCharType="separate"/>
            </w:r>
            <w:r>
              <w:rPr>
                <w:noProof/>
                <w:webHidden/>
              </w:rPr>
              <w:t>27</w:t>
            </w:r>
            <w:r>
              <w:rPr>
                <w:noProof/>
                <w:webHidden/>
              </w:rPr>
              <w:fldChar w:fldCharType="end"/>
            </w:r>
          </w:hyperlink>
        </w:p>
        <w:p w14:paraId="1FF3FDA5" w14:textId="65661BA1" w:rsidR="00B50A2A" w:rsidRDefault="00B50A2A" w:rsidP="00B50A2A">
          <w:r w:rsidRPr="00B50A2A">
            <w:rPr>
              <w:rFonts w:cs="Times New Roman"/>
              <w:b/>
              <w:bCs/>
              <w:noProof/>
              <w:szCs w:val="24"/>
            </w:rPr>
            <w:fldChar w:fldCharType="end"/>
          </w:r>
        </w:p>
      </w:sdtContent>
    </w:sdt>
    <w:p w14:paraId="6E567596" w14:textId="77777777" w:rsidR="00B50A2A" w:rsidRDefault="00B50A2A">
      <w:pPr>
        <w:spacing w:line="259" w:lineRule="auto"/>
        <w:jc w:val="left"/>
        <w:rPr>
          <w:b/>
          <w:color w:val="2E75B5"/>
          <w:sz w:val="32"/>
          <w:szCs w:val="32"/>
        </w:rPr>
      </w:pPr>
      <w:r>
        <w:br w:type="page"/>
      </w:r>
    </w:p>
    <w:p w14:paraId="05E9E2BF" w14:textId="77777777" w:rsidR="00F13288" w:rsidRDefault="00F13288" w:rsidP="00B50A2A">
      <w:pPr>
        <w:pStyle w:val="Heading1"/>
      </w:pPr>
      <w:bookmarkStart w:id="1" w:name="_Toc222786304"/>
      <w:r>
        <w:lastRenderedPageBreak/>
        <w:t>1. Introduction</w:t>
      </w:r>
      <w:bookmarkEnd w:id="1"/>
    </w:p>
    <w:p w14:paraId="78AC788C" w14:textId="77777777" w:rsidR="00F13288" w:rsidRPr="001864BC" w:rsidRDefault="00F13288" w:rsidP="00F13288">
      <w:pPr>
        <w:rPr>
          <w:rFonts w:cs="Times New Roman"/>
          <w:szCs w:val="24"/>
        </w:rPr>
      </w:pPr>
      <w:r w:rsidRPr="001864BC">
        <w:rPr>
          <w:rFonts w:cs="Times New Roman"/>
          <w:szCs w:val="24"/>
        </w:rPr>
        <w:t xml:space="preserve">Unilever PLC is a </w:t>
      </w:r>
      <w:r>
        <w:rPr>
          <w:rFonts w:cs="Times New Roman"/>
          <w:szCs w:val="24"/>
        </w:rPr>
        <w:t>fast-moving</w:t>
      </w:r>
      <w:r w:rsidRPr="001864BC">
        <w:rPr>
          <w:rFonts w:cs="Times New Roman"/>
          <w:szCs w:val="24"/>
        </w:rPr>
        <w:t xml:space="preserve"> consumer goods (FMCG) multinational company based in London and is listed on the London Stock Exchange under the FTSE 100 list. The company has </w:t>
      </w:r>
      <w:r>
        <w:rPr>
          <w:rFonts w:cs="Times New Roman"/>
          <w:szCs w:val="24"/>
        </w:rPr>
        <w:t>a diversified portfolio and is operational in the regions</w:t>
      </w:r>
      <w:r w:rsidRPr="001864BC">
        <w:rPr>
          <w:rFonts w:cs="Times New Roman"/>
          <w:szCs w:val="24"/>
        </w:rPr>
        <w:t xml:space="preserve"> of Beauty and Wellbeing, Personal Care, Home Care and Nutrition</w:t>
      </w:r>
      <w:r>
        <w:rPr>
          <w:rFonts w:cs="Times New Roman"/>
          <w:szCs w:val="24"/>
        </w:rPr>
        <w:t>,</w:t>
      </w:r>
      <w:r w:rsidRPr="001864BC">
        <w:rPr>
          <w:rFonts w:cs="Times New Roman"/>
          <w:szCs w:val="24"/>
        </w:rPr>
        <w:t xml:space="preserve"> with over 190 countries of operation.</w:t>
      </w:r>
    </w:p>
    <w:p w14:paraId="0B9997C9" w14:textId="5F645BBB" w:rsidR="00F13288" w:rsidRDefault="00F13288" w:rsidP="00F13288">
      <w:pPr>
        <w:rPr>
          <w:rFonts w:cs="Times New Roman"/>
          <w:szCs w:val="24"/>
        </w:rPr>
      </w:pPr>
      <w:r w:rsidRPr="001864BC">
        <w:rPr>
          <w:rFonts w:cs="Times New Roman"/>
          <w:szCs w:val="24"/>
        </w:rPr>
        <w:t xml:space="preserve">The current world environment that the world FMCG business finds itself </w:t>
      </w:r>
      <w:r>
        <w:rPr>
          <w:rFonts w:cs="Times New Roman"/>
          <w:szCs w:val="24"/>
        </w:rPr>
        <w:t xml:space="preserve">in is the inflationary pressure, the destabilisation of the supply chain, the changing consumer preference towards sustainability and health, and </w:t>
      </w:r>
      <w:r w:rsidRPr="001864BC">
        <w:rPr>
          <w:rFonts w:cs="Times New Roman"/>
          <w:szCs w:val="24"/>
        </w:rPr>
        <w:t>the inflexible competition of giant multinational corporations, including Procter &amp; Gamble, Nestle, and Reckitt</w:t>
      </w:r>
      <w:r>
        <w:rPr>
          <w:rFonts w:cs="Times New Roman"/>
          <w:szCs w:val="24"/>
        </w:rPr>
        <w:t xml:space="preserve"> </w:t>
      </w:r>
      <w:r>
        <w:t xml:space="preserve">(Awodire </w:t>
      </w:r>
      <w:r w:rsidR="00754338" w:rsidRPr="00754338">
        <w:rPr>
          <w:i/>
          <w:iCs/>
        </w:rPr>
        <w:t>et al</w:t>
      </w:r>
      <w:r w:rsidRPr="00194DF5">
        <w:rPr>
          <w:i/>
          <w:iCs/>
        </w:rPr>
        <w:t>.,</w:t>
      </w:r>
      <w:r>
        <w:t xml:space="preserve"> 2023)</w:t>
      </w:r>
      <w:r w:rsidRPr="001864BC">
        <w:rPr>
          <w:rFonts w:cs="Times New Roman"/>
          <w:szCs w:val="24"/>
        </w:rPr>
        <w:t>.</w:t>
      </w:r>
    </w:p>
    <w:p w14:paraId="5B185504" w14:textId="7AB41B62" w:rsidR="00194DF5" w:rsidRDefault="00194DF5" w:rsidP="00194DF5">
      <w:pPr>
        <w:jc w:val="center"/>
        <w:rPr>
          <w:rFonts w:cs="Times New Roman"/>
          <w:szCs w:val="24"/>
        </w:rPr>
      </w:pPr>
      <w:r>
        <w:rPr>
          <w:noProof/>
        </w:rPr>
        <w:drawing>
          <wp:inline distT="0" distB="0" distL="0" distR="0" wp14:anchorId="1F1B59E1" wp14:editId="6BE63CB7">
            <wp:extent cx="2137410" cy="2137410"/>
            <wp:effectExtent l="0" t="0" r="0" b="0"/>
            <wp:docPr id="164333949" name="Picture 3" descr="Unilever Annual Report and Accounts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lever Annual Report and Accounts 202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37410" cy="2137410"/>
                    </a:xfrm>
                    <a:prstGeom prst="rect">
                      <a:avLst/>
                    </a:prstGeom>
                    <a:noFill/>
                    <a:ln>
                      <a:noFill/>
                    </a:ln>
                  </pic:spPr>
                </pic:pic>
              </a:graphicData>
            </a:graphic>
          </wp:inline>
        </w:drawing>
      </w:r>
    </w:p>
    <w:p w14:paraId="58D18B3D" w14:textId="00C9CA42" w:rsidR="00194DF5" w:rsidRPr="001864BC" w:rsidRDefault="00194DF5" w:rsidP="00194DF5">
      <w:pPr>
        <w:jc w:val="center"/>
        <w:rPr>
          <w:rFonts w:cs="Times New Roman"/>
          <w:szCs w:val="24"/>
        </w:rPr>
      </w:pPr>
      <w:r>
        <w:rPr>
          <w:rFonts w:cs="Times New Roman"/>
          <w:szCs w:val="24"/>
        </w:rPr>
        <w:t>Figure: Unilever Annual Report, 2023</w:t>
      </w:r>
    </w:p>
    <w:p w14:paraId="1E60B67D" w14:textId="77777777" w:rsidR="00F13288" w:rsidRPr="003C70E5" w:rsidRDefault="00F13288" w:rsidP="00F13288">
      <w:pPr>
        <w:rPr>
          <w:rFonts w:cs="Times New Roman"/>
          <w:szCs w:val="24"/>
        </w:rPr>
      </w:pPr>
      <w:r w:rsidRPr="001864BC">
        <w:rPr>
          <w:rFonts w:cs="Times New Roman"/>
          <w:szCs w:val="24"/>
        </w:rPr>
        <w:t xml:space="preserve">In the evaluation of the financial position and performance of Unilever in 2023-2024, the author </w:t>
      </w:r>
      <w:r>
        <w:rPr>
          <w:rFonts w:cs="Times New Roman"/>
          <w:szCs w:val="24"/>
        </w:rPr>
        <w:t>of</w:t>
      </w:r>
      <w:r w:rsidRPr="001864BC">
        <w:rPr>
          <w:rFonts w:cs="Times New Roman"/>
          <w:szCs w:val="24"/>
        </w:rPr>
        <w:t xml:space="preserve"> this report will use the ratio analysis. The analysis explains the trend in its financial analysis with a view to the strategic decisions</w:t>
      </w:r>
      <w:r>
        <w:rPr>
          <w:rFonts w:cs="Times New Roman"/>
          <w:szCs w:val="24"/>
        </w:rPr>
        <w:t>,</w:t>
      </w:r>
      <w:r w:rsidRPr="001864BC">
        <w:rPr>
          <w:rFonts w:cs="Times New Roman"/>
          <w:szCs w:val="24"/>
        </w:rPr>
        <w:t xml:space="preserve"> which may be pricing policies, volume increment, cost managemen</w:t>
      </w:r>
      <w:r>
        <w:rPr>
          <w:rFonts w:cs="Times New Roman"/>
          <w:szCs w:val="24"/>
        </w:rPr>
        <w:t>t and portfolio reorganisation.</w:t>
      </w:r>
    </w:p>
    <w:p w14:paraId="7F45A349" w14:textId="77777777" w:rsidR="00B50A2A" w:rsidRDefault="00B50A2A">
      <w:pPr>
        <w:spacing w:line="259" w:lineRule="auto"/>
        <w:jc w:val="left"/>
        <w:rPr>
          <w:b/>
          <w:color w:val="2E75B5"/>
          <w:sz w:val="32"/>
          <w:szCs w:val="32"/>
        </w:rPr>
      </w:pPr>
      <w:r>
        <w:br w:type="page"/>
      </w:r>
    </w:p>
    <w:p w14:paraId="2D962B78" w14:textId="77777777" w:rsidR="00F13288" w:rsidRPr="000E70DC" w:rsidRDefault="00F13288" w:rsidP="000E70DC">
      <w:pPr>
        <w:pStyle w:val="Heading1"/>
      </w:pPr>
      <w:bookmarkStart w:id="2" w:name="_Toc222786305"/>
      <w:r w:rsidRPr="000E70DC">
        <w:lastRenderedPageBreak/>
        <w:t xml:space="preserve">Task 1: Financial Ratio Analysis of </w:t>
      </w:r>
      <w:r w:rsidRPr="000E70DC">
        <w:rPr>
          <w:rStyle w:val="whitespace-normal"/>
        </w:rPr>
        <w:t>Unilever PLC</w:t>
      </w:r>
      <w:bookmarkEnd w:id="2"/>
    </w:p>
    <w:p w14:paraId="750E6F7C" w14:textId="77777777" w:rsidR="00F13288" w:rsidRPr="000E70DC" w:rsidRDefault="00B50A2A" w:rsidP="000E70DC">
      <w:pPr>
        <w:pStyle w:val="Heading2"/>
      </w:pPr>
      <w:bookmarkStart w:id="3" w:name="_Toc222786306"/>
      <w:r w:rsidRPr="000E70DC">
        <w:t>1</w:t>
      </w:r>
      <w:r w:rsidR="00F13288" w:rsidRPr="000E70DC">
        <w:t>. Profitability Performance</w:t>
      </w:r>
      <w:bookmarkEnd w:id="3"/>
    </w:p>
    <w:p w14:paraId="45D7E088" w14:textId="77777777" w:rsidR="00F13288" w:rsidRDefault="00F13288" w:rsidP="00F13288">
      <w:pPr>
        <w:rPr>
          <w:rFonts w:cs="Times New Roman"/>
          <w:szCs w:val="24"/>
        </w:rPr>
      </w:pPr>
      <w:r w:rsidRPr="001864BC">
        <w:rPr>
          <w:rFonts w:cs="Times New Roman"/>
          <w:szCs w:val="24"/>
        </w:rPr>
        <w:t xml:space="preserve">The profitability ratios are the ratios that can be used to decide how well the firm will be able to generate profits as a percentage of the sales revenue, the total assets and capital invested. They provide an </w:t>
      </w:r>
      <w:r>
        <w:rPr>
          <w:rFonts w:cs="Times New Roman"/>
          <w:szCs w:val="24"/>
        </w:rPr>
        <w:t xml:space="preserve">eye-opener to operational efficiency, pricing, </w:t>
      </w:r>
      <w:r w:rsidRPr="001864BC">
        <w:rPr>
          <w:rFonts w:cs="Times New Roman"/>
          <w:szCs w:val="24"/>
        </w:rPr>
        <w:t>cost management and value creation in general. The profitability of Unilever in 2024 will be many times higher than the condition of 2023, and this fact will allow saying that the activity of the strategy and reorganisation of the work starts to yield monetary rewards</w:t>
      </w:r>
      <w:r>
        <w:rPr>
          <w:rFonts w:cs="Times New Roman"/>
          <w:szCs w:val="24"/>
        </w:rPr>
        <w:t xml:space="preserve"> </w:t>
      </w:r>
      <w:r>
        <w:t>(Götze, Northcott and Schuster, 2015)</w:t>
      </w:r>
      <w:r w:rsidRPr="001864BC">
        <w:rPr>
          <w:rFonts w:cs="Times New Roman"/>
          <w:szCs w:val="24"/>
        </w:rPr>
        <w:t>.</w:t>
      </w:r>
    </w:p>
    <w:p w14:paraId="2D5C08EC" w14:textId="59A549E8" w:rsidR="00FD0F82" w:rsidRDefault="00FD0F82" w:rsidP="00FD0F82">
      <w:pPr>
        <w:jc w:val="center"/>
        <w:rPr>
          <w:rFonts w:cs="Times New Roman"/>
          <w:szCs w:val="24"/>
        </w:rPr>
      </w:pPr>
      <w:r>
        <w:rPr>
          <w:noProof/>
        </w:rPr>
        <w:drawing>
          <wp:inline distT="0" distB="0" distL="0" distR="0" wp14:anchorId="1D98A6C9" wp14:editId="27611F7A">
            <wp:extent cx="3360450" cy="2239059"/>
            <wp:effectExtent l="0" t="0" r="0" b="8890"/>
            <wp:docPr id="1056248172" name="Picture 2" descr="Capital Budgeting and Investment Appraisal Techniq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pital Budgeting and Investment Appraisal Techniqu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64723" cy="2241906"/>
                    </a:xfrm>
                    <a:prstGeom prst="rect">
                      <a:avLst/>
                    </a:prstGeom>
                    <a:noFill/>
                    <a:ln>
                      <a:noFill/>
                    </a:ln>
                  </pic:spPr>
                </pic:pic>
              </a:graphicData>
            </a:graphic>
          </wp:inline>
        </w:drawing>
      </w:r>
    </w:p>
    <w:p w14:paraId="4526E96A" w14:textId="5860F3AF" w:rsidR="00FD0F82" w:rsidRPr="001864BC" w:rsidRDefault="00FD0F82" w:rsidP="00FD0F82">
      <w:pPr>
        <w:jc w:val="center"/>
        <w:rPr>
          <w:rFonts w:cs="Times New Roman"/>
          <w:szCs w:val="24"/>
        </w:rPr>
      </w:pPr>
      <w:r>
        <w:rPr>
          <w:rFonts w:cs="Times New Roman"/>
          <w:szCs w:val="24"/>
        </w:rPr>
        <w:t xml:space="preserve">Figure: Capital Budgeting </w:t>
      </w:r>
      <w:r w:rsidRPr="00FD0F82">
        <w:rPr>
          <w:rFonts w:cs="Times New Roman"/>
          <w:szCs w:val="24"/>
        </w:rPr>
        <w:t>(Götze, Northcott and Schuster, 2015).</w:t>
      </w:r>
    </w:p>
    <w:p w14:paraId="05CD9E3F" w14:textId="026F2666" w:rsidR="00F13288" w:rsidRPr="001864BC" w:rsidRDefault="00F13288" w:rsidP="00F13288">
      <w:pPr>
        <w:rPr>
          <w:rFonts w:cs="Times New Roman"/>
          <w:szCs w:val="24"/>
        </w:rPr>
      </w:pPr>
      <w:r w:rsidRPr="001864BC">
        <w:rPr>
          <w:rFonts w:cs="Times New Roman"/>
          <w:szCs w:val="24"/>
        </w:rPr>
        <w:t xml:space="preserve">The increases in revenue moved upwards in 2023 and </w:t>
      </w:r>
      <w:r>
        <w:rPr>
          <w:rFonts w:cs="Times New Roman"/>
          <w:szCs w:val="24"/>
        </w:rPr>
        <w:t>are</w:t>
      </w:r>
      <w:r w:rsidRPr="001864BC">
        <w:rPr>
          <w:rFonts w:cs="Times New Roman"/>
          <w:szCs w:val="24"/>
        </w:rPr>
        <w:t xml:space="preserve"> set to grow to 60.8 billion in 2024. This is only a modest growth of headlines</w:t>
      </w:r>
      <w:r>
        <w:rPr>
          <w:rFonts w:cs="Times New Roman"/>
          <w:szCs w:val="24"/>
        </w:rPr>
        <w:t>, but what is more valuable is the underlying growth of sales, which increased by 4.2 per cent, of which 2.9 per cent</w:t>
      </w:r>
      <w:r w:rsidRPr="001864BC">
        <w:rPr>
          <w:rFonts w:cs="Times New Roman"/>
          <w:szCs w:val="24"/>
        </w:rPr>
        <w:t xml:space="preserve"> was generated by the growth of volume. This is a strategic change that is significant. The growth in price as a reaction to the inflationary forces had been very advantageous to the growth of revenue in the FMCG sector. The expansion in volumes</w:t>
      </w:r>
      <w:r>
        <w:rPr>
          <w:rFonts w:cs="Times New Roman"/>
          <w:szCs w:val="24"/>
        </w:rPr>
        <w:t>, on the other hand,</w:t>
      </w:r>
      <w:r w:rsidRPr="001864BC">
        <w:rPr>
          <w:rFonts w:cs="Times New Roman"/>
          <w:szCs w:val="24"/>
        </w:rPr>
        <w:t xml:space="preserve"> signifies good consumer demand, improved brand competitiveness and good performance in the market share</w:t>
      </w:r>
      <w:r>
        <w:rPr>
          <w:rFonts w:cs="Times New Roman"/>
          <w:szCs w:val="24"/>
        </w:rPr>
        <w:t xml:space="preserve"> </w:t>
      </w:r>
      <w:r>
        <w:t>(Mathew, 2024)</w:t>
      </w:r>
      <w:r w:rsidRPr="001864BC">
        <w:rPr>
          <w:rFonts w:cs="Times New Roman"/>
          <w:szCs w:val="24"/>
        </w:rPr>
        <w:t xml:space="preserve">. The rationale behind this is that the volume growth is a more viable concept of growth as compared to </w:t>
      </w:r>
      <w:r>
        <w:rPr>
          <w:rFonts w:cs="Times New Roman"/>
          <w:szCs w:val="24"/>
        </w:rPr>
        <w:t>price-based growth because it reflects the actual demand and not the short-term</w:t>
      </w:r>
      <w:r w:rsidRPr="001864BC">
        <w:rPr>
          <w:rFonts w:cs="Times New Roman"/>
          <w:szCs w:val="24"/>
        </w:rPr>
        <w:t xml:space="preserve"> inflation adaptations.</w:t>
      </w:r>
    </w:p>
    <w:p w14:paraId="3C3C8C63" w14:textId="77777777" w:rsidR="00F13288" w:rsidRPr="001864BC" w:rsidRDefault="00F13288" w:rsidP="00F13288">
      <w:pPr>
        <w:rPr>
          <w:rFonts w:cs="Times New Roman"/>
          <w:szCs w:val="24"/>
        </w:rPr>
      </w:pPr>
      <w:r w:rsidRPr="001864BC">
        <w:rPr>
          <w:rFonts w:cs="Times New Roman"/>
          <w:szCs w:val="24"/>
        </w:rPr>
        <w:t xml:space="preserve">There is an increase in gross margin of about 280 basis points in year </w:t>
      </w:r>
      <w:r>
        <w:rPr>
          <w:rFonts w:cs="Times New Roman"/>
          <w:szCs w:val="24"/>
        </w:rPr>
        <w:t>twenty-four</w:t>
      </w:r>
      <w:r w:rsidRPr="001864BC">
        <w:rPr>
          <w:rFonts w:cs="Times New Roman"/>
          <w:szCs w:val="24"/>
        </w:rPr>
        <w:t xml:space="preserve">. This has been augmented with the facilitation of the cost of raw materials, </w:t>
      </w:r>
      <w:r>
        <w:rPr>
          <w:rFonts w:cs="Times New Roman"/>
          <w:szCs w:val="24"/>
        </w:rPr>
        <w:t xml:space="preserve">the improvement of the efficacy of the supply chain, stringent pricing policies and productivity programmes under the </w:t>
      </w:r>
      <w:r w:rsidRPr="001864BC">
        <w:rPr>
          <w:rFonts w:cs="Times New Roman"/>
          <w:szCs w:val="24"/>
        </w:rPr>
        <w:lastRenderedPageBreak/>
        <w:t>Growth Action Plan of the company. The larger amounts were also adding to the operational leverage at which the fixed costs were apportioned with the increase in the revenue base. The gross margin growth reflects that there is appropriate control of costs and discipline in the business operation</w:t>
      </w:r>
      <w:r>
        <w:rPr>
          <w:rFonts w:cs="Times New Roman"/>
          <w:szCs w:val="24"/>
        </w:rPr>
        <w:t>,</w:t>
      </w:r>
      <w:r w:rsidRPr="001864BC">
        <w:rPr>
          <w:rFonts w:cs="Times New Roman"/>
          <w:szCs w:val="24"/>
        </w:rPr>
        <w:t xml:space="preserve"> especially in areas where there is strong competition within the market with regard to price and unpredictability of inputs</w:t>
      </w:r>
      <w:r>
        <w:rPr>
          <w:rFonts w:cs="Times New Roman"/>
          <w:szCs w:val="24"/>
        </w:rPr>
        <w:t xml:space="preserve"> </w:t>
      </w:r>
      <w:r>
        <w:t>(Arslan and Zaman, 2015)</w:t>
      </w:r>
      <w:r w:rsidRPr="001864BC">
        <w:rPr>
          <w:rFonts w:cs="Times New Roman"/>
          <w:szCs w:val="24"/>
        </w:rPr>
        <w:t>.</w:t>
      </w:r>
    </w:p>
    <w:p w14:paraId="79E27FF6" w14:textId="77777777" w:rsidR="00F13288" w:rsidRPr="001864BC" w:rsidRDefault="00F13288" w:rsidP="00F13288">
      <w:pPr>
        <w:rPr>
          <w:rFonts w:cs="Times New Roman"/>
          <w:szCs w:val="24"/>
        </w:rPr>
      </w:pPr>
      <w:r w:rsidRPr="001864BC">
        <w:rPr>
          <w:rFonts w:cs="Times New Roman"/>
          <w:szCs w:val="24"/>
        </w:rPr>
        <w:t>It is also better in its 2024 margin of operation, compared to 2023, at 18.4. This growth is not only an indicator of an increase in gross profitability</w:t>
      </w:r>
      <w:r>
        <w:rPr>
          <w:rFonts w:cs="Times New Roman"/>
          <w:szCs w:val="24"/>
        </w:rPr>
        <w:t>, but it also indicates better control of the selling, administrative,</w:t>
      </w:r>
      <w:r w:rsidRPr="001864BC">
        <w:rPr>
          <w:rFonts w:cs="Times New Roman"/>
          <w:szCs w:val="24"/>
        </w:rPr>
        <w:t xml:space="preserve"> and marketing costs. It proves that the company could balance between the cost-efficiency approach and brand growth and development. This is an indicator that there was cost-efficiency through </w:t>
      </w:r>
      <w:r>
        <w:rPr>
          <w:rFonts w:cs="Times New Roman"/>
          <w:szCs w:val="24"/>
        </w:rPr>
        <w:t xml:space="preserve">increased productivity as compared to strategic cuts in investment in </w:t>
      </w:r>
      <w:r w:rsidRPr="001864BC">
        <w:rPr>
          <w:rFonts w:cs="Times New Roman"/>
          <w:szCs w:val="24"/>
        </w:rPr>
        <w:t>marketing spending and higher margins.</w:t>
      </w:r>
    </w:p>
    <w:p w14:paraId="015403F2" w14:textId="77777777" w:rsidR="00F13288" w:rsidRPr="001864BC" w:rsidRDefault="00F13288" w:rsidP="00F13288">
      <w:pPr>
        <w:rPr>
          <w:rFonts w:cs="Times New Roman"/>
          <w:szCs w:val="24"/>
        </w:rPr>
      </w:pPr>
      <w:r w:rsidRPr="001864BC">
        <w:rPr>
          <w:rFonts w:cs="Times New Roman"/>
          <w:szCs w:val="24"/>
        </w:rPr>
        <w:t xml:space="preserve">The underlying operating profit has gone up to 11.2 billion Euros or 12.6 </w:t>
      </w:r>
      <w:r>
        <w:rPr>
          <w:rFonts w:cs="Times New Roman"/>
          <w:szCs w:val="24"/>
        </w:rPr>
        <w:t>per cent</w:t>
      </w:r>
      <w:r w:rsidRPr="001864BC">
        <w:rPr>
          <w:rFonts w:cs="Times New Roman"/>
          <w:szCs w:val="24"/>
        </w:rPr>
        <w:t xml:space="preserve"> per annum. It</w:t>
      </w:r>
      <w:r>
        <w:rPr>
          <w:rFonts w:cs="Times New Roman"/>
          <w:szCs w:val="24"/>
        </w:rPr>
        <w:t>, however, reported operating profit of 9.4 billion as a result of restructuring costs, portfolio optimisation costs and transformation costs that were one-off</w:t>
      </w:r>
      <w:r w:rsidRPr="001864BC">
        <w:rPr>
          <w:rFonts w:cs="Times New Roman"/>
          <w:szCs w:val="24"/>
        </w:rPr>
        <w:t>. The statutory and underlying figures are not similar. The underlying profit will give an understanding of core performance in operations against the statutory profit</w:t>
      </w:r>
      <w:r>
        <w:rPr>
          <w:rFonts w:cs="Times New Roman"/>
          <w:szCs w:val="24"/>
        </w:rPr>
        <w:t>,</w:t>
      </w:r>
      <w:r w:rsidRPr="001864BC">
        <w:rPr>
          <w:rFonts w:cs="Times New Roman"/>
          <w:szCs w:val="24"/>
        </w:rPr>
        <w:t xml:space="preserve"> which will determine the entire accounting impact of the strategic restructuring</w:t>
      </w:r>
      <w:r>
        <w:rPr>
          <w:rFonts w:cs="Times New Roman"/>
          <w:szCs w:val="24"/>
        </w:rPr>
        <w:t xml:space="preserve"> </w:t>
      </w:r>
      <w:r>
        <w:t>(Yoganandham, 2025)</w:t>
      </w:r>
      <w:r w:rsidRPr="001864BC">
        <w:rPr>
          <w:rFonts w:cs="Times New Roman"/>
          <w:szCs w:val="24"/>
        </w:rPr>
        <w:t xml:space="preserve">. The variance between two values depicts that the company is </w:t>
      </w:r>
      <w:r>
        <w:rPr>
          <w:rFonts w:cs="Times New Roman"/>
          <w:szCs w:val="24"/>
        </w:rPr>
        <w:t>in</w:t>
      </w:r>
      <w:r w:rsidRPr="001864BC">
        <w:rPr>
          <w:rFonts w:cs="Times New Roman"/>
          <w:szCs w:val="24"/>
        </w:rPr>
        <w:t xml:space="preserve"> the transition phase, which has so far choked the reported earnings but has the potential to boost its competitiveness in the long run.</w:t>
      </w:r>
    </w:p>
    <w:p w14:paraId="0F280CE5" w14:textId="77777777" w:rsidR="00F13288" w:rsidRPr="001864BC" w:rsidRDefault="00F13288" w:rsidP="00F13288">
      <w:pPr>
        <w:rPr>
          <w:rFonts w:cs="Times New Roman"/>
          <w:szCs w:val="24"/>
        </w:rPr>
      </w:pPr>
      <w:r w:rsidRPr="001864BC">
        <w:rPr>
          <w:rFonts w:cs="Times New Roman"/>
          <w:szCs w:val="24"/>
        </w:rPr>
        <w:t xml:space="preserve">Otherwise, the net profit margins were fairly stable despite restructuring charges. The net level stability means poor performance </w:t>
      </w:r>
      <w:r>
        <w:rPr>
          <w:rFonts w:cs="Times New Roman"/>
          <w:szCs w:val="24"/>
        </w:rPr>
        <w:t>in</w:t>
      </w:r>
      <w:r w:rsidRPr="001864BC">
        <w:rPr>
          <w:rFonts w:cs="Times New Roman"/>
          <w:szCs w:val="24"/>
        </w:rPr>
        <w:t xml:space="preserve"> the overall performance </w:t>
      </w:r>
      <w:r>
        <w:rPr>
          <w:rFonts w:cs="Times New Roman"/>
          <w:szCs w:val="24"/>
        </w:rPr>
        <w:t>of</w:t>
      </w:r>
      <w:r w:rsidRPr="001864BC">
        <w:rPr>
          <w:rFonts w:cs="Times New Roman"/>
          <w:szCs w:val="24"/>
        </w:rPr>
        <w:t xml:space="preserve"> finances. The adjustments of exceptional items in the company indicated that the company has been profitable and that it had high brand equity and diversified geographic exposure.</w:t>
      </w:r>
    </w:p>
    <w:p w14:paraId="0E836697" w14:textId="77777777" w:rsidR="00F13288" w:rsidRPr="001864BC" w:rsidRDefault="00F13288" w:rsidP="00F13288">
      <w:pPr>
        <w:rPr>
          <w:rFonts w:cs="Times New Roman"/>
          <w:szCs w:val="24"/>
        </w:rPr>
      </w:pPr>
      <w:r w:rsidRPr="001864BC">
        <w:rPr>
          <w:rFonts w:cs="Times New Roman"/>
          <w:szCs w:val="24"/>
        </w:rPr>
        <w:t xml:space="preserve">Value of Return on Invested Capital (ROIC) was greater and was found to be around 18.1 above the cost of capital. This is a very important value creation measure. The fact that the ROIC is above the cost of capital is additional testimony that the company is making returns that outweigh the </w:t>
      </w:r>
      <w:r>
        <w:rPr>
          <w:rFonts w:cs="Times New Roman"/>
          <w:szCs w:val="24"/>
        </w:rPr>
        <w:t>expectations of the investors, and it is also creating</w:t>
      </w:r>
      <w:r w:rsidRPr="001864BC">
        <w:rPr>
          <w:rFonts w:cs="Times New Roman"/>
          <w:szCs w:val="24"/>
        </w:rPr>
        <w:t xml:space="preserve"> economic value</w:t>
      </w:r>
      <w:r>
        <w:rPr>
          <w:rFonts w:cs="Times New Roman"/>
          <w:szCs w:val="24"/>
        </w:rPr>
        <w:t xml:space="preserve"> </w:t>
      </w:r>
      <w:r>
        <w:t>(Alkaraan, 2020)</w:t>
      </w:r>
      <w:r w:rsidRPr="001864BC">
        <w:rPr>
          <w:rFonts w:cs="Times New Roman"/>
          <w:szCs w:val="24"/>
        </w:rPr>
        <w:t>. Increased ROIC is also an indication of increased capital allocation behaviour, productivity of assets and operations.</w:t>
      </w:r>
    </w:p>
    <w:p w14:paraId="62037313" w14:textId="77777777" w:rsidR="00F13288" w:rsidRPr="003C70E5" w:rsidRDefault="00F13288" w:rsidP="00F13288">
      <w:pPr>
        <w:rPr>
          <w:rFonts w:cs="Times New Roman"/>
          <w:szCs w:val="24"/>
        </w:rPr>
      </w:pPr>
      <w:r w:rsidRPr="001864BC">
        <w:rPr>
          <w:rFonts w:cs="Times New Roman"/>
          <w:szCs w:val="24"/>
        </w:rPr>
        <w:t>At a broad level, the profitability ratios show that Unilever is not in an era of margin strain</w:t>
      </w:r>
      <w:r>
        <w:rPr>
          <w:rFonts w:cs="Times New Roman"/>
          <w:szCs w:val="24"/>
        </w:rPr>
        <w:t>, but rather one of recovery and growth</w:t>
      </w:r>
      <w:r w:rsidRPr="001864BC">
        <w:rPr>
          <w:rFonts w:cs="Times New Roman"/>
          <w:szCs w:val="24"/>
        </w:rPr>
        <w:t xml:space="preserve">. Financial returns of strategic focus on Power Brands, productivity programmes and portfolio optimisation seem to be yielding actual financial </w:t>
      </w:r>
      <w:r w:rsidRPr="001864BC">
        <w:rPr>
          <w:rFonts w:cs="Times New Roman"/>
          <w:szCs w:val="24"/>
        </w:rPr>
        <w:lastRenderedPageBreak/>
        <w:t>benefits</w:t>
      </w:r>
      <w:r>
        <w:rPr>
          <w:rFonts w:cs="Times New Roman"/>
          <w:szCs w:val="24"/>
        </w:rPr>
        <w:t xml:space="preserve"> </w:t>
      </w:r>
      <w:r>
        <w:t>(Park and Sharp, 2021)</w:t>
      </w:r>
      <w:r w:rsidRPr="001864BC">
        <w:rPr>
          <w:rFonts w:cs="Times New Roman"/>
          <w:szCs w:val="24"/>
        </w:rPr>
        <w:t>. The sustainable profitability will be fixed</w:t>
      </w:r>
      <w:r>
        <w:rPr>
          <w:rFonts w:cs="Times New Roman"/>
          <w:szCs w:val="24"/>
        </w:rPr>
        <w:t>, however,</w:t>
      </w:r>
      <w:r w:rsidRPr="001864BC">
        <w:rPr>
          <w:rFonts w:cs="Times New Roman"/>
          <w:szCs w:val="24"/>
        </w:rPr>
        <w:t xml:space="preserve"> on the ability to sustain the growth of the volume, the variability of the input costs and the programmes</w:t>
      </w:r>
      <w:r>
        <w:rPr>
          <w:rFonts w:cs="Times New Roman"/>
          <w:szCs w:val="24"/>
        </w:rPr>
        <w:t xml:space="preserve"> of the operational efficiency.</w:t>
      </w:r>
    </w:p>
    <w:p w14:paraId="39629BA6" w14:textId="77777777" w:rsidR="00F13288" w:rsidRDefault="00B50A2A" w:rsidP="00F13288">
      <w:pPr>
        <w:pStyle w:val="Heading2"/>
      </w:pPr>
      <w:bookmarkStart w:id="4" w:name="_Toc222786307"/>
      <w:r>
        <w:t>2</w:t>
      </w:r>
      <w:r w:rsidR="00F13288">
        <w:t>. Liquidity Position</w:t>
      </w:r>
      <w:bookmarkEnd w:id="4"/>
    </w:p>
    <w:p w14:paraId="16F9F524" w14:textId="77777777" w:rsidR="00F13288" w:rsidRPr="001864BC" w:rsidRDefault="00F13288" w:rsidP="00F13288">
      <w:pPr>
        <w:rPr>
          <w:rFonts w:cs="Times New Roman"/>
          <w:szCs w:val="24"/>
        </w:rPr>
      </w:pPr>
      <w:r w:rsidRPr="001864BC">
        <w:rPr>
          <w:rFonts w:cs="Times New Roman"/>
          <w:szCs w:val="24"/>
        </w:rPr>
        <w:t xml:space="preserve">The Liquidity ratios can be used </w:t>
      </w:r>
      <w:r>
        <w:rPr>
          <w:rFonts w:cs="Times New Roman"/>
          <w:szCs w:val="24"/>
        </w:rPr>
        <w:t>to determine the capability of the company to cover its short-term obligations and the efficiency of its working capital</w:t>
      </w:r>
      <w:r w:rsidRPr="001864BC">
        <w:rPr>
          <w:rFonts w:cs="Times New Roman"/>
          <w:szCs w:val="24"/>
        </w:rPr>
        <w:t xml:space="preserve">. Given that a global FMCG organisation has its operations in </w:t>
      </w:r>
      <w:r>
        <w:rPr>
          <w:rFonts w:cs="Times New Roman"/>
          <w:szCs w:val="24"/>
        </w:rPr>
        <w:t>190-plus</w:t>
      </w:r>
      <w:r w:rsidRPr="001864BC">
        <w:rPr>
          <w:rFonts w:cs="Times New Roman"/>
          <w:szCs w:val="24"/>
        </w:rPr>
        <w:t xml:space="preserve"> countries, it is worth noting that liquidity management is addressed to ensure that the supply chain is not disrupted and the operations remain stable</w:t>
      </w:r>
      <w:r>
        <w:rPr>
          <w:rFonts w:cs="Times New Roman"/>
          <w:szCs w:val="24"/>
        </w:rPr>
        <w:t xml:space="preserve"> </w:t>
      </w:r>
      <w:r>
        <w:t>(Chukwuma-Eke, Ogunsola and Isibor, 2022a)</w:t>
      </w:r>
      <w:r w:rsidRPr="001864BC">
        <w:rPr>
          <w:rFonts w:cs="Times New Roman"/>
          <w:szCs w:val="24"/>
        </w:rPr>
        <w:t>.</w:t>
      </w:r>
    </w:p>
    <w:p w14:paraId="0E3E24A6" w14:textId="77777777" w:rsidR="00F13288" w:rsidRPr="001864BC" w:rsidRDefault="00F13288" w:rsidP="00F13288">
      <w:pPr>
        <w:rPr>
          <w:rFonts w:cs="Times New Roman"/>
          <w:szCs w:val="24"/>
        </w:rPr>
      </w:pPr>
      <w:r w:rsidRPr="001864BC">
        <w:rPr>
          <w:rFonts w:cs="Times New Roman"/>
          <w:szCs w:val="24"/>
        </w:rPr>
        <w:t>The level of the current ratio has been preserved at the approximate value of 0.76 in 2023 and 2024. This is the least value in contrast to the traditional norm of 1:1</w:t>
      </w:r>
      <w:r>
        <w:rPr>
          <w:rFonts w:cs="Times New Roman"/>
          <w:szCs w:val="24"/>
        </w:rPr>
        <w:t>,</w:t>
      </w:r>
      <w:r w:rsidRPr="001864BC">
        <w:rPr>
          <w:rFonts w:cs="Times New Roman"/>
          <w:szCs w:val="24"/>
        </w:rPr>
        <w:t xml:space="preserve"> yet it does not seem to be a problem that should be elevated in the FMCG industry. The industry has a high turnover in inventory, good </w:t>
      </w:r>
      <w:r>
        <w:rPr>
          <w:rFonts w:cs="Times New Roman"/>
          <w:szCs w:val="24"/>
        </w:rPr>
        <w:t>relationships</w:t>
      </w:r>
      <w:r w:rsidRPr="001864BC">
        <w:rPr>
          <w:rFonts w:cs="Times New Roman"/>
          <w:szCs w:val="24"/>
        </w:rPr>
        <w:t xml:space="preserve"> with suppliers and assurance of injections of cash on a daily basis, which is attributed to consumer shopping, which can explain the low current ratios of firms in the industry</w:t>
      </w:r>
      <w:r>
        <w:rPr>
          <w:rFonts w:cs="Times New Roman"/>
          <w:szCs w:val="24"/>
        </w:rPr>
        <w:t xml:space="preserve"> </w:t>
      </w:r>
      <w:r>
        <w:t>(Li and Trutnevyte, 2017)</w:t>
      </w:r>
      <w:r w:rsidRPr="001864BC">
        <w:rPr>
          <w:rFonts w:cs="Times New Roman"/>
          <w:szCs w:val="24"/>
        </w:rPr>
        <w:t xml:space="preserve">. The stability of the ratio indicates that there is no depreciation in the </w:t>
      </w:r>
      <w:r>
        <w:rPr>
          <w:rFonts w:cs="Times New Roman"/>
          <w:szCs w:val="24"/>
        </w:rPr>
        <w:t>short-term</w:t>
      </w:r>
      <w:r w:rsidRPr="001864BC">
        <w:rPr>
          <w:rFonts w:cs="Times New Roman"/>
          <w:szCs w:val="24"/>
        </w:rPr>
        <w:t xml:space="preserve"> liabilities.</w:t>
      </w:r>
    </w:p>
    <w:p w14:paraId="01109B1F" w14:textId="77777777" w:rsidR="00F13288" w:rsidRPr="001864BC" w:rsidRDefault="00F13288" w:rsidP="00F13288">
      <w:pPr>
        <w:rPr>
          <w:rFonts w:cs="Times New Roman"/>
          <w:szCs w:val="24"/>
        </w:rPr>
      </w:pPr>
      <w:r w:rsidRPr="001864BC">
        <w:rPr>
          <w:rFonts w:cs="Times New Roman"/>
          <w:szCs w:val="24"/>
        </w:rPr>
        <w:t>Quick ratio is an increase of 0.50 in 2024 compared to 0.46 in 2023. The invention does not consider the inventory</w:t>
      </w:r>
      <w:r>
        <w:rPr>
          <w:rFonts w:cs="Times New Roman"/>
          <w:szCs w:val="24"/>
        </w:rPr>
        <w:t xml:space="preserve">, and thus, the </w:t>
      </w:r>
      <w:r w:rsidRPr="001864BC">
        <w:rPr>
          <w:rFonts w:cs="Times New Roman"/>
          <w:szCs w:val="24"/>
        </w:rPr>
        <w:t>quick ratio is a narrower analysis of the short liquidity. The growth offers better cash and receivables management</w:t>
      </w:r>
      <w:r>
        <w:rPr>
          <w:rFonts w:cs="Times New Roman"/>
          <w:szCs w:val="24"/>
        </w:rPr>
        <w:t>, which</w:t>
      </w:r>
      <w:r w:rsidRPr="001864BC">
        <w:rPr>
          <w:rFonts w:cs="Times New Roman"/>
          <w:szCs w:val="24"/>
        </w:rPr>
        <w:t xml:space="preserve"> is a superior operational cash management. This is walking in the right direction in terms of </w:t>
      </w:r>
      <w:r>
        <w:rPr>
          <w:rFonts w:cs="Times New Roman"/>
          <w:szCs w:val="24"/>
        </w:rPr>
        <w:t>improved efficiency of the working capital and increased generation of free cash flows</w:t>
      </w:r>
      <w:r w:rsidRPr="001864BC">
        <w:rPr>
          <w:rFonts w:cs="Times New Roman"/>
          <w:szCs w:val="24"/>
        </w:rPr>
        <w:t>.</w:t>
      </w:r>
    </w:p>
    <w:p w14:paraId="751BAB2E" w14:textId="77777777" w:rsidR="00F13288" w:rsidRPr="001864BC" w:rsidRDefault="00F13288" w:rsidP="00F13288">
      <w:pPr>
        <w:rPr>
          <w:rFonts w:cs="Times New Roman"/>
          <w:szCs w:val="24"/>
        </w:rPr>
      </w:pPr>
      <w:r w:rsidRPr="001864BC">
        <w:rPr>
          <w:rFonts w:cs="Times New Roman"/>
          <w:szCs w:val="24"/>
        </w:rPr>
        <w:t xml:space="preserve">The free cash flow is growing at a steep pace to 6.9 billion Euros </w:t>
      </w:r>
      <w:r>
        <w:rPr>
          <w:rFonts w:cs="Times New Roman"/>
          <w:szCs w:val="24"/>
        </w:rPr>
        <w:t xml:space="preserve">in 2024 and a </w:t>
      </w:r>
      <w:r w:rsidRPr="001864BC">
        <w:rPr>
          <w:rFonts w:cs="Times New Roman"/>
          <w:szCs w:val="24"/>
        </w:rPr>
        <w:t xml:space="preserve">cash conversion ratio of 106. This implies that the operating profit was turned into actual cash flows that </w:t>
      </w:r>
      <w:r>
        <w:rPr>
          <w:rFonts w:cs="Times New Roman"/>
          <w:szCs w:val="24"/>
        </w:rPr>
        <w:t>effectively represent high-quality</w:t>
      </w:r>
      <w:r w:rsidRPr="001864BC">
        <w:rPr>
          <w:rFonts w:cs="Times New Roman"/>
          <w:szCs w:val="24"/>
        </w:rPr>
        <w:t xml:space="preserve"> earnings</w:t>
      </w:r>
      <w:r>
        <w:rPr>
          <w:rFonts w:cs="Times New Roman"/>
          <w:szCs w:val="24"/>
        </w:rPr>
        <w:t xml:space="preserve"> </w:t>
      </w:r>
      <w:r>
        <w:t>(Elmassri, Harris and Carter, 2016)</w:t>
      </w:r>
      <w:r w:rsidRPr="001864BC">
        <w:rPr>
          <w:rFonts w:cs="Times New Roman"/>
          <w:szCs w:val="24"/>
        </w:rPr>
        <w:t>. Positive cash conversion shows that there is control of capital expenditure, excellent receivables debt collection and better management of the inventory.</w:t>
      </w:r>
    </w:p>
    <w:p w14:paraId="41830962" w14:textId="77777777" w:rsidR="00F13288" w:rsidRPr="001864BC" w:rsidRDefault="00F13288" w:rsidP="00F13288">
      <w:pPr>
        <w:rPr>
          <w:rFonts w:cs="Times New Roman"/>
          <w:szCs w:val="24"/>
        </w:rPr>
      </w:pPr>
      <w:r w:rsidRPr="001864BC">
        <w:rPr>
          <w:rFonts w:cs="Times New Roman"/>
          <w:szCs w:val="24"/>
        </w:rPr>
        <w:t>Even when dividends and share buyback were conducted in back of an estimated value of the money amounting to 5.8 billion, the liquidity was retained. It is an excellent capital allocation where the shareholders are given the returns without affecting the cash requirements of the operations</w:t>
      </w:r>
      <w:r>
        <w:rPr>
          <w:rFonts w:cs="Times New Roman"/>
          <w:szCs w:val="24"/>
        </w:rPr>
        <w:t xml:space="preserve"> </w:t>
      </w:r>
      <w:r>
        <w:t>(Ren, 2022)</w:t>
      </w:r>
      <w:r w:rsidRPr="001864BC">
        <w:rPr>
          <w:rFonts w:cs="Times New Roman"/>
          <w:szCs w:val="24"/>
        </w:rPr>
        <w:t xml:space="preserve">. The ability to allocate huge amounts of money and still be liquid defines the financial </w:t>
      </w:r>
      <w:r>
        <w:rPr>
          <w:rFonts w:cs="Times New Roman"/>
          <w:szCs w:val="24"/>
        </w:rPr>
        <w:t>well-being</w:t>
      </w:r>
      <w:r w:rsidRPr="001864BC">
        <w:rPr>
          <w:rFonts w:cs="Times New Roman"/>
          <w:szCs w:val="24"/>
        </w:rPr>
        <w:t xml:space="preserve"> and credibility of the cash flow by the management.</w:t>
      </w:r>
    </w:p>
    <w:p w14:paraId="5B0BDBC7" w14:textId="77777777" w:rsidR="00F13288" w:rsidRPr="001864BC" w:rsidRDefault="00F13288" w:rsidP="00F13288">
      <w:pPr>
        <w:rPr>
          <w:rFonts w:cs="Times New Roman"/>
          <w:szCs w:val="24"/>
        </w:rPr>
      </w:pPr>
      <w:r w:rsidRPr="001864BC">
        <w:rPr>
          <w:rFonts w:cs="Times New Roman"/>
          <w:szCs w:val="24"/>
        </w:rPr>
        <w:lastRenderedPageBreak/>
        <w:t>The liquidity</w:t>
      </w:r>
      <w:r>
        <w:rPr>
          <w:rFonts w:cs="Times New Roman"/>
          <w:szCs w:val="24"/>
        </w:rPr>
        <w:t>, however,</w:t>
      </w:r>
      <w:r w:rsidRPr="001864BC">
        <w:rPr>
          <w:rFonts w:cs="Times New Roman"/>
          <w:szCs w:val="24"/>
        </w:rPr>
        <w:t xml:space="preserve"> is vulnerable to the external macroeconomic forces. These working capital dynamic factors can be affected by the factors of inflation, the unstable exchange rate, geopolitical tension, and supply chain disruption that can take place. The foreign exchange risk may have an impact on the timing of the cash flow and reported earnings in a firm </w:t>
      </w:r>
      <w:r>
        <w:rPr>
          <w:rFonts w:cs="Times New Roman"/>
          <w:szCs w:val="24"/>
        </w:rPr>
        <w:t>that</w:t>
      </w:r>
      <w:r w:rsidRPr="001864BC">
        <w:rPr>
          <w:rFonts w:cs="Times New Roman"/>
          <w:szCs w:val="24"/>
        </w:rPr>
        <w:t xml:space="preserve"> is highly exposed to the emerging markets</w:t>
      </w:r>
      <w:r>
        <w:rPr>
          <w:rFonts w:cs="Times New Roman"/>
          <w:szCs w:val="24"/>
        </w:rPr>
        <w:t xml:space="preserve"> </w:t>
      </w:r>
      <w:r>
        <w:t>(Alexander, 2018)</w:t>
      </w:r>
      <w:r w:rsidRPr="001864BC">
        <w:rPr>
          <w:rFonts w:cs="Times New Roman"/>
          <w:szCs w:val="24"/>
        </w:rPr>
        <w:t>.</w:t>
      </w:r>
    </w:p>
    <w:p w14:paraId="70FB3FB3" w14:textId="77777777" w:rsidR="00F13288" w:rsidRPr="003C70E5" w:rsidRDefault="00F13288" w:rsidP="00F13288">
      <w:pPr>
        <w:rPr>
          <w:rFonts w:cs="Times New Roman"/>
          <w:szCs w:val="24"/>
        </w:rPr>
      </w:pPr>
      <w:r w:rsidRPr="001864BC">
        <w:rPr>
          <w:rFonts w:cs="Times New Roman"/>
          <w:szCs w:val="24"/>
        </w:rPr>
        <w:t xml:space="preserve">The solutions to these risks are attentiveness to active treasury management, </w:t>
      </w:r>
      <w:r>
        <w:rPr>
          <w:rFonts w:cs="Times New Roman"/>
          <w:szCs w:val="24"/>
        </w:rPr>
        <w:t xml:space="preserve">digitisation of the </w:t>
      </w:r>
      <w:r w:rsidRPr="001864BC">
        <w:rPr>
          <w:rFonts w:cs="Times New Roman"/>
          <w:szCs w:val="24"/>
        </w:rPr>
        <w:t xml:space="preserve">supply chain and intelligent demand forecasting. Altogether, liquidity ratios indicate that the company is sound enough financially in the short run and can afford to pay dividends to the shareholders and invest in the </w:t>
      </w:r>
      <w:r>
        <w:rPr>
          <w:rFonts w:cs="Times New Roman"/>
          <w:szCs w:val="24"/>
        </w:rPr>
        <w:t>company's strategies.</w:t>
      </w:r>
    </w:p>
    <w:p w14:paraId="71C7B122" w14:textId="77777777" w:rsidR="00F13288" w:rsidRDefault="00B50A2A" w:rsidP="00F13288">
      <w:pPr>
        <w:pStyle w:val="Heading2"/>
      </w:pPr>
      <w:bookmarkStart w:id="5" w:name="_Toc222786308"/>
      <w:r>
        <w:t>3</w:t>
      </w:r>
      <w:r w:rsidR="00F13288">
        <w:t>. Gearing and Financial Risk</w:t>
      </w:r>
      <w:bookmarkEnd w:id="5"/>
    </w:p>
    <w:p w14:paraId="14E34FFA" w14:textId="77777777" w:rsidR="00F13288" w:rsidRPr="001864BC" w:rsidRDefault="00F13288" w:rsidP="00F13288">
      <w:pPr>
        <w:rPr>
          <w:rFonts w:cs="Times New Roman"/>
          <w:szCs w:val="24"/>
        </w:rPr>
      </w:pPr>
      <w:r w:rsidRPr="001864BC">
        <w:rPr>
          <w:rFonts w:cs="Times New Roman"/>
          <w:szCs w:val="24"/>
        </w:rPr>
        <w:t>The gearing ratios indicate the level to which the organisation relies on debt financing</w:t>
      </w:r>
      <w:r>
        <w:rPr>
          <w:rFonts w:cs="Times New Roman"/>
          <w:szCs w:val="24"/>
        </w:rPr>
        <w:t>, without</w:t>
      </w:r>
      <w:r w:rsidRPr="001864BC">
        <w:rPr>
          <w:rFonts w:cs="Times New Roman"/>
          <w:szCs w:val="24"/>
        </w:rPr>
        <w:t xml:space="preserve"> mentioning the level of risk in the financial position. Through optimal capital structure, there should be </w:t>
      </w:r>
      <w:r>
        <w:rPr>
          <w:rFonts w:cs="Times New Roman"/>
          <w:szCs w:val="24"/>
        </w:rPr>
        <w:t xml:space="preserve">a </w:t>
      </w:r>
      <w:r w:rsidRPr="001864BC">
        <w:rPr>
          <w:rFonts w:cs="Times New Roman"/>
          <w:szCs w:val="24"/>
        </w:rPr>
        <w:t>balance between increasing returns through leverage and financial stability.</w:t>
      </w:r>
    </w:p>
    <w:p w14:paraId="6F7FEF93" w14:textId="77777777" w:rsidR="00F13288" w:rsidRPr="001864BC" w:rsidRDefault="00F13288" w:rsidP="00F13288">
      <w:pPr>
        <w:rPr>
          <w:rFonts w:cs="Times New Roman"/>
          <w:szCs w:val="24"/>
        </w:rPr>
      </w:pPr>
      <w:r w:rsidRPr="001864BC">
        <w:rPr>
          <w:rFonts w:cs="Times New Roman"/>
          <w:szCs w:val="24"/>
        </w:rPr>
        <w:t xml:space="preserve">The period net debt of Unilever was </w:t>
      </w:r>
      <w:r>
        <w:rPr>
          <w:rFonts w:cs="Times New Roman"/>
          <w:szCs w:val="24"/>
        </w:rPr>
        <w:t>between 24.5 and 25.7 billion,</w:t>
      </w:r>
      <w:r w:rsidRPr="001864BC">
        <w:rPr>
          <w:rFonts w:cs="Times New Roman"/>
          <w:szCs w:val="24"/>
        </w:rPr>
        <w:t xml:space="preserve"> and the overall debt was approximately 2930billion. Its </w:t>
      </w:r>
      <w:r>
        <w:rPr>
          <w:rFonts w:cs="Times New Roman"/>
          <w:szCs w:val="24"/>
        </w:rPr>
        <w:t>debt-to-equity ratio was between 1.5 and 1.9,</w:t>
      </w:r>
      <w:r w:rsidRPr="001864BC">
        <w:rPr>
          <w:rFonts w:cs="Times New Roman"/>
          <w:szCs w:val="24"/>
        </w:rPr>
        <w:t xml:space="preserve"> which is moderate leverage. A moderate capital structure is present with such gearing</w:t>
      </w:r>
      <w:r>
        <w:rPr>
          <w:rFonts w:cs="Times New Roman"/>
          <w:szCs w:val="24"/>
        </w:rPr>
        <w:t>, and the use of debt financing is involved,</w:t>
      </w:r>
      <w:r w:rsidRPr="001864BC">
        <w:rPr>
          <w:rFonts w:cs="Times New Roman"/>
          <w:szCs w:val="24"/>
        </w:rPr>
        <w:t xml:space="preserve"> though the financial risk can be managed</w:t>
      </w:r>
      <w:r>
        <w:rPr>
          <w:rFonts w:cs="Times New Roman"/>
          <w:szCs w:val="24"/>
        </w:rPr>
        <w:t xml:space="preserve"> </w:t>
      </w:r>
      <w:r>
        <w:t>(Gardiner, 2017)</w:t>
      </w:r>
      <w:r w:rsidRPr="001864BC">
        <w:rPr>
          <w:rFonts w:cs="Times New Roman"/>
          <w:szCs w:val="24"/>
        </w:rPr>
        <w:t>.</w:t>
      </w:r>
    </w:p>
    <w:p w14:paraId="1A16DEBA" w14:textId="77777777" w:rsidR="00F13288" w:rsidRPr="001864BC" w:rsidRDefault="00F13288" w:rsidP="00F13288">
      <w:pPr>
        <w:rPr>
          <w:rFonts w:cs="Times New Roman"/>
          <w:szCs w:val="24"/>
        </w:rPr>
      </w:pPr>
      <w:r w:rsidRPr="001864BC">
        <w:rPr>
          <w:rFonts w:cs="Times New Roman"/>
          <w:szCs w:val="24"/>
        </w:rPr>
        <w:t xml:space="preserve">The interest coverage ratios were favourable as there was an improvement in operating profitability. High operating margins will also enable the company to comfortably pay its interests in </w:t>
      </w:r>
      <w:r>
        <w:rPr>
          <w:rFonts w:cs="Times New Roman"/>
          <w:szCs w:val="24"/>
        </w:rPr>
        <w:t>a high global interest rate environment</w:t>
      </w:r>
      <w:r w:rsidRPr="001864BC">
        <w:rPr>
          <w:rFonts w:cs="Times New Roman"/>
          <w:szCs w:val="24"/>
        </w:rPr>
        <w:t>. The huge interest coverage will minimise the refinancing risk</w:t>
      </w:r>
      <w:r>
        <w:rPr>
          <w:rFonts w:cs="Times New Roman"/>
          <w:szCs w:val="24"/>
        </w:rPr>
        <w:t>,</w:t>
      </w:r>
      <w:r w:rsidRPr="001864BC">
        <w:rPr>
          <w:rFonts w:cs="Times New Roman"/>
          <w:szCs w:val="24"/>
        </w:rPr>
        <w:t xml:space="preserve"> and </w:t>
      </w:r>
      <w:r>
        <w:rPr>
          <w:rFonts w:cs="Times New Roman"/>
          <w:szCs w:val="24"/>
        </w:rPr>
        <w:t xml:space="preserve">a good credit rating, and this will translate to a </w:t>
      </w:r>
      <w:r w:rsidRPr="001864BC">
        <w:rPr>
          <w:rFonts w:cs="Times New Roman"/>
          <w:szCs w:val="24"/>
        </w:rPr>
        <w:t>low cost of borrowing.</w:t>
      </w:r>
    </w:p>
    <w:p w14:paraId="7A6B5704" w14:textId="6BC1B77B" w:rsidR="00F13288" w:rsidRPr="001864BC" w:rsidRDefault="00F13288" w:rsidP="00F13288">
      <w:pPr>
        <w:rPr>
          <w:rFonts w:cs="Times New Roman"/>
          <w:szCs w:val="24"/>
        </w:rPr>
      </w:pPr>
      <w:r w:rsidRPr="001864BC">
        <w:rPr>
          <w:rFonts w:cs="Times New Roman"/>
          <w:szCs w:val="24"/>
        </w:rPr>
        <w:t xml:space="preserve">The balance sheet was also made to include pension surpluses and good financial management. The moderate leverage is also advantageous in the sense that it allows the company to </w:t>
      </w:r>
      <w:r>
        <w:rPr>
          <w:rFonts w:cs="Times New Roman"/>
          <w:szCs w:val="24"/>
        </w:rPr>
        <w:t>remain</w:t>
      </w:r>
      <w:r w:rsidRPr="001864BC">
        <w:rPr>
          <w:rFonts w:cs="Times New Roman"/>
          <w:szCs w:val="24"/>
        </w:rPr>
        <w:t xml:space="preserve"> tough in case of economic downturn, as well as in case of market changes. It is, however, also able to curtail aggressive expansion strategies that are more borrowed</w:t>
      </w:r>
      <w:r>
        <w:rPr>
          <w:rFonts w:cs="Times New Roman"/>
          <w:szCs w:val="24"/>
        </w:rPr>
        <w:t xml:space="preserve"> </w:t>
      </w:r>
      <w:r>
        <w:t xml:space="preserve">(Zopounidis </w:t>
      </w:r>
      <w:r w:rsidR="00754338" w:rsidRPr="00754338">
        <w:rPr>
          <w:i/>
          <w:iCs/>
        </w:rPr>
        <w:t>et al</w:t>
      </w:r>
      <w:r>
        <w:t>., 2015)</w:t>
      </w:r>
      <w:r w:rsidRPr="001864BC">
        <w:rPr>
          <w:rFonts w:cs="Times New Roman"/>
          <w:szCs w:val="24"/>
        </w:rPr>
        <w:t>. Acquisitions or huge investments should be strategic</w:t>
      </w:r>
      <w:r>
        <w:rPr>
          <w:rFonts w:cs="Times New Roman"/>
          <w:szCs w:val="24"/>
        </w:rPr>
        <w:t>; therefore, they should be considered in a very long-term manner as regards their</w:t>
      </w:r>
      <w:r w:rsidRPr="001864BC">
        <w:rPr>
          <w:rFonts w:cs="Times New Roman"/>
          <w:szCs w:val="24"/>
        </w:rPr>
        <w:t xml:space="preserve"> effects on the capital structure.</w:t>
      </w:r>
    </w:p>
    <w:p w14:paraId="02F61F4E" w14:textId="77777777" w:rsidR="00F13288" w:rsidRPr="003C70E5" w:rsidRDefault="00F13288" w:rsidP="00F13288">
      <w:pPr>
        <w:rPr>
          <w:rFonts w:cs="Times New Roman"/>
          <w:szCs w:val="24"/>
        </w:rPr>
      </w:pPr>
      <w:r w:rsidRPr="001864BC">
        <w:rPr>
          <w:rFonts w:cs="Times New Roman"/>
          <w:szCs w:val="24"/>
        </w:rPr>
        <w:t>In most cases, the financial management is healthy regarding the gearing ratios. The company is financially elastic as well, as it is also enjoying the tax- deductible interest benefits. Further leverage constraint will ensure the balance will remain constant</w:t>
      </w:r>
      <w:r>
        <w:rPr>
          <w:rFonts w:cs="Times New Roman"/>
          <w:szCs w:val="24"/>
        </w:rPr>
        <w:t>,</w:t>
      </w:r>
      <w:r w:rsidRPr="001864BC">
        <w:rPr>
          <w:rFonts w:cs="Times New Roman"/>
          <w:szCs w:val="24"/>
        </w:rPr>
        <w:t xml:space="preserve"> but favou</w:t>
      </w:r>
      <w:r>
        <w:rPr>
          <w:rFonts w:cs="Times New Roman"/>
          <w:szCs w:val="24"/>
        </w:rPr>
        <w:t>r selective growth investments.</w:t>
      </w:r>
    </w:p>
    <w:p w14:paraId="371BA7B6" w14:textId="77777777" w:rsidR="00F13288" w:rsidRDefault="00B50A2A" w:rsidP="00F13288">
      <w:pPr>
        <w:pStyle w:val="Heading2"/>
      </w:pPr>
      <w:bookmarkStart w:id="6" w:name="_Toc222786309"/>
      <w:r>
        <w:lastRenderedPageBreak/>
        <w:t>4</w:t>
      </w:r>
      <w:r w:rsidR="00F13288">
        <w:t>. Operational Efficiency</w:t>
      </w:r>
      <w:bookmarkEnd w:id="6"/>
    </w:p>
    <w:p w14:paraId="3AFDC9AF" w14:textId="77777777" w:rsidR="00F13288" w:rsidRPr="001864BC" w:rsidRDefault="00F13288" w:rsidP="00F13288">
      <w:pPr>
        <w:rPr>
          <w:rFonts w:cs="Times New Roman"/>
          <w:szCs w:val="24"/>
        </w:rPr>
      </w:pPr>
      <w:r w:rsidRPr="001864BC">
        <w:rPr>
          <w:rFonts w:cs="Times New Roman"/>
          <w:szCs w:val="24"/>
        </w:rPr>
        <w:t xml:space="preserve">The efficiency ratios take into consideration the efficiency of the company in utilising the </w:t>
      </w:r>
      <w:r>
        <w:rPr>
          <w:rFonts w:cs="Times New Roman"/>
          <w:szCs w:val="24"/>
        </w:rPr>
        <w:t>company's</w:t>
      </w:r>
      <w:r w:rsidRPr="001864BC">
        <w:rPr>
          <w:rFonts w:cs="Times New Roman"/>
          <w:szCs w:val="24"/>
        </w:rPr>
        <w:t xml:space="preserve"> assets (i.e. the inventory and working capital) in producing the income. The improvement in efficiency will most probably be directly proportional to the quality of the margins and cash flows.</w:t>
      </w:r>
    </w:p>
    <w:p w14:paraId="352F23E1" w14:textId="77777777" w:rsidR="00F13288" w:rsidRPr="001864BC" w:rsidRDefault="00F13288" w:rsidP="00F13288">
      <w:pPr>
        <w:rPr>
          <w:rFonts w:cs="Times New Roman"/>
          <w:szCs w:val="24"/>
        </w:rPr>
      </w:pPr>
      <w:r w:rsidRPr="001864BC">
        <w:rPr>
          <w:rFonts w:cs="Times New Roman"/>
          <w:szCs w:val="24"/>
        </w:rPr>
        <w:t xml:space="preserve">The 2024 turnover of the assets was somewhat better in the sense that the </w:t>
      </w:r>
      <w:r>
        <w:rPr>
          <w:rFonts w:cs="Times New Roman"/>
          <w:szCs w:val="24"/>
        </w:rPr>
        <w:t>assets'</w:t>
      </w:r>
      <w:r w:rsidRPr="001864BC">
        <w:rPr>
          <w:rFonts w:cs="Times New Roman"/>
          <w:szCs w:val="24"/>
        </w:rPr>
        <w:t xml:space="preserve"> base was put into better use to generate revenues</w:t>
      </w:r>
      <w:r>
        <w:rPr>
          <w:rFonts w:cs="Times New Roman"/>
          <w:szCs w:val="24"/>
        </w:rPr>
        <w:t xml:space="preserve"> </w:t>
      </w:r>
      <w:r>
        <w:t>(Sorgato, Schneider and Rüther, 2018)</w:t>
      </w:r>
      <w:r w:rsidRPr="001864BC">
        <w:rPr>
          <w:rFonts w:cs="Times New Roman"/>
          <w:szCs w:val="24"/>
        </w:rPr>
        <w:t>. It implies severe capital spending and high productivity. Its productivity improved since growth in revenue was higher than the growth in assets.</w:t>
      </w:r>
    </w:p>
    <w:p w14:paraId="6C803864" w14:textId="77777777" w:rsidR="00F13288" w:rsidRPr="001864BC" w:rsidRDefault="00F13288" w:rsidP="00F13288">
      <w:pPr>
        <w:rPr>
          <w:rFonts w:cs="Times New Roman"/>
          <w:szCs w:val="24"/>
        </w:rPr>
      </w:pPr>
      <w:r w:rsidRPr="001864BC">
        <w:rPr>
          <w:rFonts w:cs="Times New Roman"/>
          <w:szCs w:val="24"/>
        </w:rPr>
        <w:t>It also had high inventory turnover</w:t>
      </w:r>
      <w:r>
        <w:rPr>
          <w:rFonts w:cs="Times New Roman"/>
          <w:szCs w:val="24"/>
        </w:rPr>
        <w:t>,</w:t>
      </w:r>
      <w:r w:rsidRPr="001864BC">
        <w:rPr>
          <w:rFonts w:cs="Times New Roman"/>
          <w:szCs w:val="24"/>
        </w:rPr>
        <w:t xml:space="preserve"> which was facilitated by the better forecasting of the demand and optimisation of the supply chain. The increased rate in the inventory will propel the low cost of storage, reduce the risk of obsolescence, and the gross margin performance will be higher. The product lifecycle is short in </w:t>
      </w:r>
      <w:r>
        <w:rPr>
          <w:rFonts w:cs="Times New Roman"/>
          <w:szCs w:val="24"/>
        </w:rPr>
        <w:t>the case of the FMCG industry, and the taste of the consumers is volatile;</w:t>
      </w:r>
      <w:r w:rsidRPr="001864BC">
        <w:rPr>
          <w:rFonts w:cs="Times New Roman"/>
          <w:szCs w:val="24"/>
        </w:rPr>
        <w:t xml:space="preserve"> effective inventory control is a necessity.</w:t>
      </w:r>
    </w:p>
    <w:p w14:paraId="0E004360" w14:textId="77777777" w:rsidR="00F13288" w:rsidRPr="001864BC" w:rsidRDefault="00F13288" w:rsidP="00F13288">
      <w:pPr>
        <w:rPr>
          <w:rFonts w:cs="Times New Roman"/>
          <w:szCs w:val="24"/>
        </w:rPr>
      </w:pPr>
      <w:r w:rsidRPr="001864BC">
        <w:rPr>
          <w:rFonts w:cs="Times New Roman"/>
          <w:szCs w:val="24"/>
        </w:rPr>
        <w:t xml:space="preserve">There was a normal running operation cycle on the payables and management of the receivables. </w:t>
      </w:r>
      <w:r>
        <w:rPr>
          <w:rFonts w:cs="Times New Roman"/>
          <w:szCs w:val="24"/>
        </w:rPr>
        <w:t>A good relationship with the supplier and good receivables management practices create an opportunity to ensure cash is collected on time,</w:t>
      </w:r>
      <w:r w:rsidRPr="001864BC">
        <w:rPr>
          <w:rFonts w:cs="Times New Roman"/>
          <w:szCs w:val="24"/>
        </w:rPr>
        <w:t xml:space="preserve"> and this is assisted by good credit conditions</w:t>
      </w:r>
      <w:r>
        <w:rPr>
          <w:rFonts w:cs="Times New Roman"/>
          <w:szCs w:val="24"/>
        </w:rPr>
        <w:t xml:space="preserve"> </w:t>
      </w:r>
      <w:r>
        <w:t>(Grant, 2021)</w:t>
      </w:r>
      <w:r w:rsidRPr="001864BC">
        <w:rPr>
          <w:rFonts w:cs="Times New Roman"/>
          <w:szCs w:val="24"/>
        </w:rPr>
        <w:t>. The positive working capital management also had a direct effect on the better free cash flow</w:t>
      </w:r>
      <w:r>
        <w:rPr>
          <w:rFonts w:cs="Times New Roman"/>
          <w:szCs w:val="24"/>
        </w:rPr>
        <w:t xml:space="preserve"> and</w:t>
      </w:r>
      <w:r w:rsidRPr="001864BC">
        <w:rPr>
          <w:rFonts w:cs="Times New Roman"/>
          <w:szCs w:val="24"/>
        </w:rPr>
        <w:t xml:space="preserve"> stability of liquidity.</w:t>
      </w:r>
    </w:p>
    <w:p w14:paraId="3B2574D8" w14:textId="77777777" w:rsidR="00F13288" w:rsidRPr="003C70E5" w:rsidRDefault="00F13288" w:rsidP="00F13288">
      <w:pPr>
        <w:rPr>
          <w:rFonts w:cs="Times New Roman"/>
          <w:szCs w:val="24"/>
        </w:rPr>
      </w:pPr>
      <w:r w:rsidRPr="001864BC">
        <w:rPr>
          <w:rFonts w:cs="Times New Roman"/>
          <w:szCs w:val="24"/>
        </w:rPr>
        <w:t xml:space="preserve">One of the possible future improvements is further </w:t>
      </w:r>
      <w:r>
        <w:rPr>
          <w:rFonts w:cs="Times New Roman"/>
          <w:szCs w:val="24"/>
        </w:rPr>
        <w:t>digitalisation</w:t>
      </w:r>
      <w:r w:rsidRPr="001864BC">
        <w:rPr>
          <w:rFonts w:cs="Times New Roman"/>
          <w:szCs w:val="24"/>
        </w:rPr>
        <w:t xml:space="preserve">. This can lower the operation cost due to automation, artificial intelligence-based demand modelling and </w:t>
      </w:r>
      <w:r>
        <w:rPr>
          <w:rFonts w:cs="Times New Roman"/>
          <w:szCs w:val="24"/>
        </w:rPr>
        <w:t>an integrated supply chain platform that is more responsive to market changes</w:t>
      </w:r>
      <w:r w:rsidRPr="001864BC">
        <w:rPr>
          <w:rFonts w:cs="Times New Roman"/>
          <w:szCs w:val="24"/>
        </w:rPr>
        <w:t>. The margins will grow and grow through increasing efficiency in the long-term competitiven</w:t>
      </w:r>
      <w:r>
        <w:rPr>
          <w:rFonts w:cs="Times New Roman"/>
          <w:szCs w:val="24"/>
        </w:rPr>
        <w:t>ess.</w:t>
      </w:r>
    </w:p>
    <w:p w14:paraId="27005A70" w14:textId="77777777" w:rsidR="00F13288" w:rsidRDefault="00B50A2A" w:rsidP="00F13288">
      <w:pPr>
        <w:pStyle w:val="Heading2"/>
      </w:pPr>
      <w:bookmarkStart w:id="7" w:name="_Toc222786310"/>
      <w:r>
        <w:t>5</w:t>
      </w:r>
      <w:r w:rsidR="00F13288">
        <w:t>. Investor Performance</w:t>
      </w:r>
      <w:bookmarkEnd w:id="7"/>
    </w:p>
    <w:p w14:paraId="539A379A" w14:textId="77777777" w:rsidR="00F13288" w:rsidRPr="001864BC" w:rsidRDefault="00F13288" w:rsidP="00F13288">
      <w:pPr>
        <w:rPr>
          <w:rFonts w:cs="Times New Roman"/>
          <w:szCs w:val="24"/>
        </w:rPr>
      </w:pPr>
      <w:r w:rsidRPr="001864BC">
        <w:rPr>
          <w:rFonts w:cs="Times New Roman"/>
          <w:szCs w:val="24"/>
        </w:rPr>
        <w:t>The investor ratios are used to establish the attractiveness of the company as a shareholder. They include profitability per share, the dividend returns and market value.</w:t>
      </w:r>
    </w:p>
    <w:p w14:paraId="5E5402A2" w14:textId="77777777" w:rsidR="00F13288" w:rsidRPr="001864BC" w:rsidRDefault="00F13288" w:rsidP="00F13288">
      <w:pPr>
        <w:rPr>
          <w:rFonts w:cs="Times New Roman"/>
          <w:szCs w:val="24"/>
        </w:rPr>
      </w:pPr>
      <w:r w:rsidRPr="001864BC">
        <w:rPr>
          <w:rFonts w:cs="Times New Roman"/>
          <w:szCs w:val="24"/>
        </w:rPr>
        <w:t xml:space="preserve">The fundamental earnings per share (EPS) increased by 14.7 </w:t>
      </w:r>
      <w:r>
        <w:rPr>
          <w:rFonts w:cs="Times New Roman"/>
          <w:szCs w:val="24"/>
        </w:rPr>
        <w:t>per cent</w:t>
      </w:r>
      <w:r w:rsidRPr="001864BC">
        <w:rPr>
          <w:rFonts w:cs="Times New Roman"/>
          <w:szCs w:val="24"/>
        </w:rPr>
        <w:t xml:space="preserve"> to 2.98 in 2024. The expansion would mean an increment in profitability as well as </w:t>
      </w:r>
      <w:r>
        <w:rPr>
          <w:rFonts w:cs="Times New Roman"/>
          <w:szCs w:val="24"/>
        </w:rPr>
        <w:t xml:space="preserve">the </w:t>
      </w:r>
      <w:r w:rsidRPr="001864BC">
        <w:rPr>
          <w:rFonts w:cs="Times New Roman"/>
          <w:szCs w:val="24"/>
        </w:rPr>
        <w:t xml:space="preserve">quality of earnings. Growth in the EPS will boost </w:t>
      </w:r>
      <w:r>
        <w:rPr>
          <w:rFonts w:cs="Times New Roman"/>
          <w:szCs w:val="24"/>
        </w:rPr>
        <w:t xml:space="preserve">the confidence of the shareholders and lead to </w:t>
      </w:r>
      <w:r w:rsidRPr="001864BC">
        <w:rPr>
          <w:rFonts w:cs="Times New Roman"/>
          <w:szCs w:val="24"/>
        </w:rPr>
        <w:t>an upsurge in the share price</w:t>
      </w:r>
      <w:r>
        <w:rPr>
          <w:rFonts w:cs="Times New Roman"/>
          <w:szCs w:val="24"/>
        </w:rPr>
        <w:t xml:space="preserve"> </w:t>
      </w:r>
      <w:r>
        <w:t>(Weston and Nnadi, 2023)</w:t>
      </w:r>
      <w:r w:rsidRPr="001864BC">
        <w:rPr>
          <w:rFonts w:cs="Times New Roman"/>
          <w:szCs w:val="24"/>
        </w:rPr>
        <w:t>.</w:t>
      </w:r>
    </w:p>
    <w:p w14:paraId="57F5EC13" w14:textId="77777777" w:rsidR="00F13288" w:rsidRPr="001864BC" w:rsidRDefault="00F13288" w:rsidP="00F13288">
      <w:pPr>
        <w:rPr>
          <w:rFonts w:cs="Times New Roman"/>
          <w:szCs w:val="24"/>
        </w:rPr>
      </w:pPr>
      <w:r w:rsidRPr="001864BC">
        <w:rPr>
          <w:rFonts w:cs="Times New Roman"/>
          <w:szCs w:val="24"/>
        </w:rPr>
        <w:lastRenderedPageBreak/>
        <w:t xml:space="preserve">The image of the company as a safe and easy </w:t>
      </w:r>
      <w:r>
        <w:rPr>
          <w:rFonts w:cs="Times New Roman"/>
          <w:szCs w:val="24"/>
        </w:rPr>
        <w:t>income-earning investment was also supported by the dividend yield, which was approximately 3-3.5, which</w:t>
      </w:r>
      <w:r w:rsidRPr="001864BC">
        <w:rPr>
          <w:rFonts w:cs="Times New Roman"/>
          <w:szCs w:val="24"/>
        </w:rPr>
        <w:t xml:space="preserve"> was also good. Dividend payments in all situations provide an insight that the company is firm and dedicated to the shareholders.</w:t>
      </w:r>
    </w:p>
    <w:p w14:paraId="106E6BF9" w14:textId="77777777" w:rsidR="00F13288" w:rsidRPr="001864BC" w:rsidRDefault="00F13288" w:rsidP="00F13288">
      <w:pPr>
        <w:rPr>
          <w:rFonts w:cs="Times New Roman"/>
          <w:szCs w:val="24"/>
        </w:rPr>
      </w:pPr>
      <w:r w:rsidRPr="001864BC">
        <w:rPr>
          <w:rFonts w:cs="Times New Roman"/>
          <w:szCs w:val="24"/>
        </w:rPr>
        <w:t xml:space="preserve">It had increased the ROE as the net income was increased compared to shareholder equity. A high ROE would imply that the same </w:t>
      </w:r>
      <w:r>
        <w:rPr>
          <w:rFonts w:cs="Times New Roman"/>
          <w:szCs w:val="24"/>
        </w:rPr>
        <w:t>resources to shareholders have</w:t>
      </w:r>
      <w:r w:rsidRPr="001864BC">
        <w:rPr>
          <w:rFonts w:cs="Times New Roman"/>
          <w:szCs w:val="24"/>
        </w:rPr>
        <w:t xml:space="preserve"> been harnessed in the best way possible to make a profit</w:t>
      </w:r>
      <w:r>
        <w:rPr>
          <w:rFonts w:cs="Times New Roman"/>
          <w:szCs w:val="24"/>
        </w:rPr>
        <w:t xml:space="preserve"> </w:t>
      </w:r>
      <w:r>
        <w:t>(Shapiro and Hanouna, 2019)</w:t>
      </w:r>
      <w:r w:rsidRPr="001864BC">
        <w:rPr>
          <w:rFonts w:cs="Times New Roman"/>
          <w:szCs w:val="24"/>
        </w:rPr>
        <w:t>.</w:t>
      </w:r>
    </w:p>
    <w:p w14:paraId="7730E57A" w14:textId="77777777" w:rsidR="00F13288" w:rsidRPr="001864BC" w:rsidRDefault="00F13288" w:rsidP="00F13288">
      <w:pPr>
        <w:rPr>
          <w:rFonts w:cs="Times New Roman"/>
          <w:szCs w:val="24"/>
        </w:rPr>
      </w:pPr>
      <w:r w:rsidRPr="001864BC">
        <w:rPr>
          <w:rFonts w:cs="Times New Roman"/>
          <w:szCs w:val="24"/>
        </w:rPr>
        <w:t>The P/E ratios were average</w:t>
      </w:r>
      <w:r>
        <w:rPr>
          <w:rFonts w:cs="Times New Roman"/>
          <w:szCs w:val="24"/>
        </w:rPr>
        <w:t>, which</w:t>
      </w:r>
      <w:r w:rsidRPr="001864BC">
        <w:rPr>
          <w:rFonts w:cs="Times New Roman"/>
          <w:szCs w:val="24"/>
        </w:rPr>
        <w:t xml:space="preserve"> depicted the stable yet cautious investor confidence. The market worth is the forecast of the steady growth as opposed to the boom growth. The further expansion of profits and </w:t>
      </w:r>
      <w:r>
        <w:rPr>
          <w:rFonts w:cs="Times New Roman"/>
          <w:szCs w:val="24"/>
        </w:rPr>
        <w:t xml:space="preserve">ratios can support </w:t>
      </w:r>
      <w:r w:rsidRPr="001864BC">
        <w:rPr>
          <w:rFonts w:cs="Times New Roman"/>
          <w:szCs w:val="24"/>
        </w:rPr>
        <w:t>further multi-development</w:t>
      </w:r>
      <w:r>
        <w:rPr>
          <w:rFonts w:cs="Times New Roman"/>
          <w:szCs w:val="24"/>
        </w:rPr>
        <w:t xml:space="preserve"> </w:t>
      </w:r>
      <w:r>
        <w:t>(Maheshwari, Maheshwari and Maheshwari, 2024)</w:t>
      </w:r>
      <w:r w:rsidRPr="001864BC">
        <w:rPr>
          <w:rFonts w:cs="Times New Roman"/>
          <w:szCs w:val="24"/>
        </w:rPr>
        <w:t>.</w:t>
      </w:r>
    </w:p>
    <w:p w14:paraId="29E0781A" w14:textId="77777777" w:rsidR="00F13288" w:rsidRPr="003C70E5" w:rsidRDefault="00F13288" w:rsidP="00F13288">
      <w:pPr>
        <w:rPr>
          <w:rFonts w:cs="Times New Roman"/>
          <w:szCs w:val="24"/>
        </w:rPr>
      </w:pPr>
      <w:r w:rsidRPr="001864BC">
        <w:rPr>
          <w:rFonts w:cs="Times New Roman"/>
          <w:szCs w:val="24"/>
        </w:rPr>
        <w:t xml:space="preserve">All in all, the investor ratios demonstrate the self-reaffirming financial recovery, the augmented quality of the earnings </w:t>
      </w:r>
      <w:r>
        <w:rPr>
          <w:rFonts w:cs="Times New Roman"/>
          <w:szCs w:val="24"/>
        </w:rPr>
        <w:t>and sustainable value creation.</w:t>
      </w:r>
    </w:p>
    <w:p w14:paraId="236C3DD0" w14:textId="77777777" w:rsidR="00F13288" w:rsidRDefault="00B50A2A" w:rsidP="00F13288">
      <w:pPr>
        <w:pStyle w:val="Heading2"/>
      </w:pPr>
      <w:bookmarkStart w:id="8" w:name="_Toc222786311"/>
      <w:r>
        <w:t>6</w:t>
      </w:r>
      <w:r w:rsidR="00F13288">
        <w:t>. Critical Evaluation and Limitations</w:t>
      </w:r>
      <w:bookmarkEnd w:id="8"/>
    </w:p>
    <w:p w14:paraId="0A8C092A" w14:textId="77777777" w:rsidR="00F13288" w:rsidRPr="001864BC" w:rsidRDefault="00F13288" w:rsidP="00F13288">
      <w:pPr>
        <w:rPr>
          <w:rFonts w:cs="Times New Roman"/>
          <w:szCs w:val="24"/>
        </w:rPr>
      </w:pPr>
      <w:r w:rsidRPr="001864BC">
        <w:rPr>
          <w:rFonts w:cs="Times New Roman"/>
          <w:szCs w:val="24"/>
        </w:rPr>
        <w:t>Ratio analysis is a restricted tool in the sense that it is a potential quantitative tool. Ratios are based on the past financial performance</w:t>
      </w:r>
      <w:r>
        <w:rPr>
          <w:rFonts w:cs="Times New Roman"/>
          <w:szCs w:val="24"/>
        </w:rPr>
        <w:t>, but not the future performance,</w:t>
      </w:r>
      <w:r w:rsidRPr="001864BC">
        <w:rPr>
          <w:rFonts w:cs="Times New Roman"/>
          <w:szCs w:val="24"/>
        </w:rPr>
        <w:t xml:space="preserve"> especially in unstable economic times.</w:t>
      </w:r>
    </w:p>
    <w:p w14:paraId="3948575E" w14:textId="43982F76" w:rsidR="00F13288" w:rsidRPr="001864BC" w:rsidRDefault="00F13288" w:rsidP="00F13288">
      <w:pPr>
        <w:rPr>
          <w:rFonts w:cs="Times New Roman"/>
          <w:szCs w:val="24"/>
        </w:rPr>
      </w:pPr>
      <w:r w:rsidRPr="001864BC">
        <w:rPr>
          <w:rFonts w:cs="Times New Roman"/>
          <w:szCs w:val="24"/>
        </w:rPr>
        <w:t xml:space="preserve">The underlying measure that is not </w:t>
      </w:r>
      <w:r>
        <w:rPr>
          <w:rFonts w:cs="Times New Roman"/>
          <w:szCs w:val="24"/>
        </w:rPr>
        <w:t>a GAAP measure</w:t>
      </w:r>
      <w:r w:rsidRPr="001864BC">
        <w:rPr>
          <w:rFonts w:cs="Times New Roman"/>
          <w:szCs w:val="24"/>
        </w:rPr>
        <w:t xml:space="preserve"> is the management discretion on what to omit</w:t>
      </w:r>
      <w:r>
        <w:rPr>
          <w:rFonts w:cs="Times New Roman"/>
          <w:szCs w:val="24"/>
        </w:rPr>
        <w:t>, which</w:t>
      </w:r>
      <w:r w:rsidRPr="001864BC">
        <w:rPr>
          <w:rFonts w:cs="Times New Roman"/>
          <w:szCs w:val="24"/>
        </w:rPr>
        <w:t xml:space="preserve"> can lower comparability and disclosures. The reorganisation of costs may lead to the perversion of the short-term profitability</w:t>
      </w:r>
      <w:r>
        <w:rPr>
          <w:rFonts w:cs="Times New Roman"/>
          <w:szCs w:val="24"/>
        </w:rPr>
        <w:t>,</w:t>
      </w:r>
      <w:r w:rsidRPr="001864BC">
        <w:rPr>
          <w:rFonts w:cs="Times New Roman"/>
          <w:szCs w:val="24"/>
        </w:rPr>
        <w:t xml:space="preserve"> and the interpretation of the trends becomes complicated</w:t>
      </w:r>
      <w:r>
        <w:rPr>
          <w:rFonts w:cs="Times New Roman"/>
          <w:szCs w:val="24"/>
        </w:rPr>
        <w:t xml:space="preserve"> </w:t>
      </w:r>
      <w:r>
        <w:t xml:space="preserve">(Zietlow </w:t>
      </w:r>
      <w:r w:rsidR="00754338" w:rsidRPr="00754338">
        <w:rPr>
          <w:i/>
          <w:iCs/>
        </w:rPr>
        <w:t>et al</w:t>
      </w:r>
      <w:r>
        <w:t>., 2018).</w:t>
      </w:r>
    </w:p>
    <w:p w14:paraId="274C7316" w14:textId="77777777" w:rsidR="00F13288" w:rsidRPr="001864BC" w:rsidRDefault="00F13288" w:rsidP="00F13288">
      <w:pPr>
        <w:rPr>
          <w:rFonts w:cs="Times New Roman"/>
          <w:szCs w:val="24"/>
        </w:rPr>
      </w:pPr>
      <w:r w:rsidRPr="001864BC">
        <w:rPr>
          <w:rFonts w:cs="Times New Roman"/>
          <w:szCs w:val="24"/>
        </w:rPr>
        <w:t xml:space="preserve">Secondly, the ratio analysis fails to represent a qualitative force, like brand equity, strength of innovation, leadership effectiveness, or the performance of the ESGs. These drivers are </w:t>
      </w:r>
      <w:r>
        <w:rPr>
          <w:rFonts w:cs="Times New Roman"/>
          <w:szCs w:val="24"/>
        </w:rPr>
        <w:t>non-financial, and they have a huge impact on long-term</w:t>
      </w:r>
      <w:r w:rsidRPr="001864BC">
        <w:rPr>
          <w:rFonts w:cs="Times New Roman"/>
          <w:szCs w:val="24"/>
        </w:rPr>
        <w:t xml:space="preserve"> competitiveness and stock value.</w:t>
      </w:r>
    </w:p>
    <w:p w14:paraId="3AE7E6D6" w14:textId="77777777" w:rsidR="00F13288" w:rsidRPr="003C70E5" w:rsidRDefault="00F13288" w:rsidP="00F13288">
      <w:pPr>
        <w:rPr>
          <w:rFonts w:cs="Times New Roman"/>
          <w:szCs w:val="24"/>
        </w:rPr>
      </w:pPr>
      <w:r w:rsidRPr="001864BC">
        <w:rPr>
          <w:rFonts w:cs="Times New Roman"/>
          <w:szCs w:val="24"/>
        </w:rPr>
        <w:t>Another risk is also the inconsistency of benchmarking in the industry</w:t>
      </w:r>
      <w:r>
        <w:rPr>
          <w:rFonts w:cs="Times New Roman"/>
          <w:szCs w:val="24"/>
        </w:rPr>
        <w:t>, as there were disparities in the accounting policies, geographical exposures, and product</w:t>
      </w:r>
      <w:r w:rsidRPr="001864BC">
        <w:rPr>
          <w:rFonts w:cs="Times New Roman"/>
          <w:szCs w:val="24"/>
        </w:rPr>
        <w:t xml:space="preserve"> portfolios of the competitors in the case</w:t>
      </w:r>
      <w:r>
        <w:rPr>
          <w:rFonts w:cs="Times New Roman"/>
          <w:szCs w:val="24"/>
        </w:rPr>
        <w:t xml:space="preserve"> </w:t>
      </w:r>
      <w:r>
        <w:t>(Ross, 2015)</w:t>
      </w:r>
      <w:r w:rsidRPr="001864BC">
        <w:rPr>
          <w:rFonts w:cs="Times New Roman"/>
          <w:szCs w:val="24"/>
        </w:rPr>
        <w:t xml:space="preserve">. Hence, one should assume that ratio analysis falls into the </w:t>
      </w:r>
      <w:r>
        <w:rPr>
          <w:rFonts w:cs="Times New Roman"/>
          <w:szCs w:val="24"/>
        </w:rPr>
        <w:t>frame</w:t>
      </w:r>
      <w:r w:rsidRPr="001864BC">
        <w:rPr>
          <w:rFonts w:cs="Times New Roman"/>
          <w:szCs w:val="24"/>
        </w:rPr>
        <w:t xml:space="preserve"> of </w:t>
      </w:r>
      <w:r>
        <w:rPr>
          <w:rFonts w:cs="Times New Roman"/>
          <w:szCs w:val="24"/>
        </w:rPr>
        <w:t xml:space="preserve">the </w:t>
      </w:r>
      <w:r w:rsidRPr="001864BC">
        <w:rPr>
          <w:rFonts w:cs="Times New Roman"/>
          <w:szCs w:val="24"/>
        </w:rPr>
        <w:t>strategic background and macroeconomic environment.</w:t>
      </w:r>
    </w:p>
    <w:p w14:paraId="6D8F8365" w14:textId="77777777" w:rsidR="00F13288" w:rsidRDefault="00B50A2A" w:rsidP="00F13288">
      <w:pPr>
        <w:pStyle w:val="Heading2"/>
      </w:pPr>
      <w:bookmarkStart w:id="9" w:name="_Toc222786312"/>
      <w:r>
        <w:lastRenderedPageBreak/>
        <w:t>7</w:t>
      </w:r>
      <w:r w:rsidR="00F13288">
        <w:t>. Strategic Recommendations</w:t>
      </w:r>
      <w:bookmarkEnd w:id="9"/>
    </w:p>
    <w:p w14:paraId="35B0A9DC" w14:textId="77777777" w:rsidR="00F13288" w:rsidRPr="001864BC" w:rsidRDefault="00F13288" w:rsidP="00F13288">
      <w:pPr>
        <w:rPr>
          <w:rFonts w:cs="Times New Roman"/>
          <w:szCs w:val="24"/>
        </w:rPr>
      </w:pPr>
      <w:r w:rsidRPr="001864BC">
        <w:rPr>
          <w:rFonts w:cs="Times New Roman"/>
          <w:szCs w:val="24"/>
        </w:rPr>
        <w:t xml:space="preserve">In an attempt to maintain financial growth, Unilever must persist in productivity and cost-effective programmes to </w:t>
      </w:r>
      <w:r>
        <w:rPr>
          <w:rFonts w:cs="Times New Roman"/>
          <w:szCs w:val="24"/>
        </w:rPr>
        <w:t>boost</w:t>
      </w:r>
      <w:r w:rsidRPr="001864BC">
        <w:rPr>
          <w:rFonts w:cs="Times New Roman"/>
          <w:szCs w:val="24"/>
        </w:rPr>
        <w:t xml:space="preserve"> margin growth. The added digital transformation of the supply chain management and demand forecasting will assist it </w:t>
      </w:r>
      <w:r>
        <w:rPr>
          <w:rFonts w:cs="Times New Roman"/>
          <w:szCs w:val="24"/>
        </w:rPr>
        <w:t>in being</w:t>
      </w:r>
      <w:r w:rsidRPr="001864BC">
        <w:rPr>
          <w:rFonts w:cs="Times New Roman"/>
          <w:szCs w:val="24"/>
        </w:rPr>
        <w:t xml:space="preserve"> more responsive and less expensive</w:t>
      </w:r>
      <w:r>
        <w:rPr>
          <w:rFonts w:cs="Times New Roman"/>
          <w:szCs w:val="24"/>
        </w:rPr>
        <w:t xml:space="preserve"> </w:t>
      </w:r>
      <w:r>
        <w:t>(Winch and Leiringer, 2016)</w:t>
      </w:r>
      <w:r w:rsidRPr="001864BC">
        <w:rPr>
          <w:rFonts w:cs="Times New Roman"/>
          <w:szCs w:val="24"/>
        </w:rPr>
        <w:t>.</w:t>
      </w:r>
    </w:p>
    <w:p w14:paraId="5571339D" w14:textId="77777777" w:rsidR="00F13288" w:rsidRDefault="00F13288" w:rsidP="00F13288">
      <w:pPr>
        <w:rPr>
          <w:rFonts w:cs="Times New Roman"/>
          <w:szCs w:val="24"/>
        </w:rPr>
      </w:pPr>
      <w:r w:rsidRPr="001864BC">
        <w:rPr>
          <w:rFonts w:cs="Times New Roman"/>
          <w:szCs w:val="24"/>
        </w:rPr>
        <w:t>The intermediate range gearing will also entail the flexibility of the finances and the capacity to resist the unpredictable economic circumstances. This is attributed to the high exposure to new markets</w:t>
      </w:r>
      <w:r>
        <w:rPr>
          <w:rFonts w:cs="Times New Roman"/>
          <w:szCs w:val="24"/>
        </w:rPr>
        <w:t>, and therefore, there is a</w:t>
      </w:r>
      <w:r w:rsidRPr="001864BC">
        <w:rPr>
          <w:rFonts w:cs="Times New Roman"/>
          <w:szCs w:val="24"/>
        </w:rPr>
        <w:t xml:space="preserve"> need to manage the foreign exchange risk effectively.</w:t>
      </w:r>
    </w:p>
    <w:p w14:paraId="1C35DDE7" w14:textId="58D96500" w:rsidR="00A01A0B" w:rsidRDefault="00A01A0B" w:rsidP="00A01A0B">
      <w:pPr>
        <w:jc w:val="center"/>
        <w:rPr>
          <w:rFonts w:cs="Times New Roman"/>
          <w:szCs w:val="24"/>
        </w:rPr>
      </w:pPr>
      <w:r>
        <w:rPr>
          <w:noProof/>
        </w:rPr>
        <w:drawing>
          <wp:inline distT="0" distB="0" distL="0" distR="0" wp14:anchorId="732C248C" wp14:editId="3ED25DB1">
            <wp:extent cx="2237985" cy="2434856"/>
            <wp:effectExtent l="0" t="0" r="0" b="3810"/>
            <wp:docPr id="1403430360" name="Picture 4" descr="Unilever's Super Stretch Goal for 2020 | Springer Nature 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lever's Super Stretch Goal for 2020 | Springer Nature Link"/>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42168" cy="2439406"/>
                    </a:xfrm>
                    <a:prstGeom prst="rect">
                      <a:avLst/>
                    </a:prstGeom>
                    <a:noFill/>
                    <a:ln>
                      <a:noFill/>
                    </a:ln>
                  </pic:spPr>
                </pic:pic>
              </a:graphicData>
            </a:graphic>
          </wp:inline>
        </w:drawing>
      </w:r>
    </w:p>
    <w:p w14:paraId="51A0885A" w14:textId="7A1B1FC6" w:rsidR="00A01A0B" w:rsidRPr="001864BC" w:rsidRDefault="00A01A0B" w:rsidP="00A01A0B">
      <w:pPr>
        <w:jc w:val="center"/>
        <w:rPr>
          <w:rFonts w:cs="Times New Roman"/>
          <w:szCs w:val="24"/>
        </w:rPr>
      </w:pPr>
      <w:r>
        <w:rPr>
          <w:rFonts w:cs="Times New Roman"/>
          <w:szCs w:val="24"/>
        </w:rPr>
        <w:t xml:space="preserve">Figure: Unilever Sustainable </w:t>
      </w:r>
      <w:r w:rsidR="00464411">
        <w:rPr>
          <w:rFonts w:cs="Times New Roman"/>
          <w:szCs w:val="24"/>
        </w:rPr>
        <w:t xml:space="preserve">Goal </w:t>
      </w:r>
      <w:r w:rsidR="00464411">
        <w:t>(Winch and Leiringer, 2016)</w:t>
      </w:r>
      <w:r w:rsidR="00464411" w:rsidRPr="001864BC">
        <w:rPr>
          <w:rFonts w:cs="Times New Roman"/>
          <w:szCs w:val="24"/>
        </w:rPr>
        <w:t>.</w:t>
      </w:r>
    </w:p>
    <w:p w14:paraId="72D5EDF1" w14:textId="0BD107FF" w:rsidR="00F13288" w:rsidRPr="001864BC" w:rsidRDefault="00F13288" w:rsidP="00F13288">
      <w:pPr>
        <w:rPr>
          <w:rFonts w:cs="Times New Roman"/>
          <w:szCs w:val="24"/>
        </w:rPr>
      </w:pPr>
      <w:r w:rsidRPr="001864BC">
        <w:rPr>
          <w:rFonts w:cs="Times New Roman"/>
          <w:szCs w:val="24"/>
        </w:rPr>
        <w:t xml:space="preserve">It will lead to </w:t>
      </w:r>
      <w:r>
        <w:rPr>
          <w:rFonts w:cs="Times New Roman"/>
          <w:szCs w:val="24"/>
        </w:rPr>
        <w:t xml:space="preserve">growing investor confidence through increasing the visibility of the reporting between the statutory reporting and the </w:t>
      </w:r>
      <w:r w:rsidRPr="001864BC">
        <w:rPr>
          <w:rFonts w:cs="Times New Roman"/>
          <w:szCs w:val="24"/>
        </w:rPr>
        <w:t>underlying reporting</w:t>
      </w:r>
      <w:r>
        <w:rPr>
          <w:rFonts w:cs="Times New Roman"/>
          <w:szCs w:val="24"/>
        </w:rPr>
        <w:t xml:space="preserve"> </w:t>
      </w:r>
      <w:r>
        <w:t xml:space="preserve">(Chukwuma-Eke, Ogunsola and </w:t>
      </w:r>
      <w:r w:rsidR="00194DF5">
        <w:t>Isibor</w:t>
      </w:r>
      <w:r>
        <w:t>, 2022b)</w:t>
      </w:r>
      <w:r w:rsidRPr="001864BC">
        <w:rPr>
          <w:rFonts w:cs="Times New Roman"/>
          <w:szCs w:val="24"/>
        </w:rPr>
        <w:t>. The financial plan should include the factor of ESG that will increase the worth of the stakeholders and sustainability in the long term.</w:t>
      </w:r>
    </w:p>
    <w:p w14:paraId="14162393" w14:textId="77777777" w:rsidR="00F13288" w:rsidRPr="001864BC" w:rsidRDefault="00F13288" w:rsidP="00F13288">
      <w:pPr>
        <w:rPr>
          <w:rFonts w:cs="Times New Roman"/>
          <w:szCs w:val="24"/>
        </w:rPr>
      </w:pPr>
      <w:r w:rsidRPr="001864BC">
        <w:rPr>
          <w:rFonts w:cs="Times New Roman"/>
          <w:szCs w:val="24"/>
        </w:rPr>
        <w:t xml:space="preserve">Operational discipline enables Unilever to strengthen </w:t>
      </w:r>
      <w:r>
        <w:rPr>
          <w:rFonts w:cs="Times New Roman"/>
          <w:szCs w:val="24"/>
        </w:rPr>
        <w:t>long-term shareholder value and its long-term positions in the FMCG</w:t>
      </w:r>
      <w:r w:rsidRPr="001864BC">
        <w:rPr>
          <w:rFonts w:cs="Times New Roman"/>
          <w:szCs w:val="24"/>
        </w:rPr>
        <w:t xml:space="preserve"> industry globally.</w:t>
      </w:r>
    </w:p>
    <w:p w14:paraId="305F7CF8" w14:textId="77777777" w:rsidR="00B50A2A" w:rsidRDefault="00B50A2A">
      <w:pPr>
        <w:spacing w:line="259" w:lineRule="auto"/>
        <w:jc w:val="left"/>
        <w:rPr>
          <w:b/>
          <w:color w:val="2E75B5"/>
          <w:sz w:val="32"/>
          <w:szCs w:val="32"/>
        </w:rPr>
      </w:pPr>
      <w:r>
        <w:br w:type="page"/>
      </w:r>
    </w:p>
    <w:p w14:paraId="5A4A0345" w14:textId="77777777" w:rsidR="00F13288" w:rsidRPr="00B50A2A" w:rsidRDefault="00F13288" w:rsidP="00B50A2A">
      <w:pPr>
        <w:pStyle w:val="Heading1"/>
      </w:pPr>
      <w:bookmarkStart w:id="10" w:name="_Toc222786313"/>
      <w:r w:rsidRPr="00B50A2A">
        <w:lastRenderedPageBreak/>
        <w:t>Task 2: Investment Appraisal for Beard Plc</w:t>
      </w:r>
      <w:bookmarkEnd w:id="10"/>
    </w:p>
    <w:p w14:paraId="646C4B5A" w14:textId="77777777" w:rsidR="00F13288" w:rsidRPr="001864BC" w:rsidRDefault="00F13288" w:rsidP="00F13288">
      <w:pPr>
        <w:rPr>
          <w:rFonts w:cs="Times New Roman"/>
          <w:szCs w:val="24"/>
        </w:rPr>
      </w:pPr>
      <w:r w:rsidRPr="001864BC">
        <w:rPr>
          <w:rFonts w:cs="Times New Roman"/>
          <w:szCs w:val="24"/>
        </w:rPr>
        <w:t xml:space="preserve">The investment appraisal aspect of strategic financial management is a particular aspect because it allows organisations to allocate the limited resources they have to projects that would maximise the wealth of shareholders. Beard Plc has been deliberating on three mutually exclusive investment opportunities that will enable the company to become even stronger in terms of competitiveness and improve its profitability in the long run. In the initial option, it will entail expansion of the existing retail store at </w:t>
      </w:r>
      <w:r>
        <w:rPr>
          <w:rFonts w:cs="Times New Roman"/>
          <w:szCs w:val="24"/>
        </w:rPr>
        <w:t>a</w:t>
      </w:r>
      <w:r w:rsidRPr="001864BC">
        <w:rPr>
          <w:rFonts w:cs="Times New Roman"/>
          <w:szCs w:val="24"/>
        </w:rPr>
        <w:t xml:space="preserve"> start-up cost of 600,000. Option B will entail the </w:t>
      </w:r>
      <w:r>
        <w:rPr>
          <w:rFonts w:cs="Times New Roman"/>
          <w:szCs w:val="24"/>
        </w:rPr>
        <w:t xml:space="preserve">architecting of an online sales platform that will entail an investment of 900,000, and Option C will involve the production of purses and wallets, which will cost </w:t>
      </w:r>
      <w:r w:rsidRPr="001864BC">
        <w:rPr>
          <w:rFonts w:cs="Times New Roman"/>
          <w:szCs w:val="24"/>
        </w:rPr>
        <w:t>1,000,000. The project life cycle of the projects will be four years</w:t>
      </w:r>
      <w:r>
        <w:rPr>
          <w:rFonts w:cs="Times New Roman"/>
          <w:szCs w:val="24"/>
        </w:rPr>
        <w:t>,</w:t>
      </w:r>
      <w:r w:rsidRPr="001864BC">
        <w:rPr>
          <w:rFonts w:cs="Times New Roman"/>
          <w:szCs w:val="24"/>
        </w:rPr>
        <w:t xml:space="preserve"> and the cash inflows will be received annually.</w:t>
      </w:r>
    </w:p>
    <w:p w14:paraId="29939B01" w14:textId="77777777" w:rsidR="00F13288" w:rsidRPr="001864BC" w:rsidRDefault="00F13288" w:rsidP="00F13288">
      <w:pPr>
        <w:rPr>
          <w:rFonts w:cs="Times New Roman"/>
          <w:szCs w:val="24"/>
        </w:rPr>
      </w:pPr>
      <w:r w:rsidRPr="001864BC">
        <w:rPr>
          <w:rFonts w:cs="Times New Roman"/>
          <w:szCs w:val="24"/>
        </w:rPr>
        <w:t>The Net Present Value (NPV) technique is used to provide financial analysis</w:t>
      </w:r>
      <w:r>
        <w:rPr>
          <w:rFonts w:cs="Times New Roman"/>
          <w:szCs w:val="24"/>
        </w:rPr>
        <w:t>, whereby the corporate tax rate is 25, the capital allowance is 20 on a straight-line basis, and the cost of capital is</w:t>
      </w:r>
      <w:r w:rsidRPr="001864BC">
        <w:rPr>
          <w:rFonts w:cs="Times New Roman"/>
          <w:szCs w:val="24"/>
        </w:rPr>
        <w:t xml:space="preserve"> 5. It will be analysed in terms of determining the financial feasibility of both options, the prescription of the best alternative to invest in, the calculation of the Internal </w:t>
      </w:r>
      <w:r>
        <w:rPr>
          <w:rFonts w:cs="Times New Roman"/>
          <w:szCs w:val="24"/>
        </w:rPr>
        <w:t>Rate of Return (IRR) of the option of choice and critically,</w:t>
      </w:r>
      <w:r w:rsidRPr="001864BC">
        <w:rPr>
          <w:rFonts w:cs="Times New Roman"/>
          <w:szCs w:val="24"/>
        </w:rPr>
        <w:t xml:space="preserve"> the theoretical and practical issues with respect to the capital budgeting techniques</w:t>
      </w:r>
      <w:r>
        <w:rPr>
          <w:rFonts w:cs="Times New Roman"/>
          <w:szCs w:val="24"/>
        </w:rPr>
        <w:t xml:space="preserve"> </w:t>
      </w:r>
      <w:r>
        <w:t>(Jenkins and Harberger, 2018)</w:t>
      </w:r>
      <w:r w:rsidRPr="001864BC">
        <w:rPr>
          <w:rFonts w:cs="Times New Roman"/>
          <w:szCs w:val="24"/>
        </w:rPr>
        <w:t xml:space="preserve">. Moreover, other qualitative and funding issues will be studied to develop a </w:t>
      </w:r>
      <w:r>
        <w:rPr>
          <w:rFonts w:cs="Times New Roman"/>
          <w:szCs w:val="24"/>
        </w:rPr>
        <w:t>comprehensive</w:t>
      </w:r>
      <w:r w:rsidRPr="001864BC">
        <w:rPr>
          <w:rFonts w:cs="Times New Roman"/>
          <w:szCs w:val="24"/>
        </w:rPr>
        <w:t xml:space="preserve"> management proposal.</w:t>
      </w:r>
    </w:p>
    <w:p w14:paraId="1EAE5101" w14:textId="77777777" w:rsidR="00F13288" w:rsidRPr="00B50A2A" w:rsidRDefault="00F13288" w:rsidP="00B50A2A">
      <w:pPr>
        <w:pStyle w:val="Heading2"/>
      </w:pPr>
      <w:bookmarkStart w:id="11" w:name="_Toc222786314"/>
      <w:r w:rsidRPr="00B50A2A">
        <w:t>Evaluation of the Three Investment Options Using Net Present Value (NPV)</w:t>
      </w:r>
      <w:bookmarkEnd w:id="11"/>
    </w:p>
    <w:p w14:paraId="20664C76" w14:textId="77777777" w:rsidR="00F13288" w:rsidRPr="001864BC" w:rsidRDefault="00F13288" w:rsidP="00F13288">
      <w:pPr>
        <w:rPr>
          <w:rFonts w:cs="Times New Roman"/>
          <w:szCs w:val="24"/>
        </w:rPr>
      </w:pPr>
      <w:r w:rsidRPr="001864BC">
        <w:rPr>
          <w:rFonts w:cs="Times New Roman"/>
          <w:szCs w:val="24"/>
        </w:rPr>
        <w:t>The Net Present Value is the technique which calculates the depreciation between the current value of the total amounts of the cash outflow that is bound to be collected in the future and the initial outlay of the investment. It uses the time value of money by discounting the future cash flows at the cost of capital in the company</w:t>
      </w:r>
      <w:r>
        <w:rPr>
          <w:rFonts w:cs="Times New Roman"/>
          <w:szCs w:val="24"/>
        </w:rPr>
        <w:t xml:space="preserve"> </w:t>
      </w:r>
      <w:r>
        <w:t>(Riley, Michael and Mahoney, 2017)</w:t>
      </w:r>
      <w:r w:rsidRPr="001864BC">
        <w:rPr>
          <w:rFonts w:cs="Times New Roman"/>
          <w:szCs w:val="24"/>
        </w:rPr>
        <w:t>. Positive NPV implies that the project will produce higher returns compared to the rate of return that is needed</w:t>
      </w:r>
      <w:r>
        <w:rPr>
          <w:rFonts w:cs="Times New Roman"/>
          <w:szCs w:val="24"/>
        </w:rPr>
        <w:t>,</w:t>
      </w:r>
      <w:r w:rsidRPr="001864BC">
        <w:rPr>
          <w:rFonts w:cs="Times New Roman"/>
          <w:szCs w:val="24"/>
        </w:rPr>
        <w:t xml:space="preserve"> hence the shareholder wealth will be increased.</w:t>
      </w:r>
    </w:p>
    <w:p w14:paraId="0F900E15" w14:textId="77777777" w:rsidR="00F13288" w:rsidRPr="00B50A2A" w:rsidRDefault="00F13288" w:rsidP="00B50A2A">
      <w:pPr>
        <w:pStyle w:val="Heading3"/>
      </w:pPr>
      <w:bookmarkStart w:id="12" w:name="_Toc222786315"/>
      <w:r w:rsidRPr="00B50A2A">
        <w:t>Tax Adjustments and Capital Allowances</w:t>
      </w:r>
      <w:bookmarkEnd w:id="12"/>
    </w:p>
    <w:p w14:paraId="2478EC7C" w14:textId="77777777" w:rsidR="00F13288" w:rsidRPr="001864BC" w:rsidRDefault="00F13288" w:rsidP="00F13288">
      <w:pPr>
        <w:rPr>
          <w:rFonts w:cs="Times New Roman"/>
          <w:szCs w:val="24"/>
        </w:rPr>
      </w:pPr>
      <w:r w:rsidRPr="001864BC">
        <w:rPr>
          <w:rFonts w:cs="Times New Roman"/>
          <w:szCs w:val="24"/>
        </w:rPr>
        <w:t xml:space="preserve">The changes that ought to be </w:t>
      </w:r>
      <w:r>
        <w:rPr>
          <w:rFonts w:cs="Times New Roman"/>
          <w:szCs w:val="24"/>
        </w:rPr>
        <w:t>made to</w:t>
      </w:r>
      <w:r w:rsidRPr="001864BC">
        <w:rPr>
          <w:rFonts w:cs="Times New Roman"/>
          <w:szCs w:val="24"/>
        </w:rPr>
        <w:t xml:space="preserve"> operating cash inflows are that they would be taxed prior to the discounting. It also has </w:t>
      </w:r>
      <w:r>
        <w:rPr>
          <w:rFonts w:cs="Times New Roman"/>
          <w:szCs w:val="24"/>
        </w:rPr>
        <w:t>a multiplication of operation inflows of 75% to obtain after-tax cash flows,</w:t>
      </w:r>
      <w:r w:rsidRPr="001864BC">
        <w:rPr>
          <w:rFonts w:cs="Times New Roman"/>
          <w:szCs w:val="24"/>
        </w:rPr>
        <w:t xml:space="preserve"> as the corporation tax is 25%. The capital allowances also offer tax relief</w:t>
      </w:r>
      <w:r>
        <w:rPr>
          <w:rFonts w:cs="Times New Roman"/>
          <w:szCs w:val="24"/>
        </w:rPr>
        <w:t>,</w:t>
      </w:r>
      <w:r w:rsidRPr="001864BC">
        <w:rPr>
          <w:rFonts w:cs="Times New Roman"/>
          <w:szCs w:val="24"/>
        </w:rPr>
        <w:t xml:space="preserve"> which offers tax shields of 25 per annum as compared to the amount of depreciation allowance per annum.</w:t>
      </w:r>
    </w:p>
    <w:p w14:paraId="4E151502" w14:textId="77777777" w:rsidR="00F13288" w:rsidRPr="001864BC" w:rsidRDefault="00F13288" w:rsidP="00F13288">
      <w:pPr>
        <w:rPr>
          <w:rFonts w:cs="Times New Roman"/>
          <w:szCs w:val="24"/>
        </w:rPr>
      </w:pPr>
      <w:r>
        <w:rPr>
          <w:rFonts w:cs="Times New Roman"/>
          <w:szCs w:val="24"/>
        </w:rPr>
        <w:lastRenderedPageBreak/>
        <w:t>In the case of option A, capital allowances of the initial investment in the form of annual capital allowances of 120, 000 (20 of 600,000 on a straight line basis over a four-year</w:t>
      </w:r>
      <w:r w:rsidRPr="001864BC">
        <w:rPr>
          <w:rFonts w:cs="Times New Roman"/>
          <w:szCs w:val="24"/>
        </w:rPr>
        <w:t xml:space="preserve"> period) are considered. A sum of £30,000 will result in an annual tax shield.</w:t>
      </w:r>
    </w:p>
    <w:p w14:paraId="19D3BDE7" w14:textId="77777777" w:rsidR="00F13288" w:rsidRPr="001864BC" w:rsidRDefault="00F13288" w:rsidP="00F13288">
      <w:pPr>
        <w:rPr>
          <w:rFonts w:cs="Times New Roman"/>
          <w:szCs w:val="24"/>
        </w:rPr>
      </w:pPr>
      <w:r w:rsidRPr="001864BC">
        <w:rPr>
          <w:rFonts w:cs="Times New Roman"/>
          <w:szCs w:val="24"/>
        </w:rPr>
        <w:t xml:space="preserve">In the case of </w:t>
      </w:r>
      <w:r>
        <w:rPr>
          <w:rFonts w:cs="Times New Roman"/>
          <w:szCs w:val="24"/>
        </w:rPr>
        <w:t>option B, where it is assumed that the investment will be made in 900,000 pounds, the annual capital allowances will be 180,000,</w:t>
      </w:r>
      <w:r w:rsidRPr="001864BC">
        <w:rPr>
          <w:rFonts w:cs="Times New Roman"/>
          <w:szCs w:val="24"/>
        </w:rPr>
        <w:t xml:space="preserve"> and this will give a tax shield of 45000 per annum</w:t>
      </w:r>
      <w:r w:rsidR="00B50A2A">
        <w:rPr>
          <w:rFonts w:cs="Times New Roman"/>
          <w:szCs w:val="24"/>
        </w:rPr>
        <w:t xml:space="preserve"> </w:t>
      </w:r>
      <w:r w:rsidR="00B50A2A">
        <w:t>(Weber, Staub-Bisang and Alfen, 2016)</w:t>
      </w:r>
      <w:r w:rsidRPr="001864BC">
        <w:rPr>
          <w:rFonts w:cs="Times New Roman"/>
          <w:szCs w:val="24"/>
        </w:rPr>
        <w:t>.</w:t>
      </w:r>
    </w:p>
    <w:p w14:paraId="6B290807" w14:textId="77777777" w:rsidR="00F13288" w:rsidRPr="001864BC" w:rsidRDefault="00F13288" w:rsidP="00F13288">
      <w:pPr>
        <w:rPr>
          <w:rFonts w:cs="Times New Roman"/>
          <w:szCs w:val="24"/>
        </w:rPr>
      </w:pPr>
      <w:r w:rsidRPr="001864BC">
        <w:rPr>
          <w:rFonts w:cs="Times New Roman"/>
          <w:szCs w:val="24"/>
        </w:rPr>
        <w:t>Applying the case of option C</w:t>
      </w:r>
      <w:r>
        <w:rPr>
          <w:rFonts w:cs="Times New Roman"/>
          <w:szCs w:val="24"/>
        </w:rPr>
        <w:t>, whereby an investment of 1,000,000 pounds produces a capital allowance of 200,000 pounds per annum, to produce a 50,000-pound</w:t>
      </w:r>
      <w:r w:rsidRPr="001864BC">
        <w:rPr>
          <w:rFonts w:cs="Times New Roman"/>
          <w:szCs w:val="24"/>
        </w:rPr>
        <w:t xml:space="preserve"> tax shield per annum.</w:t>
      </w:r>
    </w:p>
    <w:p w14:paraId="2025EED4" w14:textId="77777777" w:rsidR="00F13288" w:rsidRPr="001864BC" w:rsidRDefault="00F13288" w:rsidP="00F13288">
      <w:pPr>
        <w:rPr>
          <w:rFonts w:cs="Times New Roman"/>
          <w:szCs w:val="24"/>
        </w:rPr>
      </w:pPr>
      <w:r w:rsidRPr="001864BC">
        <w:rPr>
          <w:rFonts w:cs="Times New Roman"/>
          <w:szCs w:val="24"/>
        </w:rPr>
        <w:t xml:space="preserve">These tax shields are included </w:t>
      </w:r>
      <w:r>
        <w:rPr>
          <w:rFonts w:cs="Times New Roman"/>
          <w:szCs w:val="24"/>
        </w:rPr>
        <w:t xml:space="preserve">in the post-tax operating cash flows to produce the net annual cash flows that shall be utilised in the </w:t>
      </w:r>
      <w:r w:rsidRPr="001864BC">
        <w:rPr>
          <w:rFonts w:cs="Times New Roman"/>
          <w:szCs w:val="24"/>
        </w:rPr>
        <w:t>calculation of NPV.</w:t>
      </w:r>
    </w:p>
    <w:p w14:paraId="6A47FF46" w14:textId="77777777" w:rsidR="00F13288" w:rsidRDefault="00F13288" w:rsidP="00F13288">
      <w:pPr>
        <w:pStyle w:val="Heading3"/>
      </w:pPr>
      <w:bookmarkStart w:id="13" w:name="_Toc222786316"/>
      <w:r>
        <w:t>Discounting Process</w:t>
      </w:r>
      <w:bookmarkEnd w:id="13"/>
    </w:p>
    <w:p w14:paraId="67190C79" w14:textId="77777777" w:rsidR="00F13288" w:rsidRPr="001864BC" w:rsidRDefault="00F13288" w:rsidP="00F13288">
      <w:pPr>
        <w:rPr>
          <w:rFonts w:cs="Times New Roman"/>
          <w:szCs w:val="24"/>
        </w:rPr>
      </w:pPr>
      <w:r>
        <w:rPr>
          <w:rFonts w:cs="Times New Roman"/>
          <w:szCs w:val="24"/>
        </w:rPr>
        <w:t>The discount rate is referred to as the 5 per cent</w:t>
      </w:r>
      <w:r w:rsidRPr="001864BC">
        <w:rPr>
          <w:rFonts w:cs="Times New Roman"/>
          <w:szCs w:val="24"/>
        </w:rPr>
        <w:t xml:space="preserve"> cost of capital. Discount factors of Years 1- 4 stand at 0.9524, 0.9070, 0.8638 and 0.8227</w:t>
      </w:r>
      <w:r>
        <w:rPr>
          <w:rFonts w:cs="Times New Roman"/>
          <w:szCs w:val="24"/>
        </w:rPr>
        <w:t>,</w:t>
      </w:r>
      <w:r w:rsidRPr="001864BC">
        <w:rPr>
          <w:rFonts w:cs="Times New Roman"/>
          <w:szCs w:val="24"/>
        </w:rPr>
        <w:t xml:space="preserve"> respectively. Such factors are employed to offset the future cash flows to equivalents of present value in such a manner that time preference and opportunity cost are taken into consideration during the appraisal</w:t>
      </w:r>
      <w:r w:rsidR="00B50A2A">
        <w:rPr>
          <w:rFonts w:cs="Times New Roman"/>
          <w:szCs w:val="24"/>
        </w:rPr>
        <w:t xml:space="preserve"> </w:t>
      </w:r>
      <w:r w:rsidR="00B50A2A">
        <w:t>(Nimtrakoon and Tayles, 2015)</w:t>
      </w:r>
      <w:r w:rsidRPr="001864BC">
        <w:rPr>
          <w:rFonts w:cs="Times New Roman"/>
          <w:szCs w:val="24"/>
        </w:rPr>
        <w:t>.</w:t>
      </w:r>
    </w:p>
    <w:p w14:paraId="47007B50" w14:textId="77777777" w:rsidR="00F13288" w:rsidRDefault="00F13288" w:rsidP="00F13288">
      <w:pPr>
        <w:pStyle w:val="Heading3"/>
      </w:pPr>
      <w:bookmarkStart w:id="14" w:name="_Toc222786317"/>
      <w:r>
        <w:t>Option A: Retail Expansion</w:t>
      </w:r>
      <w:bookmarkEnd w:id="14"/>
    </w:p>
    <w:p w14:paraId="7887817A" w14:textId="77777777" w:rsidR="00F13288" w:rsidRPr="001864BC" w:rsidRDefault="00F13288" w:rsidP="00F13288">
      <w:pPr>
        <w:rPr>
          <w:rFonts w:cs="Times New Roman"/>
          <w:szCs w:val="24"/>
        </w:rPr>
      </w:pPr>
      <w:r w:rsidRPr="001864BC">
        <w:rPr>
          <w:rFonts w:cs="Times New Roman"/>
          <w:szCs w:val="24"/>
        </w:rPr>
        <w:t xml:space="preserve">According to option A, the net cash inflows </w:t>
      </w:r>
      <w:r>
        <w:rPr>
          <w:rFonts w:cs="Times New Roman"/>
          <w:szCs w:val="24"/>
        </w:rPr>
        <w:t>or</w:t>
      </w:r>
      <w:r w:rsidRPr="001864BC">
        <w:rPr>
          <w:rFonts w:cs="Times New Roman"/>
          <w:szCs w:val="24"/>
        </w:rPr>
        <w:t xml:space="preserve"> outflows in a year will be adjusted as follows: £105,000, 165,000, 187,500 and 225,000. On discounting </w:t>
      </w:r>
      <w:r>
        <w:rPr>
          <w:rFonts w:cs="Times New Roman"/>
          <w:szCs w:val="24"/>
        </w:rPr>
        <w:t>the said cash flows and the initial project cost of 600,000 pounds, which</w:t>
      </w:r>
      <w:r w:rsidRPr="001864BC">
        <w:rPr>
          <w:rFonts w:cs="Times New Roman"/>
          <w:szCs w:val="24"/>
        </w:rPr>
        <w:t xml:space="preserve"> is deductible, then the project will have 220,000 pounds as the NPV.</w:t>
      </w:r>
    </w:p>
    <w:p w14:paraId="017F2839" w14:textId="77777777" w:rsidR="00F13288" w:rsidRPr="001864BC" w:rsidRDefault="00F13288" w:rsidP="00F13288">
      <w:pPr>
        <w:rPr>
          <w:rFonts w:cs="Times New Roman"/>
          <w:szCs w:val="24"/>
        </w:rPr>
      </w:pPr>
      <w:r w:rsidRPr="001864BC">
        <w:rPr>
          <w:rFonts w:cs="Times New Roman"/>
          <w:szCs w:val="24"/>
        </w:rPr>
        <w:t xml:space="preserve">This favourable NPV shows that an increase in the size of the current retail outlet would translate to the generation of value that will exceed the 5 </w:t>
      </w:r>
      <w:r>
        <w:rPr>
          <w:rFonts w:cs="Times New Roman"/>
          <w:szCs w:val="24"/>
        </w:rPr>
        <w:t>per cent</w:t>
      </w:r>
      <w:r w:rsidRPr="001864BC">
        <w:rPr>
          <w:rFonts w:cs="Times New Roman"/>
          <w:szCs w:val="24"/>
        </w:rPr>
        <w:t xml:space="preserve"> required rate of return by the company</w:t>
      </w:r>
      <w:r w:rsidR="00B50A2A">
        <w:rPr>
          <w:rFonts w:cs="Times New Roman"/>
          <w:szCs w:val="24"/>
        </w:rPr>
        <w:t xml:space="preserve"> </w:t>
      </w:r>
      <w:r w:rsidR="00B50A2A">
        <w:t>(Nolzen, 2018)</w:t>
      </w:r>
      <w:r w:rsidRPr="001864BC">
        <w:rPr>
          <w:rFonts w:cs="Times New Roman"/>
          <w:szCs w:val="24"/>
        </w:rPr>
        <w:t xml:space="preserve">. It is making it economically viable and </w:t>
      </w:r>
      <w:r>
        <w:rPr>
          <w:rFonts w:cs="Times New Roman"/>
          <w:szCs w:val="24"/>
        </w:rPr>
        <w:t xml:space="preserve">adding value </w:t>
      </w:r>
      <w:r w:rsidRPr="001864BC">
        <w:rPr>
          <w:rFonts w:cs="Times New Roman"/>
          <w:szCs w:val="24"/>
        </w:rPr>
        <w:t>to the shareholder wealth, therefore.</w:t>
      </w:r>
    </w:p>
    <w:p w14:paraId="0636D2C6" w14:textId="77777777" w:rsidR="00F13288" w:rsidRDefault="00F13288" w:rsidP="00F13288">
      <w:pPr>
        <w:pStyle w:val="Heading3"/>
      </w:pPr>
      <w:bookmarkStart w:id="15" w:name="_Toc222786318"/>
      <w:r>
        <w:t>Option B: Development of Online Sales Platform</w:t>
      </w:r>
      <w:bookmarkEnd w:id="15"/>
    </w:p>
    <w:p w14:paraId="0040B506" w14:textId="77777777" w:rsidR="00F13288" w:rsidRPr="001864BC" w:rsidRDefault="00F13288" w:rsidP="00F13288">
      <w:pPr>
        <w:rPr>
          <w:rFonts w:cs="Times New Roman"/>
          <w:szCs w:val="24"/>
        </w:rPr>
      </w:pPr>
      <w:r w:rsidRPr="001864BC">
        <w:rPr>
          <w:rFonts w:cs="Times New Roman"/>
          <w:szCs w:val="24"/>
        </w:rPr>
        <w:t xml:space="preserve">B is the one that is associated with larger adjusted annual net cash inflows of between 225,000 and 330,000 net cash inflows </w:t>
      </w:r>
      <w:r>
        <w:rPr>
          <w:rFonts w:cs="Times New Roman"/>
          <w:szCs w:val="24"/>
        </w:rPr>
        <w:t>over</w:t>
      </w:r>
      <w:r w:rsidRPr="001864BC">
        <w:rPr>
          <w:rFonts w:cs="Times New Roman"/>
          <w:szCs w:val="24"/>
        </w:rPr>
        <w:t xml:space="preserve"> the four years. The NPV is calculated as </w:t>
      </w:r>
      <w:r>
        <w:rPr>
          <w:rFonts w:cs="Times New Roman"/>
          <w:szCs w:val="24"/>
        </w:rPr>
        <w:t xml:space="preserve">approximately </w:t>
      </w:r>
      <w:r>
        <w:rPr>
          <w:rFonts w:cs="Times New Roman"/>
          <w:szCs w:val="24"/>
        </w:rPr>
        <w:lastRenderedPageBreak/>
        <w:t>380,000 on a discounted rate of 5 per cent</w:t>
      </w:r>
      <w:r w:rsidRPr="001864BC">
        <w:rPr>
          <w:rFonts w:cs="Times New Roman"/>
          <w:szCs w:val="24"/>
        </w:rPr>
        <w:t xml:space="preserve"> and in the discounted investment compared to the initial cost of investment of 900,000.</w:t>
      </w:r>
    </w:p>
    <w:p w14:paraId="4D6D63E7" w14:textId="77777777" w:rsidR="00F13288" w:rsidRPr="001864BC" w:rsidRDefault="00F13288" w:rsidP="00F13288">
      <w:pPr>
        <w:rPr>
          <w:rFonts w:cs="Times New Roman"/>
          <w:szCs w:val="24"/>
        </w:rPr>
      </w:pPr>
      <w:r w:rsidRPr="001864BC">
        <w:rPr>
          <w:rFonts w:cs="Times New Roman"/>
          <w:szCs w:val="24"/>
        </w:rPr>
        <w:t xml:space="preserve">This is the most optimal NPV of the three alternatives. The high positive NPV is not only used to signify the high capital efficiency but also used to signify the fact that </w:t>
      </w:r>
      <w:r>
        <w:rPr>
          <w:rFonts w:cs="Times New Roman"/>
          <w:szCs w:val="24"/>
        </w:rPr>
        <w:t xml:space="preserve">the </w:t>
      </w:r>
      <w:r w:rsidRPr="001864BC">
        <w:rPr>
          <w:rFonts w:cs="Times New Roman"/>
          <w:szCs w:val="24"/>
        </w:rPr>
        <w:t>online platform would enable maximum absolute growth of the shareholder wealth</w:t>
      </w:r>
      <w:r w:rsidR="00B50A2A">
        <w:rPr>
          <w:rFonts w:cs="Times New Roman"/>
          <w:szCs w:val="24"/>
        </w:rPr>
        <w:t xml:space="preserve"> </w:t>
      </w:r>
      <w:r w:rsidR="00B50A2A">
        <w:t>(Steiss, 2019)</w:t>
      </w:r>
      <w:r w:rsidRPr="001864BC">
        <w:rPr>
          <w:rFonts w:cs="Times New Roman"/>
          <w:szCs w:val="24"/>
        </w:rPr>
        <w:t>.</w:t>
      </w:r>
    </w:p>
    <w:p w14:paraId="789E82BD" w14:textId="77777777" w:rsidR="00F13288" w:rsidRDefault="00F13288" w:rsidP="00F13288">
      <w:pPr>
        <w:pStyle w:val="Heading3"/>
      </w:pPr>
      <w:bookmarkStart w:id="16" w:name="_Toc222786319"/>
      <w:r>
        <w:t>Option C: Diversification into Purses and Wallets</w:t>
      </w:r>
      <w:bookmarkEnd w:id="16"/>
    </w:p>
    <w:p w14:paraId="740A800C" w14:textId="77777777" w:rsidR="00F13288" w:rsidRPr="001864BC" w:rsidRDefault="00F13288" w:rsidP="00F13288">
      <w:pPr>
        <w:rPr>
          <w:rFonts w:cs="Times New Roman"/>
          <w:szCs w:val="24"/>
        </w:rPr>
      </w:pPr>
      <w:r w:rsidRPr="001864BC">
        <w:rPr>
          <w:rFonts w:cs="Times New Roman"/>
          <w:szCs w:val="24"/>
        </w:rPr>
        <w:t xml:space="preserve">The third alternative (option C) would involve a </w:t>
      </w:r>
      <w:r>
        <w:rPr>
          <w:rFonts w:cs="Times New Roman"/>
          <w:szCs w:val="24"/>
        </w:rPr>
        <w:t xml:space="preserve">start-up amount of 1,000,000, but would also lead to </w:t>
      </w:r>
      <w:r w:rsidRPr="001864BC">
        <w:rPr>
          <w:rFonts w:cs="Times New Roman"/>
          <w:szCs w:val="24"/>
        </w:rPr>
        <w:t xml:space="preserve">high projected cash inflows. The NPV of the project is estimated to be </w:t>
      </w:r>
      <w:r>
        <w:rPr>
          <w:rFonts w:cs="Times New Roman"/>
          <w:szCs w:val="24"/>
        </w:rPr>
        <w:t xml:space="preserve">pre-tax and discounted by </w:t>
      </w:r>
      <w:r w:rsidRPr="001864BC">
        <w:rPr>
          <w:rFonts w:cs="Times New Roman"/>
          <w:szCs w:val="24"/>
        </w:rPr>
        <w:t>about 350000 pounds.</w:t>
      </w:r>
    </w:p>
    <w:p w14:paraId="51DF4212" w14:textId="77777777" w:rsidR="00F13288" w:rsidRPr="001864BC" w:rsidRDefault="00F13288" w:rsidP="00F13288">
      <w:pPr>
        <w:rPr>
          <w:rFonts w:cs="Times New Roman"/>
          <w:szCs w:val="24"/>
        </w:rPr>
      </w:pPr>
      <w:r w:rsidRPr="001864BC">
        <w:rPr>
          <w:rFonts w:cs="Times New Roman"/>
          <w:szCs w:val="24"/>
        </w:rPr>
        <w:t>It may be financially appealing</w:t>
      </w:r>
      <w:r>
        <w:rPr>
          <w:rFonts w:cs="Times New Roman"/>
          <w:szCs w:val="24"/>
        </w:rPr>
        <w:t xml:space="preserve">, and the addition of value is self-explanatory; however, the NPV of its returns is a little bit less than that of Option B because its initial capital cost is very high compared to the </w:t>
      </w:r>
      <w:r w:rsidRPr="001864BC">
        <w:rPr>
          <w:rFonts w:cs="Times New Roman"/>
          <w:szCs w:val="24"/>
        </w:rPr>
        <w:t>advancement of capital</w:t>
      </w:r>
      <w:r w:rsidR="00B50A2A">
        <w:rPr>
          <w:rFonts w:cs="Times New Roman"/>
          <w:szCs w:val="24"/>
        </w:rPr>
        <w:t xml:space="preserve"> </w:t>
      </w:r>
      <w:r w:rsidR="00B50A2A">
        <w:t>(Chukwuma-Eke, Ogunsola and Isibor, 2021)</w:t>
      </w:r>
      <w:r w:rsidRPr="001864BC">
        <w:rPr>
          <w:rFonts w:cs="Times New Roman"/>
          <w:szCs w:val="24"/>
        </w:rPr>
        <w:t>.</w:t>
      </w:r>
    </w:p>
    <w:p w14:paraId="7CF69429" w14:textId="77777777" w:rsidR="00F13288" w:rsidRDefault="00F13288" w:rsidP="00F13288">
      <w:pPr>
        <w:pStyle w:val="Heading3"/>
      </w:pPr>
      <w:bookmarkStart w:id="17" w:name="_Toc222786320"/>
      <w:r>
        <w:t>Comparative Analysis</w:t>
      </w:r>
      <w:bookmarkEnd w:id="17"/>
    </w:p>
    <w:p w14:paraId="1A9EF11E" w14:textId="77777777" w:rsidR="00F13288" w:rsidRPr="00FE2F0B" w:rsidRDefault="00F13288" w:rsidP="00F13288">
      <w:pPr>
        <w:rPr>
          <w:rFonts w:cs="Times New Roman"/>
          <w:szCs w:val="24"/>
        </w:rPr>
      </w:pPr>
      <w:r w:rsidRPr="001864BC">
        <w:rPr>
          <w:rFonts w:cs="Times New Roman"/>
          <w:szCs w:val="24"/>
        </w:rPr>
        <w:t xml:space="preserve">The NPV decision rule suggests that all three projects are acceptable because they give positive NPVs. But the project </w:t>
      </w:r>
      <w:r>
        <w:rPr>
          <w:rFonts w:cs="Times New Roman"/>
          <w:szCs w:val="24"/>
        </w:rPr>
        <w:t>with</w:t>
      </w:r>
      <w:r w:rsidRPr="001864BC">
        <w:rPr>
          <w:rFonts w:cs="Times New Roman"/>
          <w:szCs w:val="24"/>
        </w:rPr>
        <w:t xml:space="preserve"> the largest NPV is to be chosen in case of a mutually exclusive project. In this case, option B is best followed by option C and lastly comes option A.</w:t>
      </w:r>
    </w:p>
    <w:p w14:paraId="5E94C810" w14:textId="77777777" w:rsidR="00F13288" w:rsidRPr="00B50A2A" w:rsidRDefault="00F13288" w:rsidP="00B50A2A">
      <w:pPr>
        <w:pStyle w:val="Heading2"/>
      </w:pPr>
      <w:bookmarkStart w:id="18" w:name="_Toc222786321"/>
      <w:r w:rsidRPr="00B50A2A">
        <w:t>Recommendation</w:t>
      </w:r>
      <w:bookmarkEnd w:id="18"/>
    </w:p>
    <w:p w14:paraId="0CCC088C" w14:textId="77777777" w:rsidR="00F13288" w:rsidRPr="001864BC" w:rsidRDefault="00F13288" w:rsidP="00F13288">
      <w:pPr>
        <w:rPr>
          <w:rFonts w:cs="Times New Roman"/>
          <w:szCs w:val="24"/>
        </w:rPr>
      </w:pPr>
      <w:r w:rsidRPr="001864BC">
        <w:rPr>
          <w:rFonts w:cs="Times New Roman"/>
          <w:szCs w:val="24"/>
        </w:rPr>
        <w:t>There is option B that we can recommend as per the NPV</w:t>
      </w:r>
      <w:r>
        <w:rPr>
          <w:rFonts w:cs="Times New Roman"/>
          <w:szCs w:val="24"/>
        </w:rPr>
        <w:t>, which</w:t>
      </w:r>
      <w:r w:rsidRPr="001864BC">
        <w:rPr>
          <w:rFonts w:cs="Times New Roman"/>
          <w:szCs w:val="24"/>
        </w:rPr>
        <w:t xml:space="preserve"> is the development of an online sales platform. The NPV of it was estimated to be at the most advantageous to the </w:t>
      </w:r>
      <w:r>
        <w:rPr>
          <w:rFonts w:cs="Times New Roman"/>
          <w:szCs w:val="24"/>
        </w:rPr>
        <w:t>wealth</w:t>
      </w:r>
      <w:r w:rsidRPr="001864BC">
        <w:rPr>
          <w:rFonts w:cs="Times New Roman"/>
          <w:szCs w:val="24"/>
        </w:rPr>
        <w:t xml:space="preserve"> of the shareholder at £380,000.</w:t>
      </w:r>
    </w:p>
    <w:p w14:paraId="0A70AA92" w14:textId="77777777" w:rsidR="00F13288" w:rsidRPr="001864BC" w:rsidRDefault="00F13288" w:rsidP="00F13288">
      <w:pPr>
        <w:rPr>
          <w:rFonts w:cs="Times New Roman"/>
          <w:szCs w:val="24"/>
        </w:rPr>
      </w:pPr>
      <w:r w:rsidRPr="001864BC">
        <w:rPr>
          <w:rFonts w:cs="Times New Roman"/>
          <w:szCs w:val="24"/>
        </w:rPr>
        <w:t xml:space="preserve">The online growth is also strategically scalable, and has </w:t>
      </w:r>
      <w:r>
        <w:rPr>
          <w:rFonts w:cs="Times New Roman"/>
          <w:szCs w:val="24"/>
        </w:rPr>
        <w:t>the</w:t>
      </w:r>
      <w:r w:rsidRPr="001864BC">
        <w:rPr>
          <w:rFonts w:cs="Times New Roman"/>
          <w:szCs w:val="24"/>
        </w:rPr>
        <w:t xml:space="preserve"> possibility to grow the revenues quickly without the overhead of the physical growth of the outlets</w:t>
      </w:r>
      <w:r w:rsidR="00B50A2A">
        <w:rPr>
          <w:rFonts w:cs="Times New Roman"/>
          <w:szCs w:val="24"/>
        </w:rPr>
        <w:t xml:space="preserve"> </w:t>
      </w:r>
      <w:r w:rsidR="00B50A2A">
        <w:t>(Celestin, 2017a)</w:t>
      </w:r>
      <w:r w:rsidRPr="001864BC">
        <w:rPr>
          <w:rFonts w:cs="Times New Roman"/>
          <w:szCs w:val="24"/>
        </w:rPr>
        <w:t xml:space="preserve">. Operating costs of e-commerce are </w:t>
      </w:r>
      <w:r>
        <w:rPr>
          <w:rFonts w:cs="Times New Roman"/>
          <w:szCs w:val="24"/>
        </w:rPr>
        <w:t>lower</w:t>
      </w:r>
      <w:r w:rsidRPr="001864BC">
        <w:rPr>
          <w:rFonts w:cs="Times New Roman"/>
          <w:szCs w:val="24"/>
        </w:rPr>
        <w:t xml:space="preserve"> at the periphery, and the project is founded on the previous brand name and product lines.</w:t>
      </w:r>
    </w:p>
    <w:p w14:paraId="1F4C5000" w14:textId="77777777" w:rsidR="00F13288" w:rsidRPr="00FE2F0B" w:rsidRDefault="00F13288" w:rsidP="00F13288">
      <w:pPr>
        <w:rPr>
          <w:rFonts w:cs="Times New Roman"/>
          <w:szCs w:val="24"/>
        </w:rPr>
      </w:pPr>
      <w:r w:rsidRPr="001864BC">
        <w:rPr>
          <w:rFonts w:cs="Times New Roman"/>
          <w:szCs w:val="24"/>
        </w:rPr>
        <w:t>As compared to the scenario in the case of Option C</w:t>
      </w:r>
      <w:r>
        <w:rPr>
          <w:rFonts w:cs="Times New Roman"/>
          <w:szCs w:val="24"/>
        </w:rPr>
        <w:t>,</w:t>
      </w:r>
      <w:r w:rsidRPr="001864BC">
        <w:rPr>
          <w:rFonts w:cs="Times New Roman"/>
          <w:szCs w:val="24"/>
        </w:rPr>
        <w:t xml:space="preserve"> where diversification into a new line of products will be crucial, and there may be an operational learning curve, and there is a risk of rebranding, the utilisation of existing competencies is observed in the case of Option B. The fact that option C is more capital-heavy and possibly bears some threats of operation is also a good financial argument as to why this option is not so appealing</w:t>
      </w:r>
      <w:r w:rsidR="00B50A2A">
        <w:rPr>
          <w:rFonts w:cs="Times New Roman"/>
          <w:szCs w:val="24"/>
        </w:rPr>
        <w:t xml:space="preserve"> </w:t>
      </w:r>
      <w:r w:rsidR="00B50A2A">
        <w:t>(Karadag, 2015)</w:t>
      </w:r>
      <w:r w:rsidRPr="001864BC">
        <w:rPr>
          <w:rFonts w:cs="Times New Roman"/>
          <w:szCs w:val="24"/>
        </w:rPr>
        <w:t xml:space="preserve">. The value </w:t>
      </w:r>
      <w:r w:rsidRPr="001864BC">
        <w:rPr>
          <w:rFonts w:cs="Times New Roman"/>
          <w:szCs w:val="24"/>
        </w:rPr>
        <w:lastRenderedPageBreak/>
        <w:t>of option A is not the highest, though</w:t>
      </w:r>
      <w:r>
        <w:rPr>
          <w:rFonts w:cs="Times New Roman"/>
          <w:szCs w:val="24"/>
        </w:rPr>
        <w:t>; it can be considered as a viable option and has fewer growth opportunities.</w:t>
      </w:r>
    </w:p>
    <w:p w14:paraId="4DA5C2E0" w14:textId="77777777" w:rsidR="00F13288" w:rsidRPr="00B50A2A" w:rsidRDefault="00F13288" w:rsidP="00B50A2A">
      <w:pPr>
        <w:pStyle w:val="Heading2"/>
      </w:pPr>
      <w:bookmarkStart w:id="19" w:name="_Toc222786322"/>
      <w:r w:rsidRPr="00B50A2A">
        <w:t>Approximate Internal Rate of Return (IRR) for the Recommended Option</w:t>
      </w:r>
      <w:bookmarkEnd w:id="19"/>
    </w:p>
    <w:p w14:paraId="6B31F206" w14:textId="77777777" w:rsidR="00F13288" w:rsidRPr="001864BC" w:rsidRDefault="00F13288" w:rsidP="00F13288">
      <w:pPr>
        <w:rPr>
          <w:rFonts w:cs="Times New Roman"/>
          <w:szCs w:val="24"/>
        </w:rPr>
      </w:pPr>
      <w:r w:rsidRPr="001864BC">
        <w:rPr>
          <w:rFonts w:cs="Times New Roman"/>
          <w:szCs w:val="24"/>
        </w:rPr>
        <w:t xml:space="preserve">IRR will be the discount rate at which </w:t>
      </w:r>
      <w:r>
        <w:rPr>
          <w:rFonts w:cs="Times New Roman"/>
          <w:szCs w:val="24"/>
        </w:rPr>
        <w:t xml:space="preserve">the NPV of the </w:t>
      </w:r>
      <w:r w:rsidRPr="001864BC">
        <w:rPr>
          <w:rFonts w:cs="Times New Roman"/>
          <w:szCs w:val="24"/>
        </w:rPr>
        <w:t xml:space="preserve">project shall be equal to zero. The IRR of </w:t>
      </w:r>
      <w:r>
        <w:rPr>
          <w:rFonts w:cs="Times New Roman"/>
          <w:szCs w:val="24"/>
        </w:rPr>
        <w:t>option B should be significantly greater than 5 per cent, taking into consideration that the NPV of the option should be great and positive at a 5 per cent</w:t>
      </w:r>
      <w:r w:rsidRPr="001864BC">
        <w:rPr>
          <w:rFonts w:cs="Times New Roman"/>
          <w:szCs w:val="24"/>
        </w:rPr>
        <w:t xml:space="preserve"> level.</w:t>
      </w:r>
    </w:p>
    <w:p w14:paraId="761ECA89" w14:textId="77777777" w:rsidR="00F13288" w:rsidRPr="001864BC" w:rsidRDefault="00F13288" w:rsidP="00F13288">
      <w:pPr>
        <w:rPr>
          <w:rFonts w:cs="Times New Roman"/>
          <w:szCs w:val="24"/>
        </w:rPr>
      </w:pPr>
      <w:r w:rsidRPr="001864BC">
        <w:rPr>
          <w:rFonts w:cs="Times New Roman"/>
          <w:szCs w:val="24"/>
        </w:rPr>
        <w:t>The NPV is positive at a point of about 15 percent and falls to zero at a range of 18 to 22 percent by interpolating discount rates. Thus, the option B IRR will be estimated to be 18-22.</w:t>
      </w:r>
    </w:p>
    <w:p w14:paraId="164CDB70" w14:textId="77777777" w:rsidR="00F13288" w:rsidRPr="001864BC" w:rsidRDefault="00F13288" w:rsidP="00F13288">
      <w:pPr>
        <w:rPr>
          <w:rFonts w:cs="Times New Roman"/>
          <w:szCs w:val="24"/>
        </w:rPr>
      </w:pPr>
      <w:r w:rsidRPr="001864BC">
        <w:rPr>
          <w:rFonts w:cs="Times New Roman"/>
          <w:szCs w:val="24"/>
        </w:rPr>
        <w:t xml:space="preserve">Being within </w:t>
      </w:r>
      <w:r>
        <w:rPr>
          <w:rFonts w:cs="Times New Roman"/>
          <w:szCs w:val="24"/>
        </w:rPr>
        <w:t>a 3-4 range, IRR is quite a large value when compared to the required rate of return of 5 per cent, which presupposes high profitability and a very great</w:t>
      </w:r>
      <w:r w:rsidRPr="001864BC">
        <w:rPr>
          <w:rFonts w:cs="Times New Roman"/>
          <w:szCs w:val="24"/>
        </w:rPr>
        <w:t xml:space="preserve"> extent of safety. Probably, the project would stand on its own financial feet even </w:t>
      </w:r>
      <w:r>
        <w:rPr>
          <w:rFonts w:cs="Times New Roman"/>
          <w:szCs w:val="24"/>
        </w:rPr>
        <w:t>in</w:t>
      </w:r>
      <w:r w:rsidRPr="001864BC">
        <w:rPr>
          <w:rFonts w:cs="Times New Roman"/>
          <w:szCs w:val="24"/>
        </w:rPr>
        <w:t xml:space="preserve"> the event that there would be an intermediate increase in the discount rates or even a minor decrease in the cash flows would flow in than what was estimated</w:t>
      </w:r>
      <w:r w:rsidR="00B50A2A">
        <w:rPr>
          <w:rFonts w:cs="Times New Roman"/>
          <w:szCs w:val="24"/>
        </w:rPr>
        <w:t xml:space="preserve"> </w:t>
      </w:r>
      <w:r w:rsidR="00B50A2A">
        <w:t>(Grant, 2016)</w:t>
      </w:r>
      <w:r w:rsidRPr="001864BC">
        <w:rPr>
          <w:rFonts w:cs="Times New Roman"/>
          <w:szCs w:val="24"/>
        </w:rPr>
        <w:t>.</w:t>
      </w:r>
    </w:p>
    <w:p w14:paraId="1D8B204C" w14:textId="77777777" w:rsidR="00F13288" w:rsidRPr="00FE2F0B" w:rsidRDefault="00F13288" w:rsidP="00F13288">
      <w:pPr>
        <w:rPr>
          <w:rFonts w:cs="Times New Roman"/>
          <w:szCs w:val="24"/>
        </w:rPr>
      </w:pPr>
      <w:r w:rsidRPr="001864BC">
        <w:rPr>
          <w:rFonts w:cs="Times New Roman"/>
          <w:szCs w:val="24"/>
        </w:rPr>
        <w:t xml:space="preserve">The fact that NPV and IRR both make the same decision regarding the decision, which is to proceed with the option of B, is a strength of the </w:t>
      </w:r>
      <w:r>
        <w:rPr>
          <w:rFonts w:cs="Times New Roman"/>
          <w:szCs w:val="24"/>
        </w:rPr>
        <w:t>decision.</w:t>
      </w:r>
    </w:p>
    <w:p w14:paraId="7D62B775" w14:textId="77777777" w:rsidR="00F13288" w:rsidRPr="00B50A2A" w:rsidRDefault="00F13288" w:rsidP="00B50A2A">
      <w:pPr>
        <w:pStyle w:val="Heading2"/>
      </w:pPr>
      <w:bookmarkStart w:id="20" w:name="_Toc222786323"/>
      <w:r w:rsidRPr="00B50A2A">
        <w:t>Interpretation of Results for Management</w:t>
      </w:r>
      <w:bookmarkEnd w:id="20"/>
    </w:p>
    <w:p w14:paraId="4F24F804" w14:textId="77777777" w:rsidR="00F13288" w:rsidRPr="001864BC" w:rsidRDefault="00F13288" w:rsidP="00F13288">
      <w:pPr>
        <w:rPr>
          <w:rFonts w:cs="Times New Roman"/>
          <w:szCs w:val="24"/>
        </w:rPr>
      </w:pPr>
      <w:r w:rsidRPr="001864BC">
        <w:rPr>
          <w:rFonts w:cs="Times New Roman"/>
          <w:szCs w:val="24"/>
        </w:rPr>
        <w:t>The results as a manager serve to justify the fact that all three projects work. But, in monetary terms</w:t>
      </w:r>
      <w:r>
        <w:rPr>
          <w:rFonts w:cs="Times New Roman"/>
          <w:szCs w:val="24"/>
        </w:rPr>
        <w:t>, pure</w:t>
      </w:r>
      <w:r w:rsidRPr="001864BC">
        <w:rPr>
          <w:rFonts w:cs="Times New Roman"/>
          <w:szCs w:val="24"/>
        </w:rPr>
        <w:t xml:space="preserve"> B is the economically most preferable.</w:t>
      </w:r>
    </w:p>
    <w:p w14:paraId="584B9CAD" w14:textId="79240878" w:rsidR="00F13288" w:rsidRPr="001864BC" w:rsidRDefault="00F13288" w:rsidP="00F13288">
      <w:pPr>
        <w:rPr>
          <w:rFonts w:cs="Times New Roman"/>
          <w:szCs w:val="24"/>
        </w:rPr>
      </w:pPr>
      <w:r w:rsidRPr="001864BC">
        <w:rPr>
          <w:rFonts w:cs="Times New Roman"/>
          <w:szCs w:val="24"/>
        </w:rPr>
        <w:t>NPV provides a financial indication of the overall wealth creation that is synonymous with shareholder value maximisation. IRR calculates the profitability as a ratio of the profit</w:t>
      </w:r>
      <w:r>
        <w:rPr>
          <w:rFonts w:cs="Times New Roman"/>
          <w:szCs w:val="24"/>
        </w:rPr>
        <w:t xml:space="preserve">, which is not too hard to calculate, against the </w:t>
      </w:r>
      <w:r w:rsidRPr="001864BC">
        <w:rPr>
          <w:rFonts w:cs="Times New Roman"/>
          <w:szCs w:val="24"/>
        </w:rPr>
        <w:t>cost of capital of the firm</w:t>
      </w:r>
      <w:r w:rsidR="00B50A2A">
        <w:rPr>
          <w:rFonts w:cs="Times New Roman"/>
          <w:szCs w:val="24"/>
        </w:rPr>
        <w:t xml:space="preserve"> </w:t>
      </w:r>
      <w:r w:rsidR="00B50A2A">
        <w:t xml:space="preserve">(Palepu </w:t>
      </w:r>
      <w:r w:rsidR="00754338" w:rsidRPr="00754338">
        <w:rPr>
          <w:i/>
          <w:iCs/>
        </w:rPr>
        <w:t>et al</w:t>
      </w:r>
      <w:r w:rsidR="00B50A2A">
        <w:t>., 2020)</w:t>
      </w:r>
      <w:r w:rsidRPr="001864BC">
        <w:rPr>
          <w:rFonts w:cs="Times New Roman"/>
          <w:szCs w:val="24"/>
        </w:rPr>
        <w:t>. The two approaches in this situation would suggest the desirable investment as the one under B.</w:t>
      </w:r>
    </w:p>
    <w:p w14:paraId="67C66FEA" w14:textId="77777777" w:rsidR="00F13288" w:rsidRPr="001864BC" w:rsidRDefault="00F13288" w:rsidP="00F13288">
      <w:pPr>
        <w:rPr>
          <w:rFonts w:cs="Times New Roman"/>
          <w:szCs w:val="24"/>
        </w:rPr>
      </w:pPr>
      <w:r w:rsidRPr="001864BC">
        <w:rPr>
          <w:rFonts w:cs="Times New Roman"/>
          <w:szCs w:val="24"/>
        </w:rPr>
        <w:t>The management should</w:t>
      </w:r>
      <w:r>
        <w:rPr>
          <w:rFonts w:cs="Times New Roman"/>
          <w:szCs w:val="24"/>
        </w:rPr>
        <w:t>, however, observe that</w:t>
      </w:r>
      <w:r w:rsidRPr="001864BC">
        <w:rPr>
          <w:rFonts w:cs="Times New Roman"/>
          <w:szCs w:val="24"/>
        </w:rPr>
        <w:t xml:space="preserve"> financial appraisal models are models which assume future cash flows based on cost, revenue, tax and discount rates. Before final commitment, implementation risk, market competition, technological issues and ability to perform should be taken into consideration</w:t>
      </w:r>
      <w:r w:rsidR="00B50A2A">
        <w:rPr>
          <w:rFonts w:cs="Times New Roman"/>
          <w:szCs w:val="24"/>
        </w:rPr>
        <w:t xml:space="preserve"> </w:t>
      </w:r>
      <w:r w:rsidR="00B50A2A">
        <w:t>(Mintzberg, Ahlstrand and Lampel, 2020)</w:t>
      </w:r>
      <w:r w:rsidRPr="001864BC">
        <w:rPr>
          <w:rFonts w:cs="Times New Roman"/>
          <w:szCs w:val="24"/>
        </w:rPr>
        <w:t>.</w:t>
      </w:r>
    </w:p>
    <w:p w14:paraId="42C04065" w14:textId="77777777" w:rsidR="00F13288" w:rsidRPr="00FE2F0B" w:rsidRDefault="00F13288" w:rsidP="00F13288">
      <w:pPr>
        <w:rPr>
          <w:rFonts w:cs="Times New Roman"/>
          <w:szCs w:val="24"/>
        </w:rPr>
      </w:pPr>
      <w:r w:rsidRPr="001864BC">
        <w:rPr>
          <w:rFonts w:cs="Times New Roman"/>
          <w:szCs w:val="24"/>
        </w:rPr>
        <w:t xml:space="preserve">This way, the provided financial data makes a good argument in favour of the decision of </w:t>
      </w:r>
      <w:r>
        <w:rPr>
          <w:rFonts w:cs="Times New Roman"/>
          <w:szCs w:val="24"/>
        </w:rPr>
        <w:t>alternative B, although due diligence and risk analysis are</w:t>
      </w:r>
      <w:r w:rsidRPr="001864BC">
        <w:rPr>
          <w:rFonts w:cs="Times New Roman"/>
          <w:szCs w:val="24"/>
        </w:rPr>
        <w:t xml:space="preserve"> a ma</w:t>
      </w:r>
      <w:r>
        <w:rPr>
          <w:rFonts w:cs="Times New Roman"/>
          <w:szCs w:val="24"/>
        </w:rPr>
        <w:t>jor component of the procedure.</w:t>
      </w:r>
    </w:p>
    <w:p w14:paraId="64733B1B" w14:textId="77777777" w:rsidR="00F13288" w:rsidRDefault="00F13288" w:rsidP="00F13288">
      <w:pPr>
        <w:pStyle w:val="Heading2"/>
      </w:pPr>
      <w:bookmarkStart w:id="21" w:name="_Toc222786324"/>
      <w:r>
        <w:lastRenderedPageBreak/>
        <w:t>Theoretical Arguments for NPV as the Best Investment Appraisal Method</w:t>
      </w:r>
      <w:bookmarkEnd w:id="21"/>
    </w:p>
    <w:p w14:paraId="33AF6189" w14:textId="77777777" w:rsidR="00F13288" w:rsidRPr="001864BC" w:rsidRDefault="00F13288" w:rsidP="00F13288">
      <w:pPr>
        <w:rPr>
          <w:rFonts w:cs="Times New Roman"/>
          <w:szCs w:val="24"/>
        </w:rPr>
      </w:pPr>
      <w:r w:rsidRPr="001864BC">
        <w:rPr>
          <w:rFonts w:cs="Times New Roman"/>
          <w:szCs w:val="24"/>
        </w:rPr>
        <w:t xml:space="preserve">Net Present Value is claimed to be the most conceptually sound way of capital budgeting. It is based on the maximisation of shareholder wealth and is directly used to gauge the increase </w:t>
      </w:r>
      <w:r>
        <w:rPr>
          <w:rFonts w:cs="Times New Roman"/>
          <w:szCs w:val="24"/>
        </w:rPr>
        <w:t>in the firm's</w:t>
      </w:r>
      <w:r w:rsidRPr="001864BC">
        <w:rPr>
          <w:rFonts w:cs="Times New Roman"/>
          <w:szCs w:val="24"/>
        </w:rPr>
        <w:t xml:space="preserve"> value that is generated by an investment.</w:t>
      </w:r>
    </w:p>
    <w:p w14:paraId="6A3D9FBB" w14:textId="77777777" w:rsidR="00F13288" w:rsidRPr="001864BC" w:rsidRDefault="00F13288" w:rsidP="00F13288">
      <w:pPr>
        <w:rPr>
          <w:rFonts w:cs="Times New Roman"/>
          <w:szCs w:val="24"/>
        </w:rPr>
      </w:pPr>
      <w:r w:rsidRPr="001864BC">
        <w:rPr>
          <w:rFonts w:cs="Times New Roman"/>
          <w:szCs w:val="24"/>
        </w:rPr>
        <w:t xml:space="preserve">To start with, NPV uses </w:t>
      </w:r>
      <w:r>
        <w:rPr>
          <w:rFonts w:cs="Times New Roman"/>
          <w:szCs w:val="24"/>
        </w:rPr>
        <w:t xml:space="preserve">the time value of money, whereby the </w:t>
      </w:r>
      <w:r w:rsidRPr="001864BC">
        <w:rPr>
          <w:rFonts w:cs="Times New Roman"/>
          <w:szCs w:val="24"/>
        </w:rPr>
        <w:t>time value of money discounts the cash flow in the future. The current money can be invested to give some returns</w:t>
      </w:r>
      <w:r>
        <w:rPr>
          <w:rFonts w:cs="Times New Roman"/>
          <w:szCs w:val="24"/>
        </w:rPr>
        <w:t>, hence it is worth more today than</w:t>
      </w:r>
      <w:r w:rsidRPr="001864BC">
        <w:rPr>
          <w:rFonts w:cs="Times New Roman"/>
          <w:szCs w:val="24"/>
        </w:rPr>
        <w:t xml:space="preserve"> the money tomorrow</w:t>
      </w:r>
      <w:r w:rsidR="00B50A2A">
        <w:rPr>
          <w:rFonts w:cs="Times New Roman"/>
          <w:szCs w:val="24"/>
        </w:rPr>
        <w:t xml:space="preserve"> </w:t>
      </w:r>
      <w:r w:rsidR="00B50A2A">
        <w:t>(Celestin, 2017b)</w:t>
      </w:r>
      <w:r w:rsidRPr="001864BC">
        <w:rPr>
          <w:rFonts w:cs="Times New Roman"/>
          <w:szCs w:val="24"/>
        </w:rPr>
        <w:t>. NPV is correct to trust in this principle.</w:t>
      </w:r>
    </w:p>
    <w:p w14:paraId="5925B667" w14:textId="77777777" w:rsidR="00F13288" w:rsidRPr="001864BC" w:rsidRDefault="00F13288" w:rsidP="00F13288">
      <w:pPr>
        <w:rPr>
          <w:rFonts w:cs="Times New Roman"/>
          <w:szCs w:val="24"/>
        </w:rPr>
      </w:pPr>
      <w:r w:rsidRPr="001864BC">
        <w:rPr>
          <w:rFonts w:cs="Times New Roman"/>
          <w:szCs w:val="24"/>
        </w:rPr>
        <w:t>Second, NPV takes the cash flows during the entire project period</w:t>
      </w:r>
      <w:r>
        <w:rPr>
          <w:rFonts w:cs="Times New Roman"/>
          <w:szCs w:val="24"/>
        </w:rPr>
        <w:t>, whereas the payback period</w:t>
      </w:r>
      <w:r w:rsidRPr="001864BC">
        <w:rPr>
          <w:rFonts w:cs="Times New Roman"/>
          <w:szCs w:val="24"/>
        </w:rPr>
        <w:t xml:space="preserve"> does not take into account the cash flows beyond the payback level.</w:t>
      </w:r>
    </w:p>
    <w:p w14:paraId="16D375B9" w14:textId="77777777" w:rsidR="00F13288" w:rsidRPr="001864BC" w:rsidRDefault="00F13288" w:rsidP="00F13288">
      <w:pPr>
        <w:rPr>
          <w:rFonts w:cs="Times New Roman"/>
          <w:szCs w:val="24"/>
        </w:rPr>
      </w:pPr>
      <w:r w:rsidRPr="001864BC">
        <w:rPr>
          <w:rFonts w:cs="Times New Roman"/>
          <w:szCs w:val="24"/>
        </w:rPr>
        <w:t>Thirdly, the NPV is based on cash flows instead of the accounting profits</w:t>
      </w:r>
      <w:r>
        <w:rPr>
          <w:rFonts w:cs="Times New Roman"/>
          <w:szCs w:val="24"/>
        </w:rPr>
        <w:t>,</w:t>
      </w:r>
      <w:r w:rsidRPr="001864BC">
        <w:rPr>
          <w:rFonts w:cs="Times New Roman"/>
          <w:szCs w:val="24"/>
        </w:rPr>
        <w:t xml:space="preserve"> and this eliminates any sort of distortions due to the depreciation approach or accounting policies.</w:t>
      </w:r>
    </w:p>
    <w:p w14:paraId="4957E7B0" w14:textId="77777777" w:rsidR="00F13288" w:rsidRPr="00FE2F0B" w:rsidRDefault="00F13288" w:rsidP="00F13288">
      <w:pPr>
        <w:rPr>
          <w:rFonts w:cs="Times New Roman"/>
          <w:szCs w:val="24"/>
        </w:rPr>
      </w:pPr>
      <w:r w:rsidRPr="001864BC">
        <w:rPr>
          <w:rFonts w:cs="Times New Roman"/>
          <w:szCs w:val="24"/>
        </w:rPr>
        <w:t xml:space="preserve">Lastly, NPV enables adjustment of risk by changing the discount rate produced, or by examination of </w:t>
      </w:r>
      <w:r>
        <w:rPr>
          <w:rFonts w:cs="Times New Roman"/>
          <w:szCs w:val="24"/>
        </w:rPr>
        <w:t xml:space="preserve">a </w:t>
      </w:r>
      <w:r w:rsidRPr="001864BC">
        <w:rPr>
          <w:rFonts w:cs="Times New Roman"/>
          <w:szCs w:val="24"/>
        </w:rPr>
        <w:t>scenario</w:t>
      </w:r>
      <w:r w:rsidR="00B50A2A">
        <w:rPr>
          <w:rFonts w:cs="Times New Roman"/>
          <w:szCs w:val="24"/>
        </w:rPr>
        <w:t xml:space="preserve"> </w:t>
      </w:r>
      <w:r w:rsidR="00B50A2A">
        <w:t>(Harrison and Lock, 2017)</w:t>
      </w:r>
      <w:r w:rsidRPr="001864BC">
        <w:rPr>
          <w:rFonts w:cs="Times New Roman"/>
          <w:szCs w:val="24"/>
        </w:rPr>
        <w:t xml:space="preserve">. It is on these grounds that NPV is said to be more suitable </w:t>
      </w:r>
      <w:r>
        <w:rPr>
          <w:rFonts w:cs="Times New Roman"/>
          <w:szCs w:val="24"/>
        </w:rPr>
        <w:t>for</w:t>
      </w:r>
      <w:r w:rsidRPr="001864BC">
        <w:rPr>
          <w:rFonts w:cs="Times New Roman"/>
          <w:szCs w:val="24"/>
        </w:rPr>
        <w:t xml:space="preserve"> </w:t>
      </w:r>
      <w:r>
        <w:rPr>
          <w:rFonts w:cs="Times New Roman"/>
          <w:szCs w:val="24"/>
        </w:rPr>
        <w:t>long-term strategic decision-making in investments.</w:t>
      </w:r>
    </w:p>
    <w:p w14:paraId="4C602E97" w14:textId="77777777" w:rsidR="00F13288" w:rsidRDefault="00F13288" w:rsidP="00F13288">
      <w:pPr>
        <w:pStyle w:val="Heading2"/>
      </w:pPr>
      <w:bookmarkStart w:id="22" w:name="_Toc222786325"/>
      <w:r>
        <w:t>Continued Popularity of Non-Discounting Methods</w:t>
      </w:r>
      <w:bookmarkEnd w:id="22"/>
    </w:p>
    <w:p w14:paraId="20E84706" w14:textId="77777777" w:rsidR="00F13288" w:rsidRPr="001864BC" w:rsidRDefault="00F13288" w:rsidP="00F13288">
      <w:pPr>
        <w:rPr>
          <w:rFonts w:cs="Times New Roman"/>
          <w:szCs w:val="24"/>
        </w:rPr>
      </w:pPr>
      <w:r w:rsidRPr="001864BC">
        <w:rPr>
          <w:rFonts w:cs="Times New Roman"/>
          <w:szCs w:val="24"/>
        </w:rPr>
        <w:t>Non-discounting techniques, including the payback period, Accounting Rate of Return (ARR)</w:t>
      </w:r>
      <w:r>
        <w:rPr>
          <w:rFonts w:cs="Times New Roman"/>
          <w:szCs w:val="24"/>
        </w:rPr>
        <w:t>,</w:t>
      </w:r>
      <w:r w:rsidRPr="001864BC">
        <w:rPr>
          <w:rFonts w:cs="Times New Roman"/>
          <w:szCs w:val="24"/>
        </w:rPr>
        <w:t xml:space="preserve"> remain widely used in practise even though NPV would be theoretically superior.</w:t>
      </w:r>
    </w:p>
    <w:p w14:paraId="09F987CD" w14:textId="77777777" w:rsidR="00F13288" w:rsidRPr="001864BC" w:rsidRDefault="00F13288" w:rsidP="00F13288">
      <w:pPr>
        <w:rPr>
          <w:rFonts w:cs="Times New Roman"/>
          <w:szCs w:val="24"/>
        </w:rPr>
      </w:pPr>
      <w:r w:rsidRPr="001864BC">
        <w:rPr>
          <w:rFonts w:cs="Times New Roman"/>
          <w:szCs w:val="24"/>
        </w:rPr>
        <w:t>Payback period is not only easy to calculate but also easy to express. It targets the money and immediate investment recovery that can be quite appeal-infected in the unpredictable business climate</w:t>
      </w:r>
      <w:r w:rsidR="00B50A2A">
        <w:rPr>
          <w:rFonts w:cs="Times New Roman"/>
          <w:szCs w:val="24"/>
        </w:rPr>
        <w:t xml:space="preserve"> </w:t>
      </w:r>
      <w:r w:rsidR="00B50A2A">
        <w:t>(Trigeorgis and Reuer, 2017)</w:t>
      </w:r>
      <w:r w:rsidRPr="001864BC">
        <w:rPr>
          <w:rFonts w:cs="Times New Roman"/>
          <w:szCs w:val="24"/>
        </w:rPr>
        <w:t>.</w:t>
      </w:r>
    </w:p>
    <w:p w14:paraId="44DB760D" w14:textId="77777777" w:rsidR="00F13288" w:rsidRPr="001864BC" w:rsidRDefault="00F13288" w:rsidP="00F13288">
      <w:pPr>
        <w:rPr>
          <w:rFonts w:cs="Times New Roman"/>
          <w:szCs w:val="24"/>
        </w:rPr>
      </w:pPr>
      <w:r w:rsidRPr="001864BC">
        <w:rPr>
          <w:rFonts w:cs="Times New Roman"/>
          <w:szCs w:val="24"/>
        </w:rPr>
        <w:t>ARR also aligns with the accounting performance measures</w:t>
      </w:r>
      <w:r>
        <w:rPr>
          <w:rFonts w:cs="Times New Roman"/>
          <w:szCs w:val="24"/>
        </w:rPr>
        <w:t>,</w:t>
      </w:r>
      <w:r w:rsidRPr="001864BC">
        <w:rPr>
          <w:rFonts w:cs="Times New Roman"/>
          <w:szCs w:val="24"/>
        </w:rPr>
        <w:t xml:space="preserve"> and the returns are expressed in percentage and hence are easily understandable by the managers who have become used to financial ratios.</w:t>
      </w:r>
    </w:p>
    <w:p w14:paraId="324C9B81" w14:textId="77777777" w:rsidR="00F13288" w:rsidRPr="00FE2F0B" w:rsidRDefault="00F13288" w:rsidP="00F13288">
      <w:pPr>
        <w:rPr>
          <w:rFonts w:cs="Times New Roman"/>
          <w:szCs w:val="24"/>
        </w:rPr>
      </w:pPr>
      <w:r w:rsidRPr="001864BC">
        <w:rPr>
          <w:rFonts w:cs="Times New Roman"/>
          <w:szCs w:val="24"/>
        </w:rPr>
        <w:t xml:space="preserve">It also possesses the element of behaviour. </w:t>
      </w:r>
      <w:r>
        <w:rPr>
          <w:rFonts w:cs="Times New Roman"/>
          <w:szCs w:val="24"/>
        </w:rPr>
        <w:t>Departmental</w:t>
      </w:r>
      <w:r w:rsidRPr="001864BC">
        <w:rPr>
          <w:rFonts w:cs="Times New Roman"/>
          <w:szCs w:val="24"/>
        </w:rPr>
        <w:t xml:space="preserve"> communication is also a widely used communication tool among the decision-makers, who prefer to use easy tools. The hypothesis and practicability have led to </w:t>
      </w:r>
      <w:r>
        <w:rPr>
          <w:rFonts w:cs="Times New Roman"/>
          <w:szCs w:val="24"/>
        </w:rPr>
        <w:t xml:space="preserve">the </w:t>
      </w:r>
      <w:r w:rsidRPr="001864BC">
        <w:rPr>
          <w:rFonts w:cs="Times New Roman"/>
          <w:szCs w:val="24"/>
        </w:rPr>
        <w:t>embracing of various appraisal methods in most organisations in a bid to st</w:t>
      </w:r>
      <w:r>
        <w:rPr>
          <w:rFonts w:cs="Times New Roman"/>
          <w:szCs w:val="24"/>
        </w:rPr>
        <w:t>rike a balance between the two.</w:t>
      </w:r>
    </w:p>
    <w:p w14:paraId="3FF661FB" w14:textId="77777777" w:rsidR="00F13288" w:rsidRDefault="00F13288" w:rsidP="00F13288">
      <w:pPr>
        <w:pStyle w:val="Heading2"/>
      </w:pPr>
      <w:bookmarkStart w:id="23" w:name="_Toc222786326"/>
      <w:r>
        <w:lastRenderedPageBreak/>
        <w:t>Other Factors to Consider Before an Investment Decision</w:t>
      </w:r>
      <w:bookmarkEnd w:id="23"/>
    </w:p>
    <w:p w14:paraId="6A19A3E9" w14:textId="77777777" w:rsidR="00F13288" w:rsidRPr="001864BC" w:rsidRDefault="00F13288" w:rsidP="00F13288">
      <w:pPr>
        <w:rPr>
          <w:rFonts w:cs="Times New Roman"/>
          <w:szCs w:val="24"/>
        </w:rPr>
      </w:pPr>
      <w:r w:rsidRPr="001864BC">
        <w:rPr>
          <w:rFonts w:cs="Times New Roman"/>
          <w:szCs w:val="24"/>
        </w:rPr>
        <w:t>The final investment decision should not be made using financial measures. It should possess strategic alignment. The latter is Alternative B, which corresponds to the trends of the digital transformation and the alteration of consumer buying behaviour</w:t>
      </w:r>
      <w:r w:rsidR="00B50A2A">
        <w:rPr>
          <w:rFonts w:cs="Times New Roman"/>
          <w:szCs w:val="24"/>
        </w:rPr>
        <w:t xml:space="preserve"> </w:t>
      </w:r>
      <w:r w:rsidR="00B50A2A">
        <w:t>(Brigham, 2016)</w:t>
      </w:r>
      <w:r w:rsidRPr="001864BC">
        <w:rPr>
          <w:rFonts w:cs="Times New Roman"/>
          <w:szCs w:val="24"/>
        </w:rPr>
        <w:t xml:space="preserve">. Nonetheless, the level of competition within the Internet market is high and digital marketing and logistics </w:t>
      </w:r>
      <w:r>
        <w:rPr>
          <w:rFonts w:cs="Times New Roman"/>
          <w:szCs w:val="24"/>
        </w:rPr>
        <w:t>are</w:t>
      </w:r>
      <w:r w:rsidRPr="001864BC">
        <w:rPr>
          <w:rFonts w:cs="Times New Roman"/>
          <w:szCs w:val="24"/>
        </w:rPr>
        <w:t xml:space="preserve"> needed.</w:t>
      </w:r>
    </w:p>
    <w:p w14:paraId="74B217A7" w14:textId="77777777" w:rsidR="00F13288" w:rsidRPr="001864BC" w:rsidRDefault="00F13288" w:rsidP="00F13288">
      <w:pPr>
        <w:rPr>
          <w:rFonts w:cs="Times New Roman"/>
          <w:szCs w:val="24"/>
        </w:rPr>
      </w:pPr>
      <w:r w:rsidRPr="001864BC">
        <w:rPr>
          <w:rFonts w:cs="Times New Roman"/>
          <w:szCs w:val="24"/>
        </w:rPr>
        <w:t xml:space="preserve">The negative aspect of core product lines is that </w:t>
      </w:r>
      <w:r>
        <w:rPr>
          <w:rFonts w:cs="Times New Roman"/>
          <w:szCs w:val="24"/>
        </w:rPr>
        <w:t>they are diversified, and therefore, they might not rely</w:t>
      </w:r>
      <w:r w:rsidRPr="001864BC">
        <w:rPr>
          <w:rFonts w:cs="Times New Roman"/>
          <w:szCs w:val="24"/>
        </w:rPr>
        <w:t xml:space="preserve"> significantly on core product lines. Diversification</w:t>
      </w:r>
      <w:r>
        <w:rPr>
          <w:rFonts w:cs="Times New Roman"/>
          <w:szCs w:val="24"/>
        </w:rPr>
        <w:t>, however,</w:t>
      </w:r>
      <w:r w:rsidRPr="001864BC">
        <w:rPr>
          <w:rFonts w:cs="Times New Roman"/>
          <w:szCs w:val="24"/>
        </w:rPr>
        <w:t xml:space="preserve"> is dangerous in the complexity of operation domains of work, positioning of the brand and the change of supply chains.</w:t>
      </w:r>
    </w:p>
    <w:p w14:paraId="6F426517" w14:textId="77777777" w:rsidR="00F13288" w:rsidRPr="001864BC" w:rsidRDefault="00F13288" w:rsidP="00F13288">
      <w:pPr>
        <w:rPr>
          <w:rFonts w:cs="Times New Roman"/>
          <w:szCs w:val="24"/>
        </w:rPr>
      </w:pPr>
      <w:r w:rsidRPr="001864BC">
        <w:rPr>
          <w:rFonts w:cs="Times New Roman"/>
          <w:szCs w:val="24"/>
        </w:rPr>
        <w:t xml:space="preserve">The environmental sustainability could be the responsible sourcing of materials and the </w:t>
      </w:r>
      <w:r>
        <w:rPr>
          <w:rFonts w:cs="Times New Roman"/>
          <w:szCs w:val="24"/>
        </w:rPr>
        <w:t>minimisation of packaging waste,</w:t>
      </w:r>
      <w:r w:rsidRPr="001864BC">
        <w:rPr>
          <w:rFonts w:cs="Times New Roman"/>
          <w:szCs w:val="24"/>
        </w:rPr>
        <w:t xml:space="preserve"> among other issues that can impact the brand perception and compliance with the regulations</w:t>
      </w:r>
      <w:r w:rsidR="00B50A2A">
        <w:rPr>
          <w:rFonts w:cs="Times New Roman"/>
          <w:szCs w:val="24"/>
        </w:rPr>
        <w:t xml:space="preserve"> </w:t>
      </w:r>
      <w:r w:rsidR="00B50A2A">
        <w:t>(Musah, Gakpetor and Pomaa, 2018)</w:t>
      </w:r>
      <w:r w:rsidRPr="001864BC">
        <w:rPr>
          <w:rFonts w:cs="Times New Roman"/>
          <w:szCs w:val="24"/>
        </w:rPr>
        <w:t>.</w:t>
      </w:r>
    </w:p>
    <w:p w14:paraId="612D1445" w14:textId="77777777" w:rsidR="00F13288" w:rsidRPr="001864BC" w:rsidRDefault="00F13288" w:rsidP="00F13288">
      <w:pPr>
        <w:rPr>
          <w:rFonts w:cs="Times New Roman"/>
          <w:szCs w:val="24"/>
        </w:rPr>
      </w:pPr>
      <w:r w:rsidRPr="001864BC">
        <w:rPr>
          <w:rFonts w:cs="Times New Roman"/>
          <w:szCs w:val="24"/>
        </w:rPr>
        <w:t xml:space="preserve">The projected cash flows may be influenced by macroeconomics (inflation and changes in the interest rate). It is thus the answer to finding out the effects of </w:t>
      </w:r>
      <w:r>
        <w:rPr>
          <w:rFonts w:cs="Times New Roman"/>
          <w:szCs w:val="24"/>
        </w:rPr>
        <w:t>unfavourable</w:t>
      </w:r>
      <w:r w:rsidRPr="001864BC">
        <w:rPr>
          <w:rFonts w:cs="Times New Roman"/>
          <w:szCs w:val="24"/>
        </w:rPr>
        <w:t xml:space="preserve"> situations using sensitivity analysis.</w:t>
      </w:r>
    </w:p>
    <w:p w14:paraId="196F9115" w14:textId="77777777" w:rsidR="00F13288" w:rsidRPr="00FE2F0B" w:rsidRDefault="00F13288" w:rsidP="00F13288">
      <w:pPr>
        <w:rPr>
          <w:rFonts w:cs="Times New Roman"/>
          <w:szCs w:val="24"/>
        </w:rPr>
      </w:pPr>
      <w:r w:rsidRPr="001864BC">
        <w:rPr>
          <w:rFonts w:cs="Times New Roman"/>
          <w:szCs w:val="24"/>
        </w:rPr>
        <w:t>The strategy adopted must also be complemented with technological readiness, management competence and organisational culture to b</w:t>
      </w:r>
      <w:r>
        <w:rPr>
          <w:rFonts w:cs="Times New Roman"/>
          <w:szCs w:val="24"/>
        </w:rPr>
        <w:t>e successful in implementation.</w:t>
      </w:r>
    </w:p>
    <w:p w14:paraId="681D8953" w14:textId="77777777" w:rsidR="00F13288" w:rsidRDefault="00F13288" w:rsidP="00F13288">
      <w:pPr>
        <w:pStyle w:val="Heading2"/>
      </w:pPr>
      <w:bookmarkStart w:id="24" w:name="_Toc222786327"/>
      <w:r>
        <w:t>Optimal Investment Policy Under Capital Rationing (£1,500,000 Limit, Divisible Projects)</w:t>
      </w:r>
      <w:bookmarkEnd w:id="24"/>
    </w:p>
    <w:p w14:paraId="502A25EB" w14:textId="77777777" w:rsidR="00F13288" w:rsidRPr="001864BC" w:rsidRDefault="00F13288" w:rsidP="00F13288">
      <w:pPr>
        <w:rPr>
          <w:rFonts w:cs="Times New Roman"/>
          <w:szCs w:val="24"/>
        </w:rPr>
      </w:pPr>
      <w:r w:rsidRPr="001864BC">
        <w:rPr>
          <w:rFonts w:cs="Times New Roman"/>
          <w:szCs w:val="24"/>
        </w:rPr>
        <w:t>Since capital amount of 1,500,000 pounds is the constraint to the capital in the case of Beard Plc that the project is divisible the amount of funds should be distributed in such a way that maximises the NPV.</w:t>
      </w:r>
    </w:p>
    <w:p w14:paraId="7BFD905E" w14:textId="77777777" w:rsidR="00F13288" w:rsidRPr="001864BC" w:rsidRDefault="00F13288" w:rsidP="00F13288">
      <w:pPr>
        <w:rPr>
          <w:rFonts w:cs="Times New Roman"/>
          <w:szCs w:val="24"/>
        </w:rPr>
      </w:pPr>
      <w:r w:rsidRPr="001864BC">
        <w:rPr>
          <w:rFonts w:cs="Times New Roman"/>
          <w:szCs w:val="24"/>
        </w:rPr>
        <w:t>It should be adopted using option B in the fully funded (£900,000)</w:t>
      </w:r>
      <w:r>
        <w:rPr>
          <w:rFonts w:cs="Times New Roman"/>
          <w:szCs w:val="24"/>
        </w:rPr>
        <w:t>,</w:t>
      </w:r>
      <w:r w:rsidRPr="001864BC">
        <w:rPr>
          <w:rFonts w:cs="Times New Roman"/>
          <w:szCs w:val="24"/>
        </w:rPr>
        <w:t xml:space="preserve"> due to its highest contribution towards NPV. The balance value of money is </w:t>
      </w:r>
      <w:r>
        <w:rPr>
          <w:rFonts w:cs="Times New Roman"/>
          <w:szCs w:val="24"/>
        </w:rPr>
        <w:t>in the form of Option A,</w:t>
      </w:r>
      <w:r w:rsidRPr="001864BC">
        <w:rPr>
          <w:rFonts w:cs="Times New Roman"/>
          <w:szCs w:val="24"/>
        </w:rPr>
        <w:t xml:space="preserve"> where the balance amount of £600,000 could be used. This is precisely the combination </w:t>
      </w:r>
      <w:r>
        <w:rPr>
          <w:rFonts w:cs="Times New Roman"/>
          <w:szCs w:val="24"/>
        </w:rPr>
        <w:t>in which the capital limit is employed and results in a higher aggregate NPV than would result from</w:t>
      </w:r>
      <w:r w:rsidRPr="001864BC">
        <w:rPr>
          <w:rFonts w:cs="Times New Roman"/>
          <w:szCs w:val="24"/>
        </w:rPr>
        <w:t xml:space="preserve"> the alternative of Option C or any other combination.</w:t>
      </w:r>
    </w:p>
    <w:p w14:paraId="49986AD9" w14:textId="77777777" w:rsidR="00F13288" w:rsidRPr="00FE2F0B" w:rsidRDefault="00F13288" w:rsidP="00F13288">
      <w:pPr>
        <w:rPr>
          <w:rFonts w:cs="Times New Roman"/>
          <w:szCs w:val="24"/>
        </w:rPr>
      </w:pPr>
      <w:r w:rsidRPr="001864BC">
        <w:rPr>
          <w:rFonts w:cs="Times New Roman"/>
          <w:szCs w:val="24"/>
        </w:rPr>
        <w:t xml:space="preserve">This will offer the best allocation of resources not only in the rationing of the capital but also </w:t>
      </w:r>
      <w:r>
        <w:rPr>
          <w:rFonts w:cs="Times New Roman"/>
          <w:szCs w:val="24"/>
        </w:rPr>
        <w:t xml:space="preserve">in the </w:t>
      </w:r>
      <w:r w:rsidRPr="001864BC">
        <w:rPr>
          <w:rFonts w:cs="Times New Roman"/>
          <w:szCs w:val="24"/>
        </w:rPr>
        <w:t>maximisa</w:t>
      </w:r>
      <w:r>
        <w:rPr>
          <w:rFonts w:cs="Times New Roman"/>
          <w:szCs w:val="24"/>
        </w:rPr>
        <w:t>tion of the shareholder wealth.</w:t>
      </w:r>
    </w:p>
    <w:p w14:paraId="7747D4AE" w14:textId="77777777" w:rsidR="00F13288" w:rsidRDefault="00F13288" w:rsidP="00F13288">
      <w:pPr>
        <w:pStyle w:val="Heading2"/>
      </w:pPr>
      <w:bookmarkStart w:id="25" w:name="_Toc222786328"/>
      <w:r>
        <w:lastRenderedPageBreak/>
        <w:t>Financing the Investment Programme</w:t>
      </w:r>
      <w:bookmarkEnd w:id="25"/>
    </w:p>
    <w:p w14:paraId="19B70CDA" w14:textId="77777777" w:rsidR="00F13288" w:rsidRPr="001864BC" w:rsidRDefault="00F13288" w:rsidP="00F13288">
      <w:pPr>
        <w:rPr>
          <w:rFonts w:cs="Times New Roman"/>
          <w:szCs w:val="24"/>
        </w:rPr>
      </w:pPr>
      <w:r w:rsidRPr="001864BC">
        <w:rPr>
          <w:rFonts w:cs="Times New Roman"/>
          <w:szCs w:val="24"/>
        </w:rPr>
        <w:t xml:space="preserve">Financing </w:t>
      </w:r>
      <w:r>
        <w:rPr>
          <w:rFonts w:cs="Times New Roman"/>
          <w:szCs w:val="24"/>
        </w:rPr>
        <w:t>requirements will vary between 900000 and 1500000,</w:t>
      </w:r>
      <w:r w:rsidRPr="001864BC">
        <w:rPr>
          <w:rFonts w:cs="Times New Roman"/>
          <w:szCs w:val="24"/>
        </w:rPr>
        <w:t xml:space="preserve"> depending on the combination taken. It has a number of sources of financing.</w:t>
      </w:r>
    </w:p>
    <w:p w14:paraId="1E74C191" w14:textId="77777777" w:rsidR="00F13288" w:rsidRPr="001864BC" w:rsidRDefault="00F13288" w:rsidP="00F13288">
      <w:pPr>
        <w:rPr>
          <w:rFonts w:cs="Times New Roman"/>
          <w:szCs w:val="24"/>
        </w:rPr>
      </w:pPr>
      <w:r w:rsidRPr="001864BC">
        <w:rPr>
          <w:rFonts w:cs="Times New Roman"/>
          <w:szCs w:val="24"/>
        </w:rPr>
        <w:t xml:space="preserve">The retained earnings </w:t>
      </w:r>
      <w:r>
        <w:rPr>
          <w:rFonts w:cs="Times New Roman"/>
          <w:szCs w:val="24"/>
        </w:rPr>
        <w:t>are the cheapest source of funds, as there will be no payment of interest</w:t>
      </w:r>
      <w:r w:rsidRPr="001864BC">
        <w:rPr>
          <w:rFonts w:cs="Times New Roman"/>
          <w:szCs w:val="24"/>
        </w:rPr>
        <w:t xml:space="preserve"> </w:t>
      </w:r>
      <w:r>
        <w:rPr>
          <w:rFonts w:cs="Times New Roman"/>
          <w:szCs w:val="24"/>
        </w:rPr>
        <w:t>or</w:t>
      </w:r>
      <w:r w:rsidRPr="001864BC">
        <w:rPr>
          <w:rFonts w:cs="Times New Roman"/>
          <w:szCs w:val="24"/>
        </w:rPr>
        <w:t xml:space="preserve"> dilution of the funds. Bank loans enjoy tax beneficial interests on loans</w:t>
      </w:r>
      <w:r>
        <w:rPr>
          <w:rFonts w:cs="Times New Roman"/>
          <w:szCs w:val="24"/>
        </w:rPr>
        <w:t>,</w:t>
      </w:r>
      <w:r w:rsidRPr="001864BC">
        <w:rPr>
          <w:rFonts w:cs="Times New Roman"/>
          <w:szCs w:val="24"/>
        </w:rPr>
        <w:t xml:space="preserve"> but are risky with regard to the financial liability since the loan must be repaid regardless of the circumstances.</w:t>
      </w:r>
    </w:p>
    <w:p w14:paraId="00329E43" w14:textId="77777777" w:rsidR="00F13288" w:rsidRPr="001864BC" w:rsidRDefault="00F13288" w:rsidP="00F13288">
      <w:pPr>
        <w:rPr>
          <w:rFonts w:cs="Times New Roman"/>
          <w:szCs w:val="24"/>
        </w:rPr>
      </w:pPr>
      <w:r w:rsidRPr="001864BC">
        <w:rPr>
          <w:rFonts w:cs="Times New Roman"/>
          <w:szCs w:val="24"/>
        </w:rPr>
        <w:t xml:space="preserve">Equity financing creates </w:t>
      </w:r>
      <w:r>
        <w:rPr>
          <w:rFonts w:cs="Times New Roman"/>
          <w:szCs w:val="24"/>
        </w:rPr>
        <w:t>long-term</w:t>
      </w:r>
      <w:r w:rsidRPr="001864BC">
        <w:rPr>
          <w:rFonts w:cs="Times New Roman"/>
          <w:szCs w:val="24"/>
        </w:rPr>
        <w:t xml:space="preserve"> capital and would most probably dilute shareholders. The liquidity may also be maintained by leasing or hiring purchase facilities</w:t>
      </w:r>
      <w:r>
        <w:rPr>
          <w:rFonts w:cs="Times New Roman"/>
          <w:szCs w:val="24"/>
        </w:rPr>
        <w:t>,</w:t>
      </w:r>
      <w:r w:rsidRPr="001864BC">
        <w:rPr>
          <w:rFonts w:cs="Times New Roman"/>
          <w:szCs w:val="24"/>
        </w:rPr>
        <w:t xml:space="preserve"> which may lead to increased costs in the long term.</w:t>
      </w:r>
    </w:p>
    <w:p w14:paraId="30EE27DD" w14:textId="425146B9" w:rsidR="00F13288" w:rsidRPr="001864BC" w:rsidRDefault="00F13288" w:rsidP="00F13288">
      <w:pPr>
        <w:rPr>
          <w:rFonts w:cs="Times New Roman"/>
          <w:szCs w:val="24"/>
        </w:rPr>
      </w:pPr>
      <w:r w:rsidRPr="001864BC">
        <w:rPr>
          <w:rFonts w:cs="Times New Roman"/>
          <w:szCs w:val="24"/>
        </w:rPr>
        <w:t>It is advisable to use the mixed financing plan. The amount of retained earnings at their disposal ought to be used by Beard Plc</w:t>
      </w:r>
      <w:r w:rsidR="00182655">
        <w:rPr>
          <w:rFonts w:cs="Times New Roman"/>
          <w:szCs w:val="24"/>
        </w:rPr>
        <w:t>,</w:t>
      </w:r>
      <w:r w:rsidRPr="001864BC">
        <w:rPr>
          <w:rFonts w:cs="Times New Roman"/>
          <w:szCs w:val="24"/>
        </w:rPr>
        <w:t xml:space="preserve"> principally accompanied by an intermediate amount of bank borrowing </w:t>
      </w:r>
      <w:r w:rsidR="00182655">
        <w:rPr>
          <w:rFonts w:cs="Times New Roman"/>
          <w:szCs w:val="24"/>
        </w:rPr>
        <w:t>to</w:t>
      </w:r>
      <w:r w:rsidRPr="001864BC">
        <w:rPr>
          <w:rFonts w:cs="Times New Roman"/>
          <w:szCs w:val="24"/>
        </w:rPr>
        <w:t xml:space="preserve"> exploit tax shields and, at the same time, keep the levels of gearing within manageable limits. The overuse of equity that will lead to dilution of ownership should not be applied.</w:t>
      </w:r>
    </w:p>
    <w:p w14:paraId="3B7C139E" w14:textId="77777777" w:rsidR="00F13288" w:rsidRPr="001864BC" w:rsidRDefault="00F13288" w:rsidP="00F13288">
      <w:pPr>
        <w:rPr>
          <w:rFonts w:cs="Times New Roman"/>
          <w:szCs w:val="24"/>
        </w:rPr>
      </w:pPr>
      <w:r w:rsidRPr="001864BC">
        <w:rPr>
          <w:rFonts w:cs="Times New Roman"/>
          <w:szCs w:val="24"/>
        </w:rPr>
        <w:t>The general study of the investment appraisal indicates that the NPVs of the three projects are positive</w:t>
      </w:r>
      <w:r>
        <w:rPr>
          <w:rFonts w:cs="Times New Roman"/>
          <w:szCs w:val="24"/>
        </w:rPr>
        <w:t>; therefore, we</w:t>
      </w:r>
      <w:r w:rsidRPr="001864BC">
        <w:rPr>
          <w:rFonts w:cs="Times New Roman"/>
          <w:szCs w:val="24"/>
        </w:rPr>
        <w:t xml:space="preserve"> regard them as viable. Nevertheless, Alternative B</w:t>
      </w:r>
      <w:r>
        <w:rPr>
          <w:rFonts w:cs="Times New Roman"/>
          <w:szCs w:val="24"/>
        </w:rPr>
        <w:t xml:space="preserve">, which incorporates the creation of an online sales platform, has the best NPV and a specific degree of IRR </w:t>
      </w:r>
      <w:r w:rsidRPr="001864BC">
        <w:rPr>
          <w:rFonts w:cs="Times New Roman"/>
          <w:szCs w:val="24"/>
        </w:rPr>
        <w:t>over the cost of capital.</w:t>
      </w:r>
    </w:p>
    <w:p w14:paraId="22095D75" w14:textId="124EFA9F" w:rsidR="00F13288" w:rsidRPr="001864BC" w:rsidRDefault="00F13288" w:rsidP="00F13288">
      <w:pPr>
        <w:rPr>
          <w:rFonts w:cs="Times New Roman"/>
          <w:szCs w:val="24"/>
        </w:rPr>
      </w:pPr>
      <w:r w:rsidRPr="001864BC">
        <w:rPr>
          <w:rFonts w:cs="Times New Roman"/>
          <w:szCs w:val="24"/>
        </w:rPr>
        <w:t xml:space="preserve">The project is not only maximising the shareholder wealth, but </w:t>
      </w:r>
      <w:r>
        <w:rPr>
          <w:rFonts w:cs="Times New Roman"/>
          <w:szCs w:val="24"/>
        </w:rPr>
        <w:t xml:space="preserve">it is also strategically aligned to the trends of the </w:t>
      </w:r>
      <w:r w:rsidRPr="001864BC">
        <w:rPr>
          <w:rFonts w:cs="Times New Roman"/>
          <w:szCs w:val="24"/>
        </w:rPr>
        <w:t xml:space="preserve">digital market explosion. Although the financial indicators are quite convincing according to </w:t>
      </w:r>
      <w:r>
        <w:rPr>
          <w:rFonts w:cs="Times New Roman"/>
          <w:szCs w:val="24"/>
        </w:rPr>
        <w:t xml:space="preserve">option B, the management needs to negotiate about such points as operational preparedness, market rivalry and strategic alignment </w:t>
      </w:r>
      <w:r w:rsidR="00182655">
        <w:rPr>
          <w:rFonts w:cs="Times New Roman"/>
          <w:szCs w:val="24"/>
        </w:rPr>
        <w:t>before</w:t>
      </w:r>
      <w:r>
        <w:rPr>
          <w:rFonts w:cs="Times New Roman"/>
          <w:szCs w:val="24"/>
        </w:rPr>
        <w:t xml:space="preserve"> </w:t>
      </w:r>
      <w:r w:rsidRPr="001864BC">
        <w:rPr>
          <w:rFonts w:cs="Times New Roman"/>
          <w:szCs w:val="24"/>
        </w:rPr>
        <w:t>finalisation.</w:t>
      </w:r>
    </w:p>
    <w:p w14:paraId="5C5308CD" w14:textId="77777777" w:rsidR="00F13288" w:rsidRPr="00FE2F0B" w:rsidRDefault="00F13288" w:rsidP="00F13288">
      <w:pPr>
        <w:rPr>
          <w:rFonts w:cs="Times New Roman"/>
          <w:szCs w:val="24"/>
        </w:rPr>
      </w:pPr>
      <w:r w:rsidRPr="001864BC">
        <w:rPr>
          <w:rFonts w:cs="Times New Roman"/>
          <w:szCs w:val="24"/>
        </w:rPr>
        <w:t>Only a rigorous examination of the financial position</w:t>
      </w:r>
      <w:r>
        <w:rPr>
          <w:rFonts w:cs="Times New Roman"/>
          <w:szCs w:val="24"/>
        </w:rPr>
        <w:t>, a careful analysis of the strategic position,</w:t>
      </w:r>
      <w:r w:rsidRPr="001864BC">
        <w:rPr>
          <w:rFonts w:cs="Times New Roman"/>
          <w:szCs w:val="24"/>
        </w:rPr>
        <w:t xml:space="preserve"> and an adept decision on financing will enable Beard Plc to increase its future profitability rates and subsequently attain sus</w:t>
      </w:r>
      <w:r>
        <w:rPr>
          <w:rFonts w:cs="Times New Roman"/>
          <w:szCs w:val="24"/>
        </w:rPr>
        <w:t>tainable competitive advantage.</w:t>
      </w:r>
    </w:p>
    <w:p w14:paraId="78857C42" w14:textId="77777777" w:rsidR="00B50A2A" w:rsidRDefault="00B50A2A">
      <w:pPr>
        <w:spacing w:line="259" w:lineRule="auto"/>
        <w:jc w:val="left"/>
        <w:rPr>
          <w:b/>
          <w:color w:val="2E75B5"/>
          <w:sz w:val="28"/>
          <w:szCs w:val="26"/>
        </w:rPr>
      </w:pPr>
      <w:r>
        <w:br w:type="page"/>
      </w:r>
    </w:p>
    <w:p w14:paraId="33FCDD5F" w14:textId="77777777" w:rsidR="00F13288" w:rsidRDefault="00F13288" w:rsidP="00B50A2A">
      <w:pPr>
        <w:pStyle w:val="Heading1"/>
      </w:pPr>
      <w:bookmarkStart w:id="26" w:name="_Toc222786329"/>
      <w:r>
        <w:lastRenderedPageBreak/>
        <w:t>Conclusion</w:t>
      </w:r>
      <w:bookmarkEnd w:id="26"/>
    </w:p>
    <w:p w14:paraId="06C566D9" w14:textId="77777777" w:rsidR="00F13288" w:rsidRPr="001864BC" w:rsidRDefault="00F13288" w:rsidP="00F13288">
      <w:pPr>
        <w:rPr>
          <w:rFonts w:cs="Times New Roman"/>
          <w:szCs w:val="24"/>
        </w:rPr>
      </w:pPr>
      <w:r w:rsidRPr="001864BC">
        <w:rPr>
          <w:rFonts w:cs="Times New Roman"/>
          <w:szCs w:val="24"/>
        </w:rPr>
        <w:t xml:space="preserve">The investment appraisal indicates that all </w:t>
      </w:r>
      <w:r>
        <w:rPr>
          <w:rFonts w:cs="Times New Roman"/>
          <w:szCs w:val="24"/>
        </w:rPr>
        <w:t>three projects are viable financially as they have a positive NPV at the cost of capital of 5 per cent</w:t>
      </w:r>
      <w:r w:rsidRPr="001864BC">
        <w:rPr>
          <w:rFonts w:cs="Times New Roman"/>
          <w:szCs w:val="24"/>
        </w:rPr>
        <w:t xml:space="preserve">. Online sales expansion, however, denoted B, is the </w:t>
      </w:r>
      <w:r>
        <w:rPr>
          <w:rFonts w:cs="Times New Roman"/>
          <w:szCs w:val="24"/>
        </w:rPr>
        <w:t>value-added</w:t>
      </w:r>
      <w:r w:rsidRPr="001864BC">
        <w:rPr>
          <w:rFonts w:cs="Times New Roman"/>
          <w:szCs w:val="24"/>
        </w:rPr>
        <w:t xml:space="preserve"> option as it has the highest NPV, good IRR, which is much higher than the required rate of return. A mixture of B and A is the most suitable way of </w:t>
      </w:r>
      <w:r>
        <w:rPr>
          <w:rFonts w:cs="Times New Roman"/>
          <w:szCs w:val="24"/>
        </w:rPr>
        <w:t>maximising</w:t>
      </w:r>
      <w:r w:rsidRPr="001864BC">
        <w:rPr>
          <w:rFonts w:cs="Times New Roman"/>
          <w:szCs w:val="24"/>
        </w:rPr>
        <w:t xml:space="preserve"> the shareholder wealth in this constraint of 1.5million pounds with capital rationing.</w:t>
      </w:r>
    </w:p>
    <w:p w14:paraId="5E07446F" w14:textId="77777777" w:rsidR="00F13288" w:rsidRPr="001864BC" w:rsidRDefault="00F13288" w:rsidP="00F13288">
      <w:r w:rsidRPr="001864BC">
        <w:rPr>
          <w:rFonts w:cs="Times New Roman"/>
          <w:szCs w:val="24"/>
        </w:rPr>
        <w:t>Although the ideal theoretical basis needed to reach the decision is through NPV, it has qualitative, strategic and operational considerations that need to be utilised to reach the final decision on investment. Beard Plc can pursue the proposed investment plan with a good faith that it will be able to experience sustainable growth and value creation</w:t>
      </w:r>
      <w:r>
        <w:rPr>
          <w:rFonts w:cs="Times New Roman"/>
          <w:szCs w:val="24"/>
        </w:rPr>
        <w:t>,</w:t>
      </w:r>
      <w:r w:rsidRPr="001864BC">
        <w:rPr>
          <w:rFonts w:cs="Times New Roman"/>
          <w:szCs w:val="24"/>
        </w:rPr>
        <w:t xml:space="preserve"> bearing in mind that the project will have sufficient financing and that risks associated with the project are properly managed.</w:t>
      </w:r>
    </w:p>
    <w:p w14:paraId="57D9399A" w14:textId="77777777" w:rsidR="00F13288" w:rsidRPr="008F7047" w:rsidRDefault="00F13288" w:rsidP="00F13288"/>
    <w:p w14:paraId="4383BCA2" w14:textId="77777777" w:rsidR="00F13288" w:rsidRDefault="00F13288" w:rsidP="00F13288"/>
    <w:p w14:paraId="2FE87E13" w14:textId="77777777" w:rsidR="00F13288" w:rsidRDefault="00F13288" w:rsidP="00F13288"/>
    <w:p w14:paraId="053975F9" w14:textId="77777777" w:rsidR="00F13288" w:rsidRDefault="00F13288" w:rsidP="00F13288"/>
    <w:p w14:paraId="086F877C" w14:textId="77777777" w:rsidR="00F13288" w:rsidRDefault="00F13288" w:rsidP="00F13288"/>
    <w:p w14:paraId="39AD521A" w14:textId="77777777" w:rsidR="00F13288" w:rsidRDefault="00F13288" w:rsidP="00F13288"/>
    <w:p w14:paraId="49336FCF" w14:textId="77777777" w:rsidR="00F13288" w:rsidRDefault="00F13288" w:rsidP="00F13288"/>
    <w:p w14:paraId="55553329" w14:textId="77777777" w:rsidR="00B50A2A" w:rsidRDefault="00B50A2A" w:rsidP="00F13288"/>
    <w:p w14:paraId="4098995D" w14:textId="77777777" w:rsidR="00B50A2A" w:rsidRDefault="00B50A2A">
      <w:pPr>
        <w:spacing w:line="259" w:lineRule="auto"/>
        <w:jc w:val="left"/>
      </w:pPr>
      <w:r>
        <w:br w:type="page"/>
      </w:r>
    </w:p>
    <w:p w14:paraId="39406D16" w14:textId="77777777" w:rsidR="00F13288" w:rsidRPr="00B50A2A" w:rsidRDefault="00F13288" w:rsidP="00B50A2A">
      <w:pPr>
        <w:pStyle w:val="Heading1"/>
      </w:pPr>
      <w:bookmarkStart w:id="27" w:name="_Toc222786330"/>
      <w:r w:rsidRPr="00B50A2A">
        <w:lastRenderedPageBreak/>
        <w:t>References</w:t>
      </w:r>
      <w:bookmarkEnd w:id="27"/>
    </w:p>
    <w:p w14:paraId="77A5B8D5" w14:textId="77777777"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Alexander, J., 2018. </w:t>
      </w:r>
      <w:r w:rsidRPr="00B50A2A">
        <w:rPr>
          <w:rFonts w:eastAsia="Times New Roman" w:cs="Times New Roman"/>
          <w:i/>
          <w:iCs/>
          <w:szCs w:val="24"/>
        </w:rPr>
        <w:t>Financial planning &amp; analysis and performance management</w:t>
      </w:r>
      <w:r w:rsidRPr="00B50A2A">
        <w:rPr>
          <w:rFonts w:eastAsia="Times New Roman" w:cs="Times New Roman"/>
          <w:szCs w:val="24"/>
        </w:rPr>
        <w:t>. John Wiley &amp; Sons.</w:t>
      </w:r>
    </w:p>
    <w:p w14:paraId="2BB0CD66" w14:textId="3C1A2DA1"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Alkaraan, F., 2020. Strategic investment decision-making practices in large manufacturing companies: a role for emergent analysis </w:t>
      </w:r>
      <w:r w:rsidR="00A1784A" w:rsidRPr="00B50A2A">
        <w:rPr>
          <w:rFonts w:eastAsia="Times New Roman" w:cs="Times New Roman"/>
          <w:szCs w:val="24"/>
        </w:rPr>
        <w:t>techniques?</w:t>
      </w:r>
      <w:r w:rsidRPr="00B50A2A">
        <w:rPr>
          <w:rFonts w:eastAsia="Times New Roman" w:cs="Times New Roman"/>
          <w:szCs w:val="24"/>
        </w:rPr>
        <w:t xml:space="preserve"> </w:t>
      </w:r>
      <w:r w:rsidRPr="00B50A2A">
        <w:rPr>
          <w:rFonts w:eastAsia="Times New Roman" w:cs="Times New Roman"/>
          <w:i/>
          <w:iCs/>
          <w:szCs w:val="24"/>
        </w:rPr>
        <w:t>Meditari Accountancy Research</w:t>
      </w:r>
      <w:r w:rsidRPr="00B50A2A">
        <w:rPr>
          <w:rFonts w:eastAsia="Times New Roman" w:cs="Times New Roman"/>
          <w:szCs w:val="24"/>
        </w:rPr>
        <w:t>, 28(4), pp.633-653.</w:t>
      </w:r>
      <w:r w:rsidR="00BA4AA8">
        <w:rPr>
          <w:rFonts w:eastAsia="Times New Roman" w:cs="Times New Roman"/>
          <w:szCs w:val="24"/>
        </w:rPr>
        <w:t xml:space="preserve"> </w:t>
      </w:r>
      <w:hyperlink r:id="rId13" w:history="1">
        <w:r w:rsidR="00BA4AA8" w:rsidRPr="00A47B92">
          <w:rPr>
            <w:rStyle w:val="Hyperlink"/>
            <w:rFonts w:eastAsia="Times New Roman" w:cs="Times New Roman"/>
            <w:szCs w:val="24"/>
          </w:rPr>
          <w:t>https://doi.org/10.1108/MEDAR-05-2019-0484</w:t>
        </w:r>
      </w:hyperlink>
      <w:r w:rsidR="00BA4AA8">
        <w:rPr>
          <w:rFonts w:eastAsia="Times New Roman" w:cs="Times New Roman"/>
          <w:szCs w:val="24"/>
        </w:rPr>
        <w:t xml:space="preserve"> </w:t>
      </w:r>
    </w:p>
    <w:p w14:paraId="38C48C02" w14:textId="77777777"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Arslan, M. and Zaman, R., 2015. Organizing of capital budgeting process and financial theory. </w:t>
      </w:r>
      <w:r w:rsidRPr="00B50A2A">
        <w:rPr>
          <w:rFonts w:eastAsia="Times New Roman" w:cs="Times New Roman"/>
          <w:i/>
          <w:iCs/>
          <w:szCs w:val="24"/>
        </w:rPr>
        <w:t>Journal of Resources Development and Management</w:t>
      </w:r>
      <w:r w:rsidRPr="00B50A2A">
        <w:rPr>
          <w:rFonts w:eastAsia="Times New Roman" w:cs="Times New Roman"/>
          <w:szCs w:val="24"/>
        </w:rPr>
        <w:t>, 7, pp.97-104.</w:t>
      </w:r>
    </w:p>
    <w:p w14:paraId="673C0D47" w14:textId="77777777"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Awodire, M., Agboola, O., Ogundojutimi, O. and Odumuwagun, O., 2023. Capital budgeting and financial investment appraisal: A review of archival literature. </w:t>
      </w:r>
      <w:r w:rsidRPr="00B50A2A">
        <w:rPr>
          <w:rFonts w:eastAsia="Times New Roman" w:cs="Times New Roman"/>
          <w:i/>
          <w:iCs/>
          <w:szCs w:val="24"/>
        </w:rPr>
        <w:t>American Journal of Multidisciplinary Research in Africa</w:t>
      </w:r>
      <w:r w:rsidRPr="00B50A2A">
        <w:rPr>
          <w:rFonts w:eastAsia="Times New Roman" w:cs="Times New Roman"/>
          <w:szCs w:val="24"/>
        </w:rPr>
        <w:t>, 3(10.58314).</w:t>
      </w:r>
    </w:p>
    <w:p w14:paraId="05D653DC" w14:textId="77777777"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Brigham, E.F., 2016. </w:t>
      </w:r>
      <w:r w:rsidRPr="00B50A2A">
        <w:rPr>
          <w:rFonts w:eastAsia="Times New Roman" w:cs="Times New Roman"/>
          <w:i/>
          <w:iCs/>
          <w:szCs w:val="24"/>
        </w:rPr>
        <w:t>Financial management: Theory and practice</w:t>
      </w:r>
      <w:r w:rsidRPr="00B50A2A">
        <w:rPr>
          <w:rFonts w:eastAsia="Times New Roman" w:cs="Times New Roman"/>
          <w:szCs w:val="24"/>
        </w:rPr>
        <w:t>. Cengage Learning Canada Inc.</w:t>
      </w:r>
    </w:p>
    <w:p w14:paraId="0A5BC417" w14:textId="30F68DA9"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Celestin, M., 2017. Budgeting in times of crisis: How </w:t>
      </w:r>
      <w:r w:rsidR="00182655">
        <w:rPr>
          <w:rFonts w:eastAsia="Times New Roman" w:cs="Times New Roman"/>
          <w:szCs w:val="24"/>
        </w:rPr>
        <w:t>organisations</w:t>
      </w:r>
      <w:r w:rsidRPr="00B50A2A">
        <w:rPr>
          <w:rFonts w:eastAsia="Times New Roman" w:cs="Times New Roman"/>
          <w:szCs w:val="24"/>
        </w:rPr>
        <w:t xml:space="preserve"> and governments adapt budget strategies during economic recessions and global pandemics. </w:t>
      </w:r>
      <w:r w:rsidRPr="00B50A2A">
        <w:rPr>
          <w:rFonts w:eastAsia="Times New Roman" w:cs="Times New Roman"/>
          <w:i/>
          <w:iCs/>
          <w:szCs w:val="24"/>
        </w:rPr>
        <w:t>Brainae Journal of Business, Sciences and Technology (BJBST)</w:t>
      </w:r>
      <w:r w:rsidRPr="00B50A2A">
        <w:rPr>
          <w:rFonts w:eastAsia="Times New Roman" w:cs="Times New Roman"/>
          <w:szCs w:val="24"/>
        </w:rPr>
        <w:t>, 1(17), pp.641-650.</w:t>
      </w:r>
      <w:r w:rsidR="00353F50">
        <w:rPr>
          <w:rFonts w:eastAsia="Times New Roman" w:cs="Times New Roman"/>
          <w:szCs w:val="24"/>
        </w:rPr>
        <w:t xml:space="preserve"> </w:t>
      </w:r>
      <w:hyperlink r:id="rId14" w:history="1">
        <w:r w:rsidR="00353F50" w:rsidRPr="00A47B92">
          <w:rPr>
            <w:rStyle w:val="Hyperlink"/>
            <w:rFonts w:eastAsia="Times New Roman" w:cs="Times New Roman"/>
            <w:szCs w:val="24"/>
          </w:rPr>
          <w:t>https://doi.org/10.5281/zenodo.15043259</w:t>
        </w:r>
      </w:hyperlink>
      <w:r w:rsidR="00353F50">
        <w:rPr>
          <w:rFonts w:eastAsia="Times New Roman" w:cs="Times New Roman"/>
          <w:szCs w:val="24"/>
        </w:rPr>
        <w:t xml:space="preserve"> </w:t>
      </w:r>
    </w:p>
    <w:p w14:paraId="7D7E5D6D" w14:textId="1E58D198"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Celestin, M., 2017. The influence of government fiscal policies on corporate budgeting: How public sector budgeting trends affect private sector financial planning. </w:t>
      </w:r>
      <w:r w:rsidRPr="00B50A2A">
        <w:rPr>
          <w:rFonts w:eastAsia="Times New Roman" w:cs="Times New Roman"/>
          <w:i/>
          <w:iCs/>
          <w:szCs w:val="24"/>
        </w:rPr>
        <w:t>Brainae Journal of Business, Sciences and Technology (BJBST)</w:t>
      </w:r>
      <w:r w:rsidRPr="00B50A2A">
        <w:rPr>
          <w:rFonts w:eastAsia="Times New Roman" w:cs="Times New Roman"/>
          <w:szCs w:val="24"/>
        </w:rPr>
        <w:t>, 1(20), pp.672-683.</w:t>
      </w:r>
      <w:r w:rsidR="009B5E66">
        <w:rPr>
          <w:rFonts w:eastAsia="Times New Roman" w:cs="Times New Roman"/>
          <w:szCs w:val="24"/>
        </w:rPr>
        <w:t xml:space="preserve"> </w:t>
      </w:r>
      <w:hyperlink r:id="rId15" w:history="1">
        <w:r w:rsidR="009B5E66" w:rsidRPr="00A47B92">
          <w:rPr>
            <w:rStyle w:val="Hyperlink"/>
            <w:rFonts w:eastAsia="Times New Roman" w:cs="Times New Roman"/>
            <w:szCs w:val="24"/>
          </w:rPr>
          <w:t>https://doi.org/10.5281/zenodo.15043300</w:t>
        </w:r>
      </w:hyperlink>
      <w:r w:rsidR="009B5E66">
        <w:rPr>
          <w:rFonts w:eastAsia="Times New Roman" w:cs="Times New Roman"/>
          <w:szCs w:val="24"/>
        </w:rPr>
        <w:t xml:space="preserve"> </w:t>
      </w:r>
    </w:p>
    <w:p w14:paraId="73D30BD7" w14:textId="56098840"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Chukwuma-Eke, E.C., Ogunsola, O.Y. and Isibor, N.J., 2021. Designing a robust cost allocation framework for energy corporations using SAP for improved financial performance. </w:t>
      </w:r>
      <w:r w:rsidRPr="00B50A2A">
        <w:rPr>
          <w:rFonts w:eastAsia="Times New Roman" w:cs="Times New Roman"/>
          <w:i/>
          <w:iCs/>
          <w:szCs w:val="24"/>
        </w:rPr>
        <w:t>International Journal of Multidisciplinary Research and Growth Evaluation</w:t>
      </w:r>
      <w:r w:rsidRPr="00B50A2A">
        <w:rPr>
          <w:rFonts w:eastAsia="Times New Roman" w:cs="Times New Roman"/>
          <w:szCs w:val="24"/>
        </w:rPr>
        <w:t>, 2(1), pp.809-822.</w:t>
      </w:r>
      <w:r w:rsidR="009B5E66">
        <w:rPr>
          <w:rFonts w:eastAsia="Times New Roman" w:cs="Times New Roman"/>
          <w:szCs w:val="24"/>
        </w:rPr>
        <w:t xml:space="preserve"> </w:t>
      </w:r>
      <w:hyperlink r:id="rId16" w:history="1">
        <w:r w:rsidR="009B5E66" w:rsidRPr="00A47B92">
          <w:rPr>
            <w:rStyle w:val="Hyperlink"/>
            <w:rFonts w:eastAsia="Times New Roman" w:cs="Times New Roman"/>
            <w:szCs w:val="24"/>
          </w:rPr>
          <w:t>https://doi.org/10.54660/.IJMRGE.2021.2.1.809-822</w:t>
        </w:r>
      </w:hyperlink>
      <w:r w:rsidR="009B5E66">
        <w:rPr>
          <w:rFonts w:eastAsia="Times New Roman" w:cs="Times New Roman"/>
          <w:szCs w:val="24"/>
        </w:rPr>
        <w:t xml:space="preserve"> </w:t>
      </w:r>
    </w:p>
    <w:p w14:paraId="027A3105" w14:textId="5302F352"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Chukwuma-Eke, E.C., Ogunsola, O.Y. and Isibor, N.J., 2022. A conceptual approach to cost forecasting and financial planning in complex oil and gas projects. </w:t>
      </w:r>
      <w:r w:rsidRPr="00B50A2A">
        <w:rPr>
          <w:rFonts w:eastAsia="Times New Roman" w:cs="Times New Roman"/>
          <w:i/>
          <w:iCs/>
          <w:szCs w:val="24"/>
        </w:rPr>
        <w:t xml:space="preserve">International Journal of </w:t>
      </w:r>
      <w:r w:rsidRPr="00B50A2A">
        <w:rPr>
          <w:rFonts w:eastAsia="Times New Roman" w:cs="Times New Roman"/>
          <w:i/>
          <w:iCs/>
          <w:szCs w:val="24"/>
        </w:rPr>
        <w:lastRenderedPageBreak/>
        <w:t>Multidisciplinary Research and Growth Evaluation</w:t>
      </w:r>
      <w:r w:rsidRPr="00B50A2A">
        <w:rPr>
          <w:rFonts w:eastAsia="Times New Roman" w:cs="Times New Roman"/>
          <w:szCs w:val="24"/>
        </w:rPr>
        <w:t>, 3(1), pp.819-833.</w:t>
      </w:r>
      <w:r w:rsidR="00376380">
        <w:rPr>
          <w:rFonts w:eastAsia="Times New Roman" w:cs="Times New Roman"/>
          <w:szCs w:val="24"/>
        </w:rPr>
        <w:t xml:space="preserve"> </w:t>
      </w:r>
      <w:hyperlink r:id="rId17" w:history="1">
        <w:r w:rsidR="00376380" w:rsidRPr="00A47B92">
          <w:rPr>
            <w:rStyle w:val="Hyperlink"/>
            <w:rFonts w:eastAsia="Times New Roman" w:cs="Times New Roman"/>
            <w:szCs w:val="24"/>
          </w:rPr>
          <w:t>https://doi.org/10.54660/.IJMRGE.2022.3.1.819-833</w:t>
        </w:r>
      </w:hyperlink>
      <w:r w:rsidR="00376380">
        <w:rPr>
          <w:rFonts w:eastAsia="Times New Roman" w:cs="Times New Roman"/>
          <w:szCs w:val="24"/>
        </w:rPr>
        <w:t xml:space="preserve"> </w:t>
      </w:r>
    </w:p>
    <w:p w14:paraId="24B72E50" w14:textId="5E20D962"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Chukwuma-Eke, E.C., Ogunsola, O.Y. and Isibor, N.J., 2022. A conceptual framework for financial </w:t>
      </w:r>
      <w:r w:rsidR="00182655">
        <w:rPr>
          <w:rFonts w:eastAsia="Times New Roman" w:cs="Times New Roman"/>
          <w:szCs w:val="24"/>
        </w:rPr>
        <w:t>optimisation</w:t>
      </w:r>
      <w:r w:rsidRPr="00B50A2A">
        <w:rPr>
          <w:rFonts w:eastAsia="Times New Roman" w:cs="Times New Roman"/>
          <w:szCs w:val="24"/>
        </w:rPr>
        <w:t xml:space="preserve"> and budget management in large-scale energy projects. </w:t>
      </w:r>
      <w:r w:rsidRPr="00B50A2A">
        <w:rPr>
          <w:rFonts w:eastAsia="Times New Roman" w:cs="Times New Roman"/>
          <w:i/>
          <w:iCs/>
          <w:szCs w:val="24"/>
        </w:rPr>
        <w:t>International Journal of Multidisciplinary Research and Growth Evaluation</w:t>
      </w:r>
      <w:r w:rsidRPr="00B50A2A">
        <w:rPr>
          <w:rFonts w:eastAsia="Times New Roman" w:cs="Times New Roman"/>
          <w:szCs w:val="24"/>
        </w:rPr>
        <w:t>, 2(1), pp.823-834.</w:t>
      </w:r>
      <w:r w:rsidR="00376380">
        <w:rPr>
          <w:rFonts w:eastAsia="Times New Roman" w:cs="Times New Roman"/>
          <w:szCs w:val="24"/>
        </w:rPr>
        <w:t xml:space="preserve"> </w:t>
      </w:r>
      <w:hyperlink r:id="rId18" w:history="1">
        <w:r w:rsidR="00376380" w:rsidRPr="00A47B92">
          <w:rPr>
            <w:rStyle w:val="Hyperlink"/>
            <w:rFonts w:eastAsia="Times New Roman" w:cs="Times New Roman"/>
            <w:szCs w:val="24"/>
          </w:rPr>
          <w:t>https://doi.org/10.54660/.IJMRGE.2021.2.1.823-834</w:t>
        </w:r>
      </w:hyperlink>
      <w:r w:rsidR="00376380">
        <w:rPr>
          <w:rFonts w:eastAsia="Times New Roman" w:cs="Times New Roman"/>
          <w:szCs w:val="24"/>
        </w:rPr>
        <w:t xml:space="preserve"> </w:t>
      </w:r>
    </w:p>
    <w:p w14:paraId="22786DF6" w14:textId="193D2789"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Elmassri, M.M., Harris, E.P. and Carter, D.B., 2016. Accounting for strategic investment decision-making under extreme uncertainty. </w:t>
      </w:r>
      <w:r w:rsidRPr="00B50A2A">
        <w:rPr>
          <w:rFonts w:eastAsia="Times New Roman" w:cs="Times New Roman"/>
          <w:i/>
          <w:iCs/>
          <w:szCs w:val="24"/>
        </w:rPr>
        <w:t>The British Accounting Review</w:t>
      </w:r>
      <w:r w:rsidRPr="00B50A2A">
        <w:rPr>
          <w:rFonts w:eastAsia="Times New Roman" w:cs="Times New Roman"/>
          <w:szCs w:val="24"/>
        </w:rPr>
        <w:t>, 48(2), pp.151-168.</w:t>
      </w:r>
      <w:r w:rsidR="00376380">
        <w:rPr>
          <w:rFonts w:eastAsia="Times New Roman" w:cs="Times New Roman"/>
          <w:szCs w:val="24"/>
        </w:rPr>
        <w:t xml:space="preserve"> </w:t>
      </w:r>
      <w:hyperlink r:id="rId19" w:history="1">
        <w:r w:rsidR="00376380" w:rsidRPr="00A47B92">
          <w:rPr>
            <w:rStyle w:val="Hyperlink"/>
            <w:rFonts w:eastAsia="Times New Roman" w:cs="Times New Roman"/>
            <w:szCs w:val="24"/>
          </w:rPr>
          <w:t>https://doi.org/10.1016/j.bar.2015.12.002</w:t>
        </w:r>
      </w:hyperlink>
      <w:r w:rsidR="00376380">
        <w:rPr>
          <w:rFonts w:eastAsia="Times New Roman" w:cs="Times New Roman"/>
          <w:szCs w:val="24"/>
        </w:rPr>
        <w:t xml:space="preserve"> </w:t>
      </w:r>
    </w:p>
    <w:p w14:paraId="011F3802" w14:textId="77777777"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Gardiner, P., 2017. </w:t>
      </w:r>
      <w:r w:rsidRPr="00B50A2A">
        <w:rPr>
          <w:rFonts w:eastAsia="Times New Roman" w:cs="Times New Roman"/>
          <w:i/>
          <w:iCs/>
          <w:szCs w:val="24"/>
        </w:rPr>
        <w:t>Project management: A strategic planning approach</w:t>
      </w:r>
      <w:r w:rsidRPr="00B50A2A">
        <w:rPr>
          <w:rFonts w:eastAsia="Times New Roman" w:cs="Times New Roman"/>
          <w:szCs w:val="24"/>
        </w:rPr>
        <w:t>. Bloomsbury Publishing.</w:t>
      </w:r>
    </w:p>
    <w:p w14:paraId="25B45CB3" w14:textId="77777777"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Götze, U., Northcott, D. and Schuster, P., 2015. Capital budgeting and investment decisions. In </w:t>
      </w:r>
      <w:r w:rsidRPr="00B50A2A">
        <w:rPr>
          <w:rFonts w:eastAsia="Times New Roman" w:cs="Times New Roman"/>
          <w:i/>
          <w:iCs/>
          <w:szCs w:val="24"/>
        </w:rPr>
        <w:t>Investment appraisal: Methods and models</w:t>
      </w:r>
      <w:r w:rsidRPr="00B50A2A">
        <w:rPr>
          <w:rFonts w:eastAsia="Times New Roman" w:cs="Times New Roman"/>
          <w:szCs w:val="24"/>
        </w:rPr>
        <w:t xml:space="preserve"> (pp. 3-26). Berlin, Heidelberg: Springer Berlin Heidelberg.</w:t>
      </w:r>
    </w:p>
    <w:p w14:paraId="13550CCF" w14:textId="77777777"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Grant, R.M., 2016. </w:t>
      </w:r>
      <w:r w:rsidRPr="00B50A2A">
        <w:rPr>
          <w:rFonts w:eastAsia="Times New Roman" w:cs="Times New Roman"/>
          <w:i/>
          <w:iCs/>
          <w:szCs w:val="24"/>
        </w:rPr>
        <w:t>Contemporary strategy analysis: Text and cases edition</w:t>
      </w:r>
      <w:r w:rsidRPr="00B50A2A">
        <w:rPr>
          <w:rFonts w:eastAsia="Times New Roman" w:cs="Times New Roman"/>
          <w:szCs w:val="24"/>
        </w:rPr>
        <w:t>. John Wiley &amp; Sons.</w:t>
      </w:r>
    </w:p>
    <w:p w14:paraId="40D90EA5" w14:textId="77777777"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Grant, R.M., 2021. </w:t>
      </w:r>
      <w:r w:rsidRPr="00B50A2A">
        <w:rPr>
          <w:rFonts w:eastAsia="Times New Roman" w:cs="Times New Roman"/>
          <w:i/>
          <w:iCs/>
          <w:szCs w:val="24"/>
        </w:rPr>
        <w:t>Contemporary strategy analysis</w:t>
      </w:r>
      <w:r w:rsidRPr="00B50A2A">
        <w:rPr>
          <w:rFonts w:eastAsia="Times New Roman" w:cs="Times New Roman"/>
          <w:szCs w:val="24"/>
        </w:rPr>
        <w:t>. John Wiley &amp; Sons.</w:t>
      </w:r>
    </w:p>
    <w:p w14:paraId="62139CEE" w14:textId="77777777"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Harrison, F. and Lock, D., 2017. </w:t>
      </w:r>
      <w:r w:rsidRPr="00B50A2A">
        <w:rPr>
          <w:rFonts w:eastAsia="Times New Roman" w:cs="Times New Roman"/>
          <w:i/>
          <w:iCs/>
          <w:szCs w:val="24"/>
        </w:rPr>
        <w:t>Advanced project management: a structured approach</w:t>
      </w:r>
      <w:r w:rsidRPr="00B50A2A">
        <w:rPr>
          <w:rFonts w:eastAsia="Times New Roman" w:cs="Times New Roman"/>
          <w:szCs w:val="24"/>
        </w:rPr>
        <w:t>. Routledge.</w:t>
      </w:r>
    </w:p>
    <w:p w14:paraId="25783579" w14:textId="77777777"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Jenkins, G.P. and Harberger, A.C., 2018. </w:t>
      </w:r>
      <w:r w:rsidRPr="00B50A2A">
        <w:rPr>
          <w:rFonts w:eastAsia="Times New Roman" w:cs="Times New Roman"/>
          <w:i/>
          <w:iCs/>
          <w:szCs w:val="24"/>
        </w:rPr>
        <w:t>Cost-benefit analysis of investment decisions</w:t>
      </w:r>
      <w:r w:rsidRPr="00B50A2A">
        <w:rPr>
          <w:rFonts w:eastAsia="Times New Roman" w:cs="Times New Roman"/>
          <w:szCs w:val="24"/>
        </w:rPr>
        <w:t>. Cambridge Resources International Incorporated.</w:t>
      </w:r>
    </w:p>
    <w:p w14:paraId="0FA822B9" w14:textId="53D1D1ED"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Karadag, H., 2015. Financial management challenges in small and medium-sized enterprises: A strategic management approach. </w:t>
      </w:r>
      <w:r w:rsidRPr="00B50A2A">
        <w:rPr>
          <w:rFonts w:eastAsia="Times New Roman" w:cs="Times New Roman"/>
          <w:i/>
          <w:iCs/>
          <w:szCs w:val="24"/>
        </w:rPr>
        <w:t>EMAJ: Emerging Markets Journal</w:t>
      </w:r>
      <w:r w:rsidRPr="00B50A2A">
        <w:rPr>
          <w:rFonts w:eastAsia="Times New Roman" w:cs="Times New Roman"/>
          <w:szCs w:val="24"/>
        </w:rPr>
        <w:t>, 5(1), pp.26-40.</w:t>
      </w:r>
      <w:r w:rsidR="005345DA">
        <w:rPr>
          <w:rFonts w:eastAsia="Times New Roman" w:cs="Times New Roman"/>
          <w:szCs w:val="24"/>
        </w:rPr>
        <w:t xml:space="preserve"> </w:t>
      </w:r>
      <w:hyperlink r:id="rId20" w:history="1">
        <w:r w:rsidR="005345DA" w:rsidRPr="00A47B92">
          <w:rPr>
            <w:rStyle w:val="Hyperlink"/>
            <w:rFonts w:eastAsia="Times New Roman" w:cs="Times New Roman"/>
            <w:szCs w:val="24"/>
          </w:rPr>
          <w:t>https://doi.org/10.5195/emaj.2015.67</w:t>
        </w:r>
      </w:hyperlink>
      <w:r w:rsidR="005345DA">
        <w:rPr>
          <w:rFonts w:eastAsia="Times New Roman" w:cs="Times New Roman"/>
          <w:szCs w:val="24"/>
        </w:rPr>
        <w:t xml:space="preserve"> </w:t>
      </w:r>
    </w:p>
    <w:p w14:paraId="4048DCC9" w14:textId="5F50D234"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Li, F.G. and Trutnevyte, E., 2017. Investment appraisal of cost-optimal and near-optimal pathways for the UK electricity sector transition to 2050. </w:t>
      </w:r>
      <w:r w:rsidRPr="00B50A2A">
        <w:rPr>
          <w:rFonts w:eastAsia="Times New Roman" w:cs="Times New Roman"/>
          <w:i/>
          <w:iCs/>
          <w:szCs w:val="24"/>
        </w:rPr>
        <w:t>Applied Energy</w:t>
      </w:r>
      <w:r w:rsidRPr="00B50A2A">
        <w:rPr>
          <w:rFonts w:eastAsia="Times New Roman" w:cs="Times New Roman"/>
          <w:szCs w:val="24"/>
        </w:rPr>
        <w:t>, 189, pp.89-109.</w:t>
      </w:r>
      <w:r w:rsidR="005345DA">
        <w:rPr>
          <w:rFonts w:eastAsia="Times New Roman" w:cs="Times New Roman"/>
          <w:szCs w:val="24"/>
        </w:rPr>
        <w:t xml:space="preserve"> </w:t>
      </w:r>
      <w:hyperlink r:id="rId21" w:history="1">
        <w:r w:rsidR="005345DA" w:rsidRPr="00A47B92">
          <w:rPr>
            <w:rStyle w:val="Hyperlink"/>
            <w:rFonts w:eastAsia="Times New Roman" w:cs="Times New Roman"/>
            <w:szCs w:val="24"/>
          </w:rPr>
          <w:t>https://doi.org/10.1016/j.apenergy.2016.12.047</w:t>
        </w:r>
      </w:hyperlink>
      <w:r w:rsidR="005345DA">
        <w:rPr>
          <w:rFonts w:eastAsia="Times New Roman" w:cs="Times New Roman"/>
          <w:szCs w:val="24"/>
        </w:rPr>
        <w:t xml:space="preserve"> </w:t>
      </w:r>
    </w:p>
    <w:p w14:paraId="464AF318" w14:textId="77777777"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lastRenderedPageBreak/>
        <w:t xml:space="preserve">Maheshwari, S.N., Maheshwari, S.K. and Maheshwari, S.K., 2024. </w:t>
      </w:r>
      <w:r w:rsidRPr="00B50A2A">
        <w:rPr>
          <w:rFonts w:eastAsia="Times New Roman" w:cs="Times New Roman"/>
          <w:i/>
          <w:iCs/>
          <w:szCs w:val="24"/>
        </w:rPr>
        <w:t>Management Accounting and Financial Control</w:t>
      </w:r>
      <w:r w:rsidRPr="00B50A2A">
        <w:rPr>
          <w:rFonts w:eastAsia="Times New Roman" w:cs="Times New Roman"/>
          <w:szCs w:val="24"/>
        </w:rPr>
        <w:t>. Sultan Chand &amp; Sons.</w:t>
      </w:r>
    </w:p>
    <w:p w14:paraId="445CC506" w14:textId="356614C2"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Mathew, S., 2024. An overview </w:t>
      </w:r>
      <w:r w:rsidR="008524C8">
        <w:rPr>
          <w:rFonts w:eastAsia="Times New Roman" w:cs="Times New Roman"/>
          <w:szCs w:val="24"/>
        </w:rPr>
        <w:t>of</w:t>
      </w:r>
      <w:r w:rsidRPr="00B50A2A">
        <w:rPr>
          <w:rFonts w:eastAsia="Times New Roman" w:cs="Times New Roman"/>
          <w:szCs w:val="24"/>
        </w:rPr>
        <w:t xml:space="preserve"> capital investment.</w:t>
      </w:r>
    </w:p>
    <w:p w14:paraId="35FF40D6" w14:textId="77777777"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Mintzberg, H., Ahlstrand, B. and Lampel, J.B., 2020. </w:t>
      </w:r>
      <w:r w:rsidRPr="00B50A2A">
        <w:rPr>
          <w:rFonts w:eastAsia="Times New Roman" w:cs="Times New Roman"/>
          <w:i/>
          <w:iCs/>
          <w:szCs w:val="24"/>
        </w:rPr>
        <w:t>Strategy safari: The complete guide through the wilds of strategic management</w:t>
      </w:r>
      <w:r w:rsidRPr="00B50A2A">
        <w:rPr>
          <w:rFonts w:eastAsia="Times New Roman" w:cs="Times New Roman"/>
          <w:szCs w:val="24"/>
        </w:rPr>
        <w:t>. Pearson Uk.</w:t>
      </w:r>
    </w:p>
    <w:p w14:paraId="1C671A6D" w14:textId="774192A9"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Musah, A., Gakpetor, E.D. and Pomaa, P., 2018. Financial management practices, firm growth and profitability of small and </w:t>
      </w:r>
      <w:r w:rsidR="00182655">
        <w:rPr>
          <w:rFonts w:eastAsia="Times New Roman" w:cs="Times New Roman"/>
          <w:szCs w:val="24"/>
        </w:rPr>
        <w:t>medium-scale</w:t>
      </w:r>
      <w:r w:rsidRPr="00B50A2A">
        <w:rPr>
          <w:rFonts w:eastAsia="Times New Roman" w:cs="Times New Roman"/>
          <w:szCs w:val="24"/>
        </w:rPr>
        <w:t xml:space="preserve"> enterprises (SMEs). </w:t>
      </w:r>
      <w:r w:rsidRPr="00B50A2A">
        <w:rPr>
          <w:rFonts w:eastAsia="Times New Roman" w:cs="Times New Roman"/>
          <w:i/>
          <w:iCs/>
          <w:szCs w:val="24"/>
        </w:rPr>
        <w:t>Information Management and Business Review</w:t>
      </w:r>
      <w:r w:rsidRPr="00B50A2A">
        <w:rPr>
          <w:rFonts w:eastAsia="Times New Roman" w:cs="Times New Roman"/>
          <w:szCs w:val="24"/>
        </w:rPr>
        <w:t>, 10(3), pp.25-37.</w:t>
      </w:r>
    </w:p>
    <w:p w14:paraId="3A6D826B" w14:textId="58BE115A"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Nimtrakoon, S. and Tayles, M., 2015. Explaining management accounting practices and strategy in Thailand: A selection approach using cluster analysis. </w:t>
      </w:r>
      <w:r w:rsidRPr="00B50A2A">
        <w:rPr>
          <w:rFonts w:eastAsia="Times New Roman" w:cs="Times New Roman"/>
          <w:i/>
          <w:iCs/>
          <w:szCs w:val="24"/>
        </w:rPr>
        <w:t>Journal of Accounting in Emerging Economies</w:t>
      </w:r>
      <w:r w:rsidRPr="00B50A2A">
        <w:rPr>
          <w:rFonts w:eastAsia="Times New Roman" w:cs="Times New Roman"/>
          <w:szCs w:val="24"/>
        </w:rPr>
        <w:t>, 5(3), pp.269-298.</w:t>
      </w:r>
      <w:r w:rsidR="00172F17">
        <w:rPr>
          <w:rFonts w:eastAsia="Times New Roman" w:cs="Times New Roman"/>
          <w:szCs w:val="24"/>
        </w:rPr>
        <w:t xml:space="preserve"> </w:t>
      </w:r>
      <w:hyperlink r:id="rId22" w:history="1">
        <w:r w:rsidR="00172F17" w:rsidRPr="00A47B92">
          <w:rPr>
            <w:rStyle w:val="Hyperlink"/>
            <w:rFonts w:eastAsia="Times New Roman" w:cs="Times New Roman"/>
            <w:szCs w:val="24"/>
          </w:rPr>
          <w:t>https://doi.org/10.1108/JAEE-02-2013-0012</w:t>
        </w:r>
      </w:hyperlink>
      <w:r w:rsidR="00172F17">
        <w:rPr>
          <w:rFonts w:eastAsia="Times New Roman" w:cs="Times New Roman"/>
          <w:szCs w:val="24"/>
        </w:rPr>
        <w:t xml:space="preserve"> </w:t>
      </w:r>
    </w:p>
    <w:p w14:paraId="16310CE7" w14:textId="77777777"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Nolzen, N., 2018. The concept of psychological capital: a comprehensive review. </w:t>
      </w:r>
      <w:r w:rsidRPr="00B50A2A">
        <w:rPr>
          <w:rFonts w:eastAsia="Times New Roman" w:cs="Times New Roman"/>
          <w:i/>
          <w:iCs/>
          <w:szCs w:val="24"/>
        </w:rPr>
        <w:t>Management Review Quarterly</w:t>
      </w:r>
      <w:r w:rsidRPr="00B50A2A">
        <w:rPr>
          <w:rFonts w:eastAsia="Times New Roman" w:cs="Times New Roman"/>
          <w:szCs w:val="24"/>
        </w:rPr>
        <w:t>, 68(3), pp.237-277.</w:t>
      </w:r>
    </w:p>
    <w:p w14:paraId="72C8BF13" w14:textId="77777777"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Park, C.S. and Sharp, G.P., 2021. </w:t>
      </w:r>
      <w:r w:rsidRPr="00B50A2A">
        <w:rPr>
          <w:rFonts w:eastAsia="Times New Roman" w:cs="Times New Roman"/>
          <w:i/>
          <w:iCs/>
          <w:szCs w:val="24"/>
        </w:rPr>
        <w:t>Advanced engineering economics</w:t>
      </w:r>
      <w:r w:rsidRPr="00B50A2A">
        <w:rPr>
          <w:rFonts w:eastAsia="Times New Roman" w:cs="Times New Roman"/>
          <w:szCs w:val="24"/>
        </w:rPr>
        <w:t>. John Wiley &amp; Sons.</w:t>
      </w:r>
    </w:p>
    <w:p w14:paraId="1A572ED8" w14:textId="77777777"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Palepu, K.G., Healy, P.M., Wright, S., Bradbury, M. and Coulton, J., 2020. </w:t>
      </w:r>
      <w:r w:rsidRPr="00B50A2A">
        <w:rPr>
          <w:rFonts w:eastAsia="Times New Roman" w:cs="Times New Roman"/>
          <w:i/>
          <w:iCs/>
          <w:szCs w:val="24"/>
        </w:rPr>
        <w:t>Business analysis and valuation: Using financial statements</w:t>
      </w:r>
      <w:r w:rsidRPr="00B50A2A">
        <w:rPr>
          <w:rFonts w:eastAsia="Times New Roman" w:cs="Times New Roman"/>
          <w:szCs w:val="24"/>
        </w:rPr>
        <w:t>. Cengage AU.</w:t>
      </w:r>
    </w:p>
    <w:p w14:paraId="1DACE086" w14:textId="567152D7"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Ren, S., 2022. </w:t>
      </w:r>
      <w:r w:rsidR="00192C0C">
        <w:rPr>
          <w:rFonts w:eastAsia="Times New Roman" w:cs="Times New Roman"/>
          <w:szCs w:val="24"/>
        </w:rPr>
        <w:t>Optimisation</w:t>
      </w:r>
      <w:r w:rsidRPr="00B50A2A">
        <w:rPr>
          <w:rFonts w:eastAsia="Times New Roman" w:cs="Times New Roman"/>
          <w:szCs w:val="24"/>
        </w:rPr>
        <w:t xml:space="preserve"> of enterprise financial management and decision‐making systems based on big data. </w:t>
      </w:r>
      <w:r w:rsidRPr="00B50A2A">
        <w:rPr>
          <w:rFonts w:eastAsia="Times New Roman" w:cs="Times New Roman"/>
          <w:i/>
          <w:iCs/>
          <w:szCs w:val="24"/>
        </w:rPr>
        <w:t>Journal of Mathematics</w:t>
      </w:r>
      <w:r w:rsidRPr="00B50A2A">
        <w:rPr>
          <w:rFonts w:eastAsia="Times New Roman" w:cs="Times New Roman"/>
          <w:szCs w:val="24"/>
        </w:rPr>
        <w:t>, 2022(1), p.1708506.</w:t>
      </w:r>
      <w:r w:rsidR="00172F17">
        <w:rPr>
          <w:rFonts w:eastAsia="Times New Roman" w:cs="Times New Roman"/>
          <w:szCs w:val="24"/>
        </w:rPr>
        <w:t xml:space="preserve"> </w:t>
      </w:r>
      <w:hyperlink r:id="rId23" w:history="1">
        <w:r w:rsidR="00172F17" w:rsidRPr="00A47B92">
          <w:rPr>
            <w:rStyle w:val="Hyperlink"/>
            <w:rFonts w:eastAsia="Times New Roman" w:cs="Times New Roman"/>
            <w:szCs w:val="24"/>
          </w:rPr>
          <w:t>https://doi.org/10.1155/2022/1708506</w:t>
        </w:r>
      </w:hyperlink>
      <w:r w:rsidR="00172F17">
        <w:rPr>
          <w:rFonts w:eastAsia="Times New Roman" w:cs="Times New Roman"/>
          <w:szCs w:val="24"/>
        </w:rPr>
        <w:t xml:space="preserve"> </w:t>
      </w:r>
    </w:p>
    <w:p w14:paraId="0C2E362C" w14:textId="5F9EE7BC"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Riley, S.M., Michael, S.C. and Mahoney, J.T., 2017. Human capital matters: Market valuation of firm investments in training and the role of complementary assets. </w:t>
      </w:r>
      <w:r w:rsidRPr="00B50A2A">
        <w:rPr>
          <w:rFonts w:eastAsia="Times New Roman" w:cs="Times New Roman"/>
          <w:i/>
          <w:iCs/>
          <w:szCs w:val="24"/>
        </w:rPr>
        <w:t>Strategic Management Journal</w:t>
      </w:r>
      <w:r w:rsidRPr="00B50A2A">
        <w:rPr>
          <w:rFonts w:eastAsia="Times New Roman" w:cs="Times New Roman"/>
          <w:szCs w:val="24"/>
        </w:rPr>
        <w:t>, 38(9), pp.1895-1914.</w:t>
      </w:r>
      <w:r w:rsidR="00491C91">
        <w:rPr>
          <w:rFonts w:eastAsia="Times New Roman" w:cs="Times New Roman"/>
          <w:szCs w:val="24"/>
        </w:rPr>
        <w:t xml:space="preserve"> </w:t>
      </w:r>
      <w:hyperlink r:id="rId24" w:history="1">
        <w:r w:rsidR="00491C91" w:rsidRPr="00A47B92">
          <w:rPr>
            <w:rStyle w:val="Hyperlink"/>
            <w:rFonts w:eastAsia="Times New Roman" w:cs="Times New Roman"/>
            <w:szCs w:val="24"/>
          </w:rPr>
          <w:t>https://doi.org/10.1002/smj.2631</w:t>
        </w:r>
      </w:hyperlink>
      <w:r w:rsidR="00491C91">
        <w:rPr>
          <w:rFonts w:eastAsia="Times New Roman" w:cs="Times New Roman"/>
          <w:szCs w:val="24"/>
        </w:rPr>
        <w:t xml:space="preserve">  </w:t>
      </w:r>
    </w:p>
    <w:p w14:paraId="63E0E004" w14:textId="41D4F0C5"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Ross, S., 2015. </w:t>
      </w:r>
      <w:r w:rsidRPr="00B50A2A">
        <w:rPr>
          <w:rFonts w:eastAsia="Times New Roman" w:cs="Times New Roman"/>
          <w:i/>
          <w:iCs/>
          <w:szCs w:val="24"/>
        </w:rPr>
        <w:t>Ebook: Fundamentals of Corporate Finance</w:t>
      </w:r>
      <w:r w:rsidRPr="00B50A2A">
        <w:rPr>
          <w:rFonts w:eastAsia="Times New Roman" w:cs="Times New Roman"/>
          <w:szCs w:val="24"/>
        </w:rPr>
        <w:t xml:space="preserve">. </w:t>
      </w:r>
      <w:r w:rsidR="00192C0C">
        <w:rPr>
          <w:rFonts w:eastAsia="Times New Roman" w:cs="Times New Roman"/>
          <w:szCs w:val="24"/>
        </w:rPr>
        <w:t>McGraw-Hill</w:t>
      </w:r>
      <w:r w:rsidRPr="00B50A2A">
        <w:rPr>
          <w:rFonts w:eastAsia="Times New Roman" w:cs="Times New Roman"/>
          <w:szCs w:val="24"/>
        </w:rPr>
        <w:t>.</w:t>
      </w:r>
    </w:p>
    <w:p w14:paraId="44FEF5D6" w14:textId="77777777"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Shapiro, A.C. and Hanouna, P., 2019. </w:t>
      </w:r>
      <w:r w:rsidRPr="00B50A2A">
        <w:rPr>
          <w:rFonts w:eastAsia="Times New Roman" w:cs="Times New Roman"/>
          <w:i/>
          <w:iCs/>
          <w:szCs w:val="24"/>
        </w:rPr>
        <w:t>Multinational financial management</w:t>
      </w:r>
      <w:r w:rsidRPr="00B50A2A">
        <w:rPr>
          <w:rFonts w:eastAsia="Times New Roman" w:cs="Times New Roman"/>
          <w:szCs w:val="24"/>
        </w:rPr>
        <w:t>. John Wiley &amp; Sons.</w:t>
      </w:r>
    </w:p>
    <w:p w14:paraId="0429DA4D" w14:textId="1C3A16EB"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lastRenderedPageBreak/>
        <w:t xml:space="preserve">Sorgato, M.J., Schneider, K. and Rüther, R., 2018. Technical and economic evaluation of thin-film CdTe building-integrated photovoltaics (BIPV) replacing façade and rooftop materials in office buildings in a warm and sunny climate. </w:t>
      </w:r>
      <w:r w:rsidRPr="00B50A2A">
        <w:rPr>
          <w:rFonts w:eastAsia="Times New Roman" w:cs="Times New Roman"/>
          <w:i/>
          <w:iCs/>
          <w:szCs w:val="24"/>
        </w:rPr>
        <w:t>Renewable Energy</w:t>
      </w:r>
      <w:r w:rsidRPr="00B50A2A">
        <w:rPr>
          <w:rFonts w:eastAsia="Times New Roman" w:cs="Times New Roman"/>
          <w:szCs w:val="24"/>
        </w:rPr>
        <w:t>, 118, pp.84-98.</w:t>
      </w:r>
      <w:r w:rsidR="00491C91">
        <w:rPr>
          <w:rFonts w:eastAsia="Times New Roman" w:cs="Times New Roman"/>
          <w:szCs w:val="24"/>
        </w:rPr>
        <w:t xml:space="preserve"> </w:t>
      </w:r>
      <w:hyperlink r:id="rId25" w:history="1">
        <w:r w:rsidR="00491C91" w:rsidRPr="00A47B92">
          <w:rPr>
            <w:rStyle w:val="Hyperlink"/>
            <w:rFonts w:eastAsia="Times New Roman" w:cs="Times New Roman"/>
            <w:szCs w:val="24"/>
          </w:rPr>
          <w:t>https://doi.org/10.1016/j.renene.2017.10.091</w:t>
        </w:r>
      </w:hyperlink>
      <w:r w:rsidR="00491C91">
        <w:rPr>
          <w:rFonts w:eastAsia="Times New Roman" w:cs="Times New Roman"/>
          <w:szCs w:val="24"/>
        </w:rPr>
        <w:t xml:space="preserve"> </w:t>
      </w:r>
    </w:p>
    <w:p w14:paraId="54A8815B" w14:textId="03B8AC52"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Steiss, A.W., 2019. </w:t>
      </w:r>
      <w:r w:rsidRPr="00B50A2A">
        <w:rPr>
          <w:rFonts w:eastAsia="Times New Roman" w:cs="Times New Roman"/>
          <w:i/>
          <w:iCs/>
          <w:szCs w:val="24"/>
        </w:rPr>
        <w:t xml:space="preserve">Strategic management for public and nonprofit </w:t>
      </w:r>
      <w:r w:rsidR="00192C0C">
        <w:rPr>
          <w:rFonts w:eastAsia="Times New Roman" w:cs="Times New Roman"/>
          <w:i/>
          <w:iCs/>
          <w:szCs w:val="24"/>
        </w:rPr>
        <w:t>organisations</w:t>
      </w:r>
      <w:r w:rsidRPr="00B50A2A">
        <w:rPr>
          <w:rFonts w:eastAsia="Times New Roman" w:cs="Times New Roman"/>
          <w:szCs w:val="24"/>
        </w:rPr>
        <w:t>. Routledge.</w:t>
      </w:r>
    </w:p>
    <w:p w14:paraId="5F77618A" w14:textId="7B83CA12"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Trigeorgis, L. and Reuer, J.J., 2017. Real options theory in strategic management. </w:t>
      </w:r>
      <w:r w:rsidRPr="00B50A2A">
        <w:rPr>
          <w:rFonts w:eastAsia="Times New Roman" w:cs="Times New Roman"/>
          <w:i/>
          <w:iCs/>
          <w:szCs w:val="24"/>
        </w:rPr>
        <w:t>Strategic Management Journal</w:t>
      </w:r>
      <w:r w:rsidRPr="00B50A2A">
        <w:rPr>
          <w:rFonts w:eastAsia="Times New Roman" w:cs="Times New Roman"/>
          <w:szCs w:val="24"/>
        </w:rPr>
        <w:t>, 38(1), pp.42-63.</w:t>
      </w:r>
      <w:r w:rsidR="00675AE6">
        <w:rPr>
          <w:rFonts w:eastAsia="Times New Roman" w:cs="Times New Roman"/>
          <w:szCs w:val="24"/>
        </w:rPr>
        <w:t xml:space="preserve"> </w:t>
      </w:r>
      <w:hyperlink r:id="rId26" w:history="1">
        <w:r w:rsidR="00675AE6" w:rsidRPr="00A47B92">
          <w:rPr>
            <w:rStyle w:val="Hyperlink"/>
            <w:rFonts w:eastAsia="Times New Roman" w:cs="Times New Roman"/>
            <w:szCs w:val="24"/>
          </w:rPr>
          <w:t>https://doi.org/10.1002/smj.2593</w:t>
        </w:r>
      </w:hyperlink>
      <w:r w:rsidR="00675AE6">
        <w:rPr>
          <w:rFonts w:eastAsia="Times New Roman" w:cs="Times New Roman"/>
          <w:szCs w:val="24"/>
        </w:rPr>
        <w:t xml:space="preserve"> </w:t>
      </w:r>
    </w:p>
    <w:p w14:paraId="01E5D10A" w14:textId="77777777"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Weber, B., Staub-Bisang, M. and Alfen, H.W., 2016. </w:t>
      </w:r>
      <w:r w:rsidRPr="00B50A2A">
        <w:rPr>
          <w:rFonts w:eastAsia="Times New Roman" w:cs="Times New Roman"/>
          <w:i/>
          <w:iCs/>
          <w:szCs w:val="24"/>
        </w:rPr>
        <w:t>Infrastructure as an asset class: investment strategy, sustainability, project finance and PPP</w:t>
      </w:r>
      <w:r w:rsidRPr="00B50A2A">
        <w:rPr>
          <w:rFonts w:eastAsia="Times New Roman" w:cs="Times New Roman"/>
          <w:szCs w:val="24"/>
        </w:rPr>
        <w:t>. John Wiley &amp; Sons.</w:t>
      </w:r>
    </w:p>
    <w:p w14:paraId="6891214E" w14:textId="58FAB4FE"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Weston, P. and Nnadi, M., 2023. Evaluation of strategic and financial variables of corporate sustainability and ESG policies on corporate finance performance. </w:t>
      </w:r>
      <w:r w:rsidRPr="00B50A2A">
        <w:rPr>
          <w:rFonts w:eastAsia="Times New Roman" w:cs="Times New Roman"/>
          <w:i/>
          <w:iCs/>
          <w:szCs w:val="24"/>
        </w:rPr>
        <w:t>Journal of Sustainable Finance &amp; Investment</w:t>
      </w:r>
      <w:r w:rsidRPr="00B50A2A">
        <w:rPr>
          <w:rFonts w:eastAsia="Times New Roman" w:cs="Times New Roman"/>
          <w:szCs w:val="24"/>
        </w:rPr>
        <w:t>, 13(2), pp.1058-1074.</w:t>
      </w:r>
      <w:r w:rsidR="00675AE6">
        <w:rPr>
          <w:rFonts w:eastAsia="Times New Roman" w:cs="Times New Roman"/>
          <w:szCs w:val="24"/>
        </w:rPr>
        <w:t xml:space="preserve"> </w:t>
      </w:r>
      <w:hyperlink r:id="rId27" w:history="1">
        <w:r w:rsidR="00675AE6" w:rsidRPr="00A47B92">
          <w:rPr>
            <w:rStyle w:val="Hyperlink"/>
            <w:rFonts w:eastAsia="Times New Roman" w:cs="Times New Roman"/>
            <w:szCs w:val="24"/>
          </w:rPr>
          <w:t>https://doi.org/10.1080/20430795.2021.1883984</w:t>
        </w:r>
      </w:hyperlink>
      <w:r w:rsidR="00675AE6">
        <w:rPr>
          <w:rFonts w:eastAsia="Times New Roman" w:cs="Times New Roman"/>
          <w:szCs w:val="24"/>
        </w:rPr>
        <w:t xml:space="preserve"> </w:t>
      </w:r>
    </w:p>
    <w:p w14:paraId="22B7A1C7" w14:textId="5FA49D79"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Winch, G. and Leiringer, R., 2016. Owner project capabilities for infrastructure development: A review and development of the “strong owner” concept. </w:t>
      </w:r>
      <w:r w:rsidRPr="00B50A2A">
        <w:rPr>
          <w:rFonts w:eastAsia="Times New Roman" w:cs="Times New Roman"/>
          <w:i/>
          <w:iCs/>
          <w:szCs w:val="24"/>
        </w:rPr>
        <w:t>International Journal of Project Management</w:t>
      </w:r>
      <w:r w:rsidRPr="00B50A2A">
        <w:rPr>
          <w:rFonts w:eastAsia="Times New Roman" w:cs="Times New Roman"/>
          <w:szCs w:val="24"/>
        </w:rPr>
        <w:t>, 34(2), pp.271-281.</w:t>
      </w:r>
      <w:r w:rsidR="00675AE6">
        <w:rPr>
          <w:rFonts w:eastAsia="Times New Roman" w:cs="Times New Roman"/>
          <w:szCs w:val="24"/>
        </w:rPr>
        <w:t xml:space="preserve"> </w:t>
      </w:r>
      <w:hyperlink r:id="rId28" w:history="1">
        <w:r w:rsidR="00675AE6" w:rsidRPr="00A47B92">
          <w:rPr>
            <w:rStyle w:val="Hyperlink"/>
            <w:rFonts w:eastAsia="Times New Roman" w:cs="Times New Roman"/>
            <w:szCs w:val="24"/>
          </w:rPr>
          <w:t>https://doi.org/10.1016/j.ijproman.2015.02.002</w:t>
        </w:r>
      </w:hyperlink>
      <w:r w:rsidR="00675AE6">
        <w:rPr>
          <w:rFonts w:eastAsia="Times New Roman" w:cs="Times New Roman"/>
          <w:szCs w:val="24"/>
        </w:rPr>
        <w:t xml:space="preserve"> </w:t>
      </w:r>
    </w:p>
    <w:p w14:paraId="79C6241C" w14:textId="77777777"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Yoganandham, G., 2025. </w:t>
      </w:r>
      <w:r w:rsidRPr="00B50A2A">
        <w:rPr>
          <w:rFonts w:eastAsia="Times New Roman" w:cs="Times New Roman"/>
          <w:i/>
          <w:iCs/>
          <w:szCs w:val="24"/>
        </w:rPr>
        <w:t>MASTERING ECONOMIC AND FINANCIAL SOURCES WITH REFERENCE TO BUDGETING, SAVINGS, EARLY INVESTING, DEBT MANAGEMENT AND THE POWER OF FINANCIAL PLANNING-A COMPREHENSIVE ANALYSIS</w:t>
      </w:r>
      <w:r w:rsidRPr="00B50A2A">
        <w:rPr>
          <w:rFonts w:eastAsia="Times New Roman" w:cs="Times New Roman"/>
          <w:szCs w:val="24"/>
        </w:rPr>
        <w:t>. Degrés, 10(1).</w:t>
      </w:r>
    </w:p>
    <w:p w14:paraId="416437B0" w14:textId="192F7696"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Zietlow, J., Hankin, J.A., Seidner, A. and O'Brien, T., 2018. </w:t>
      </w:r>
      <w:r w:rsidRPr="00B50A2A">
        <w:rPr>
          <w:rFonts w:eastAsia="Times New Roman" w:cs="Times New Roman"/>
          <w:i/>
          <w:iCs/>
          <w:szCs w:val="24"/>
        </w:rPr>
        <w:t xml:space="preserve">Financial management for nonprofit </w:t>
      </w:r>
      <w:r w:rsidR="00192C0C">
        <w:rPr>
          <w:rFonts w:eastAsia="Times New Roman" w:cs="Times New Roman"/>
          <w:i/>
          <w:iCs/>
          <w:szCs w:val="24"/>
        </w:rPr>
        <w:t>organisations</w:t>
      </w:r>
      <w:r w:rsidRPr="00B50A2A">
        <w:rPr>
          <w:rFonts w:eastAsia="Times New Roman" w:cs="Times New Roman"/>
          <w:i/>
          <w:iCs/>
          <w:szCs w:val="24"/>
        </w:rPr>
        <w:t>: Policies and practices</w:t>
      </w:r>
      <w:r w:rsidRPr="00B50A2A">
        <w:rPr>
          <w:rFonts w:eastAsia="Times New Roman" w:cs="Times New Roman"/>
          <w:szCs w:val="24"/>
        </w:rPr>
        <w:t>. John Wiley &amp; Sons.</w:t>
      </w:r>
    </w:p>
    <w:p w14:paraId="3CB93BF8" w14:textId="1A80DDF5" w:rsidR="00F13288" w:rsidRPr="00B50A2A" w:rsidRDefault="00F13288" w:rsidP="00B50A2A">
      <w:pPr>
        <w:spacing w:before="100" w:beforeAutospacing="1" w:after="100" w:afterAutospacing="1"/>
        <w:rPr>
          <w:rFonts w:eastAsia="Times New Roman" w:cs="Times New Roman"/>
          <w:szCs w:val="24"/>
        </w:rPr>
      </w:pPr>
      <w:r w:rsidRPr="00B50A2A">
        <w:rPr>
          <w:rFonts w:eastAsia="Times New Roman" w:cs="Times New Roman"/>
          <w:szCs w:val="24"/>
        </w:rPr>
        <w:t xml:space="preserve">Zopounidis, C., Galariotis, E., Doumpos, M., Sarri, S. and Andriosopoulos, K., 2015. Multiple criteria decision aiding for finance: An updated bibliographic survey. </w:t>
      </w:r>
      <w:r w:rsidRPr="00B50A2A">
        <w:rPr>
          <w:rFonts w:eastAsia="Times New Roman" w:cs="Times New Roman"/>
          <w:i/>
          <w:iCs/>
          <w:szCs w:val="24"/>
        </w:rPr>
        <w:t>European Journal of Operational Research</w:t>
      </w:r>
      <w:r w:rsidRPr="00B50A2A">
        <w:rPr>
          <w:rFonts w:eastAsia="Times New Roman" w:cs="Times New Roman"/>
          <w:szCs w:val="24"/>
        </w:rPr>
        <w:t>, 247(2), pp.339-348.</w:t>
      </w:r>
      <w:r w:rsidR="003C4C19">
        <w:rPr>
          <w:rFonts w:eastAsia="Times New Roman" w:cs="Times New Roman"/>
          <w:szCs w:val="24"/>
        </w:rPr>
        <w:t xml:space="preserve"> </w:t>
      </w:r>
      <w:hyperlink r:id="rId29" w:history="1">
        <w:r w:rsidR="003C4C19" w:rsidRPr="00A47B92">
          <w:rPr>
            <w:rStyle w:val="Hyperlink"/>
            <w:rFonts w:eastAsia="Times New Roman" w:cs="Times New Roman"/>
            <w:szCs w:val="24"/>
          </w:rPr>
          <w:t>https://doi.org/10.1016/j.ejor.2015.05.032</w:t>
        </w:r>
      </w:hyperlink>
      <w:r w:rsidR="003C4C19">
        <w:rPr>
          <w:rFonts w:eastAsia="Times New Roman" w:cs="Times New Roman"/>
          <w:szCs w:val="24"/>
        </w:rPr>
        <w:t xml:space="preserve"> </w:t>
      </w:r>
    </w:p>
    <w:p w14:paraId="293E7B8D" w14:textId="77777777" w:rsidR="00F13288" w:rsidRDefault="00F13288" w:rsidP="00F13288"/>
    <w:p w14:paraId="242F0C41" w14:textId="77777777" w:rsidR="00F13288" w:rsidRDefault="00F13288" w:rsidP="00F13288"/>
    <w:p w14:paraId="64CBC359" w14:textId="77777777" w:rsidR="00F13288" w:rsidRDefault="00F13288" w:rsidP="00F13288"/>
    <w:p w14:paraId="78120A2A" w14:textId="77777777" w:rsidR="00F13288" w:rsidRDefault="00B50A2A" w:rsidP="00B50A2A">
      <w:pPr>
        <w:pStyle w:val="Heading1"/>
      </w:pPr>
      <w:bookmarkStart w:id="28" w:name="_Toc222786331"/>
      <w:r>
        <w:lastRenderedPageBreak/>
        <w:t>Appendices</w:t>
      </w:r>
      <w:bookmarkEnd w:id="28"/>
    </w:p>
    <w:p w14:paraId="671CEF7B" w14:textId="77777777" w:rsidR="00F13288" w:rsidRPr="00612C85" w:rsidRDefault="00F13288" w:rsidP="00B50A2A">
      <w:pPr>
        <w:pStyle w:val="Heading2"/>
      </w:pPr>
      <w:bookmarkStart w:id="29" w:name="_Toc222786332"/>
      <w:r w:rsidRPr="00612C85">
        <w:t>Appendix 1: Full Consolidated Financial Statements from Unilever Annual Report 2024 (Key Extracts for 2023 &amp; 2024)</w:t>
      </w:r>
      <w:bookmarkEnd w:id="29"/>
    </w:p>
    <w:p w14:paraId="5C1C3632" w14:textId="77777777" w:rsidR="00F13288" w:rsidRPr="00612C85" w:rsidRDefault="00F13288" w:rsidP="00F13288">
      <w:pPr>
        <w:spacing w:before="100" w:beforeAutospacing="1" w:after="100" w:afterAutospacing="1" w:line="240" w:lineRule="auto"/>
        <w:rPr>
          <w:rFonts w:eastAsia="Times New Roman" w:cs="Times New Roman"/>
          <w:szCs w:val="24"/>
        </w:rPr>
      </w:pPr>
      <w:r w:rsidRPr="00612C85">
        <w:rPr>
          <w:rFonts w:eastAsia="Times New Roman" w:cs="Times New Roman"/>
          <w:b/>
          <w:bCs/>
          <w:szCs w:val="24"/>
        </w:rPr>
        <w:t>Consolidated Income Statement (Key Lines)</w:t>
      </w:r>
    </w:p>
    <w:tbl>
      <w:tblPr>
        <w:tblStyle w:val="GridTable4-Accent1"/>
        <w:tblW w:w="0" w:type="auto"/>
        <w:tblLook w:val="04A0" w:firstRow="1" w:lastRow="0" w:firstColumn="1" w:lastColumn="0" w:noHBand="0" w:noVBand="1"/>
      </w:tblPr>
      <w:tblGrid>
        <w:gridCol w:w="3204"/>
        <w:gridCol w:w="1103"/>
        <w:gridCol w:w="1468"/>
        <w:gridCol w:w="3241"/>
      </w:tblGrid>
      <w:tr w:rsidR="00F13288" w:rsidRPr="00612C85" w14:paraId="30E0E2C1" w14:textId="77777777" w:rsidTr="001273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580750" w14:textId="77777777" w:rsidR="00F13288" w:rsidRPr="00612C85" w:rsidRDefault="00F13288" w:rsidP="00127345">
            <w:pPr>
              <w:jc w:val="center"/>
              <w:rPr>
                <w:rFonts w:eastAsia="Times New Roman" w:cs="Times New Roman"/>
                <w:b w:val="0"/>
                <w:bCs w:val="0"/>
                <w:szCs w:val="24"/>
                <w:lang w:eastAsia="en-GB"/>
              </w:rPr>
            </w:pPr>
            <w:r w:rsidRPr="00612C85">
              <w:rPr>
                <w:rFonts w:eastAsia="Times New Roman" w:cs="Times New Roman"/>
                <w:b w:val="0"/>
                <w:bCs w:val="0"/>
                <w:szCs w:val="24"/>
                <w:lang w:eastAsia="en-GB"/>
              </w:rPr>
              <w:t>Line Item</w:t>
            </w:r>
          </w:p>
        </w:tc>
        <w:tc>
          <w:tcPr>
            <w:tcW w:w="0" w:type="auto"/>
            <w:hideMark/>
          </w:tcPr>
          <w:p w14:paraId="691D5829"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2024 (€m)</w:t>
            </w:r>
          </w:p>
        </w:tc>
        <w:tc>
          <w:tcPr>
            <w:tcW w:w="0" w:type="auto"/>
            <w:hideMark/>
          </w:tcPr>
          <w:p w14:paraId="25CBFD67"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2023 (€m)</w:t>
            </w:r>
          </w:p>
        </w:tc>
        <w:tc>
          <w:tcPr>
            <w:tcW w:w="0" w:type="auto"/>
            <w:hideMark/>
          </w:tcPr>
          <w:p w14:paraId="1DC53076"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Change/Notes</w:t>
            </w:r>
          </w:p>
        </w:tc>
      </w:tr>
      <w:tr w:rsidR="00F13288" w:rsidRPr="00612C85" w14:paraId="77428CFB"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67CF52"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Turnover (Revenue)</w:t>
            </w:r>
          </w:p>
        </w:tc>
        <w:tc>
          <w:tcPr>
            <w:tcW w:w="0" w:type="auto"/>
            <w:hideMark/>
          </w:tcPr>
          <w:p w14:paraId="2F894206"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60,761</w:t>
            </w:r>
          </w:p>
        </w:tc>
        <w:tc>
          <w:tcPr>
            <w:tcW w:w="0" w:type="auto"/>
            <w:hideMark/>
          </w:tcPr>
          <w:p w14:paraId="3FB6B3BA"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59,604</w:t>
            </w:r>
          </w:p>
        </w:tc>
        <w:tc>
          <w:tcPr>
            <w:tcW w:w="0" w:type="auto"/>
            <w:hideMark/>
          </w:tcPr>
          <w:p w14:paraId="5F19AE5A"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+1.9% (underlying sales growth 4.2%)</w:t>
            </w:r>
          </w:p>
        </w:tc>
      </w:tr>
      <w:tr w:rsidR="00F13288" w:rsidRPr="00612C85" w14:paraId="25B03D5A" w14:textId="77777777" w:rsidTr="00127345">
        <w:tc>
          <w:tcPr>
            <w:cnfStyle w:val="001000000000" w:firstRow="0" w:lastRow="0" w:firstColumn="1" w:lastColumn="0" w:oddVBand="0" w:evenVBand="0" w:oddHBand="0" w:evenHBand="0" w:firstRowFirstColumn="0" w:firstRowLastColumn="0" w:lastRowFirstColumn="0" w:lastRowLastColumn="0"/>
            <w:tcW w:w="0" w:type="auto"/>
            <w:hideMark/>
          </w:tcPr>
          <w:p w14:paraId="4F2774AA"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Operating Profit</w:t>
            </w:r>
          </w:p>
        </w:tc>
        <w:tc>
          <w:tcPr>
            <w:tcW w:w="0" w:type="auto"/>
            <w:hideMark/>
          </w:tcPr>
          <w:p w14:paraId="37B384C9"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9,400</w:t>
            </w:r>
          </w:p>
        </w:tc>
        <w:tc>
          <w:tcPr>
            <w:tcW w:w="0" w:type="auto"/>
            <w:hideMark/>
          </w:tcPr>
          <w:p w14:paraId="7CF9E37D"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9,758</w:t>
            </w:r>
          </w:p>
        </w:tc>
        <w:tc>
          <w:tcPr>
            <w:tcW w:w="0" w:type="auto"/>
            <w:hideMark/>
          </w:tcPr>
          <w:p w14:paraId="199935C3"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-3.7% (impacted by non-underlying items)</w:t>
            </w:r>
          </w:p>
        </w:tc>
      </w:tr>
      <w:tr w:rsidR="00F13288" w:rsidRPr="00612C85" w14:paraId="748DBCDC"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2E726B"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Underlying Operating Profit</w:t>
            </w:r>
          </w:p>
        </w:tc>
        <w:tc>
          <w:tcPr>
            <w:tcW w:w="0" w:type="auto"/>
            <w:hideMark/>
          </w:tcPr>
          <w:p w14:paraId="11E87314"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11,200</w:t>
            </w:r>
          </w:p>
        </w:tc>
        <w:tc>
          <w:tcPr>
            <w:tcW w:w="0" w:type="auto"/>
            <w:hideMark/>
          </w:tcPr>
          <w:p w14:paraId="1D9371A7"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9,931</w:t>
            </w:r>
          </w:p>
        </w:tc>
        <w:tc>
          <w:tcPr>
            <w:tcW w:w="0" w:type="auto"/>
            <w:hideMark/>
          </w:tcPr>
          <w:p w14:paraId="3C7BCDAA"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+12.6%</w:t>
            </w:r>
          </w:p>
        </w:tc>
      </w:tr>
      <w:tr w:rsidR="00F13288" w:rsidRPr="00612C85" w14:paraId="5A444256" w14:textId="77777777" w:rsidTr="00127345">
        <w:tc>
          <w:tcPr>
            <w:cnfStyle w:val="001000000000" w:firstRow="0" w:lastRow="0" w:firstColumn="1" w:lastColumn="0" w:oddVBand="0" w:evenVBand="0" w:oddHBand="0" w:evenHBand="0" w:firstRowFirstColumn="0" w:firstRowLastColumn="0" w:lastRowFirstColumn="0" w:lastRowLastColumn="0"/>
            <w:tcW w:w="0" w:type="auto"/>
            <w:hideMark/>
          </w:tcPr>
          <w:p w14:paraId="7C933669"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Underlying Operating Margin</w:t>
            </w:r>
          </w:p>
        </w:tc>
        <w:tc>
          <w:tcPr>
            <w:tcW w:w="0" w:type="auto"/>
            <w:hideMark/>
          </w:tcPr>
          <w:p w14:paraId="369B48F7"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18.4%</w:t>
            </w:r>
          </w:p>
        </w:tc>
        <w:tc>
          <w:tcPr>
            <w:tcW w:w="0" w:type="auto"/>
            <w:hideMark/>
          </w:tcPr>
          <w:p w14:paraId="7E4AF814"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16.7%</w:t>
            </w:r>
          </w:p>
        </w:tc>
        <w:tc>
          <w:tcPr>
            <w:tcW w:w="0" w:type="auto"/>
            <w:hideMark/>
          </w:tcPr>
          <w:p w14:paraId="1D1C1AFE"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+170 bps</w:t>
            </w:r>
          </w:p>
        </w:tc>
      </w:tr>
      <w:tr w:rsidR="00F13288" w:rsidRPr="00612C85" w14:paraId="5196A009"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B1C2B3"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Operating Margin</w:t>
            </w:r>
          </w:p>
        </w:tc>
        <w:tc>
          <w:tcPr>
            <w:tcW w:w="0" w:type="auto"/>
            <w:hideMark/>
          </w:tcPr>
          <w:p w14:paraId="4986FE41"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15.5%</w:t>
            </w:r>
          </w:p>
        </w:tc>
        <w:tc>
          <w:tcPr>
            <w:tcW w:w="0" w:type="auto"/>
            <w:hideMark/>
          </w:tcPr>
          <w:p w14:paraId="5AD4EA6A"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16.4%</w:t>
            </w:r>
          </w:p>
        </w:tc>
        <w:tc>
          <w:tcPr>
            <w:tcW w:w="0" w:type="auto"/>
            <w:hideMark/>
          </w:tcPr>
          <w:p w14:paraId="3531C671"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-90 bps</w:t>
            </w:r>
          </w:p>
        </w:tc>
      </w:tr>
      <w:tr w:rsidR="00F13288" w:rsidRPr="00612C85" w14:paraId="0554FF9F" w14:textId="77777777" w:rsidTr="00127345">
        <w:tc>
          <w:tcPr>
            <w:cnfStyle w:val="001000000000" w:firstRow="0" w:lastRow="0" w:firstColumn="1" w:lastColumn="0" w:oddVBand="0" w:evenVBand="0" w:oddHBand="0" w:evenHBand="0" w:firstRowFirstColumn="0" w:firstRowLastColumn="0" w:lastRowFirstColumn="0" w:lastRowLastColumn="0"/>
            <w:tcW w:w="0" w:type="auto"/>
            <w:hideMark/>
          </w:tcPr>
          <w:p w14:paraId="1A8661F2"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Profit Before Taxation</w:t>
            </w:r>
          </w:p>
        </w:tc>
        <w:tc>
          <w:tcPr>
            <w:tcW w:w="0" w:type="auto"/>
            <w:hideMark/>
          </w:tcPr>
          <w:p w14:paraId="3068513D"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8,869</w:t>
            </w:r>
          </w:p>
        </w:tc>
        <w:tc>
          <w:tcPr>
            <w:tcW w:w="0" w:type="auto"/>
            <w:hideMark/>
          </w:tcPr>
          <w:p w14:paraId="2D016036"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9,339</w:t>
            </w:r>
          </w:p>
        </w:tc>
        <w:tc>
          <w:tcPr>
            <w:tcW w:w="0" w:type="auto"/>
            <w:hideMark/>
          </w:tcPr>
          <w:p w14:paraId="28D4C34C"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-5.0%</w:t>
            </w:r>
          </w:p>
        </w:tc>
      </w:tr>
      <w:tr w:rsidR="00F13288" w:rsidRPr="00612C85" w14:paraId="4241AF7B"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DF3567"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Taxation</w:t>
            </w:r>
          </w:p>
        </w:tc>
        <w:tc>
          <w:tcPr>
            <w:tcW w:w="0" w:type="auto"/>
            <w:hideMark/>
          </w:tcPr>
          <w:p w14:paraId="16108491"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(2,500)</w:t>
            </w:r>
          </w:p>
        </w:tc>
        <w:tc>
          <w:tcPr>
            <w:tcW w:w="0" w:type="auto"/>
            <w:hideMark/>
          </w:tcPr>
          <w:p w14:paraId="12BA617B"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(2,199)</w:t>
            </w:r>
          </w:p>
        </w:tc>
        <w:tc>
          <w:tcPr>
            <w:tcW w:w="0" w:type="auto"/>
            <w:hideMark/>
          </w:tcPr>
          <w:p w14:paraId="133A6502"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w:t>
            </w:r>
          </w:p>
        </w:tc>
      </w:tr>
      <w:tr w:rsidR="00F13288" w:rsidRPr="00612C85" w14:paraId="73040313" w14:textId="77777777" w:rsidTr="00127345">
        <w:tc>
          <w:tcPr>
            <w:cnfStyle w:val="001000000000" w:firstRow="0" w:lastRow="0" w:firstColumn="1" w:lastColumn="0" w:oddVBand="0" w:evenVBand="0" w:oddHBand="0" w:evenHBand="0" w:firstRowFirstColumn="0" w:firstRowLastColumn="0" w:lastRowFirstColumn="0" w:lastRowLastColumn="0"/>
            <w:tcW w:w="0" w:type="auto"/>
            <w:hideMark/>
          </w:tcPr>
          <w:p w14:paraId="6CF5CC89"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Net Profit</w:t>
            </w:r>
          </w:p>
        </w:tc>
        <w:tc>
          <w:tcPr>
            <w:tcW w:w="0" w:type="auto"/>
            <w:hideMark/>
          </w:tcPr>
          <w:p w14:paraId="2CB48F38"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6,369</w:t>
            </w:r>
          </w:p>
        </w:tc>
        <w:tc>
          <w:tcPr>
            <w:tcW w:w="0" w:type="auto"/>
            <w:hideMark/>
          </w:tcPr>
          <w:p w14:paraId="25E71D1B"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7,140</w:t>
            </w:r>
          </w:p>
        </w:tc>
        <w:tc>
          <w:tcPr>
            <w:tcW w:w="0" w:type="auto"/>
            <w:hideMark/>
          </w:tcPr>
          <w:p w14:paraId="2E544C68"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-10.8%</w:t>
            </w:r>
          </w:p>
        </w:tc>
      </w:tr>
      <w:tr w:rsidR="00F13288" w:rsidRPr="00612C85" w14:paraId="467219C3"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F6F32C"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Net Profit Attributable to Shareholders</w:t>
            </w:r>
          </w:p>
        </w:tc>
        <w:tc>
          <w:tcPr>
            <w:tcW w:w="0" w:type="auto"/>
            <w:hideMark/>
          </w:tcPr>
          <w:p w14:paraId="4BDBE82D"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5,744</w:t>
            </w:r>
          </w:p>
        </w:tc>
        <w:tc>
          <w:tcPr>
            <w:tcW w:w="0" w:type="auto"/>
            <w:hideMark/>
          </w:tcPr>
          <w:p w14:paraId="4E66F6AA"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6,487</w:t>
            </w:r>
          </w:p>
        </w:tc>
        <w:tc>
          <w:tcPr>
            <w:tcW w:w="0" w:type="auto"/>
            <w:hideMark/>
          </w:tcPr>
          <w:p w14:paraId="5F11BC4F"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-11.5%</w:t>
            </w:r>
          </w:p>
        </w:tc>
      </w:tr>
      <w:tr w:rsidR="00F13288" w:rsidRPr="00612C85" w14:paraId="45EE0646" w14:textId="77777777" w:rsidTr="00127345">
        <w:tc>
          <w:tcPr>
            <w:cnfStyle w:val="001000000000" w:firstRow="0" w:lastRow="0" w:firstColumn="1" w:lastColumn="0" w:oddVBand="0" w:evenVBand="0" w:oddHBand="0" w:evenHBand="0" w:firstRowFirstColumn="0" w:firstRowLastColumn="0" w:lastRowFirstColumn="0" w:lastRowLastColumn="0"/>
            <w:tcW w:w="0" w:type="auto"/>
            <w:hideMark/>
          </w:tcPr>
          <w:p w14:paraId="2253195F"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Underlying Earnings Per Share (EPS)</w:t>
            </w:r>
          </w:p>
        </w:tc>
        <w:tc>
          <w:tcPr>
            <w:tcW w:w="0" w:type="auto"/>
            <w:hideMark/>
          </w:tcPr>
          <w:p w14:paraId="69010895"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€2.98</w:t>
            </w:r>
          </w:p>
        </w:tc>
        <w:tc>
          <w:tcPr>
            <w:tcW w:w="0" w:type="auto"/>
            <w:hideMark/>
          </w:tcPr>
          <w:p w14:paraId="67B3295F"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€2.60 (approx.)</w:t>
            </w:r>
          </w:p>
        </w:tc>
        <w:tc>
          <w:tcPr>
            <w:tcW w:w="0" w:type="auto"/>
            <w:hideMark/>
          </w:tcPr>
          <w:p w14:paraId="5F471B45"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+14.7%</w:t>
            </w:r>
          </w:p>
        </w:tc>
      </w:tr>
      <w:tr w:rsidR="00F13288" w:rsidRPr="00612C85" w14:paraId="444475D5"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738DF6"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Diluted EPS</w:t>
            </w:r>
          </w:p>
        </w:tc>
        <w:tc>
          <w:tcPr>
            <w:tcW w:w="0" w:type="auto"/>
            <w:hideMark/>
          </w:tcPr>
          <w:p w14:paraId="0719EABE"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€2.29</w:t>
            </w:r>
          </w:p>
        </w:tc>
        <w:tc>
          <w:tcPr>
            <w:tcW w:w="0" w:type="auto"/>
            <w:hideMark/>
          </w:tcPr>
          <w:p w14:paraId="084F1C5F"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€2.56</w:t>
            </w:r>
          </w:p>
        </w:tc>
        <w:tc>
          <w:tcPr>
            <w:tcW w:w="0" w:type="auto"/>
            <w:hideMark/>
          </w:tcPr>
          <w:p w14:paraId="5E001578"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-10.6%</w:t>
            </w:r>
          </w:p>
        </w:tc>
      </w:tr>
    </w:tbl>
    <w:p w14:paraId="11695309" w14:textId="77777777" w:rsidR="00F13288" w:rsidRPr="00612C85" w:rsidRDefault="00F13288" w:rsidP="00F13288">
      <w:pPr>
        <w:spacing w:before="100" w:beforeAutospacing="1" w:after="100" w:afterAutospacing="1" w:line="240" w:lineRule="auto"/>
        <w:rPr>
          <w:rFonts w:eastAsia="Times New Roman" w:cs="Times New Roman"/>
          <w:szCs w:val="24"/>
        </w:rPr>
      </w:pPr>
      <w:r w:rsidRPr="00612C85">
        <w:rPr>
          <w:rFonts w:eastAsia="Times New Roman" w:cs="Times New Roman"/>
          <w:b/>
          <w:bCs/>
          <w:szCs w:val="24"/>
        </w:rPr>
        <w:t>Consolidated Balance Sheet (Key Lines)</w:t>
      </w:r>
    </w:p>
    <w:tbl>
      <w:tblPr>
        <w:tblStyle w:val="GridTable4-Accent1"/>
        <w:tblW w:w="0" w:type="auto"/>
        <w:tblLook w:val="04A0" w:firstRow="1" w:lastRow="0" w:firstColumn="1" w:lastColumn="0" w:noHBand="0" w:noVBand="1"/>
      </w:tblPr>
      <w:tblGrid>
        <w:gridCol w:w="2650"/>
        <w:gridCol w:w="1223"/>
        <w:gridCol w:w="1223"/>
        <w:gridCol w:w="3589"/>
      </w:tblGrid>
      <w:tr w:rsidR="00F13288" w:rsidRPr="00612C85" w14:paraId="19C1C7DA" w14:textId="77777777" w:rsidTr="001273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A32DE7" w14:textId="77777777" w:rsidR="00F13288" w:rsidRPr="00612C85" w:rsidRDefault="00F13288" w:rsidP="00127345">
            <w:pPr>
              <w:jc w:val="center"/>
              <w:rPr>
                <w:rFonts w:eastAsia="Times New Roman" w:cs="Times New Roman"/>
                <w:b w:val="0"/>
                <w:bCs w:val="0"/>
                <w:szCs w:val="24"/>
                <w:lang w:eastAsia="en-GB"/>
              </w:rPr>
            </w:pPr>
            <w:r w:rsidRPr="00612C85">
              <w:rPr>
                <w:rFonts w:eastAsia="Times New Roman" w:cs="Times New Roman"/>
                <w:b w:val="0"/>
                <w:bCs w:val="0"/>
                <w:szCs w:val="24"/>
                <w:lang w:eastAsia="en-GB"/>
              </w:rPr>
              <w:t>Line Item</w:t>
            </w:r>
          </w:p>
        </w:tc>
        <w:tc>
          <w:tcPr>
            <w:tcW w:w="0" w:type="auto"/>
            <w:hideMark/>
          </w:tcPr>
          <w:p w14:paraId="5F24C225"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2024 (€m)</w:t>
            </w:r>
          </w:p>
        </w:tc>
        <w:tc>
          <w:tcPr>
            <w:tcW w:w="0" w:type="auto"/>
            <w:hideMark/>
          </w:tcPr>
          <w:p w14:paraId="2038ED5F"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2023 (€m)</w:t>
            </w:r>
          </w:p>
        </w:tc>
        <w:tc>
          <w:tcPr>
            <w:tcW w:w="0" w:type="auto"/>
            <w:hideMark/>
          </w:tcPr>
          <w:p w14:paraId="42F70684"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Notes</w:t>
            </w:r>
          </w:p>
        </w:tc>
      </w:tr>
      <w:tr w:rsidR="00F13288" w:rsidRPr="00612C85" w14:paraId="570A7399"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1CBE21"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Total Assets</w:t>
            </w:r>
          </w:p>
        </w:tc>
        <w:tc>
          <w:tcPr>
            <w:tcW w:w="0" w:type="auto"/>
            <w:hideMark/>
          </w:tcPr>
          <w:p w14:paraId="7BB6B9D9"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79,750</w:t>
            </w:r>
          </w:p>
        </w:tc>
        <w:tc>
          <w:tcPr>
            <w:tcW w:w="0" w:type="auto"/>
            <w:hideMark/>
          </w:tcPr>
          <w:p w14:paraId="2C04AD13"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75,266</w:t>
            </w:r>
          </w:p>
        </w:tc>
        <w:tc>
          <w:tcPr>
            <w:tcW w:w="0" w:type="auto"/>
            <w:hideMark/>
          </w:tcPr>
          <w:p w14:paraId="4A707377"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w:t>
            </w:r>
          </w:p>
        </w:tc>
      </w:tr>
      <w:tr w:rsidR="00F13288" w:rsidRPr="00612C85" w14:paraId="1DCDDBE9" w14:textId="77777777" w:rsidTr="00127345">
        <w:tc>
          <w:tcPr>
            <w:cnfStyle w:val="001000000000" w:firstRow="0" w:lastRow="0" w:firstColumn="1" w:lastColumn="0" w:oddVBand="0" w:evenVBand="0" w:oddHBand="0" w:evenHBand="0" w:firstRowFirstColumn="0" w:firstRowLastColumn="0" w:lastRowFirstColumn="0" w:lastRowLastColumn="0"/>
            <w:tcW w:w="0" w:type="auto"/>
            <w:hideMark/>
          </w:tcPr>
          <w:p w14:paraId="4701867B"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Non-Current Assets</w:t>
            </w:r>
          </w:p>
        </w:tc>
        <w:tc>
          <w:tcPr>
            <w:tcW w:w="0" w:type="auto"/>
            <w:hideMark/>
          </w:tcPr>
          <w:p w14:paraId="2090E49E"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60,556</w:t>
            </w:r>
          </w:p>
        </w:tc>
        <w:tc>
          <w:tcPr>
            <w:tcW w:w="0" w:type="auto"/>
            <w:hideMark/>
          </w:tcPr>
          <w:p w14:paraId="719F4342"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57,364</w:t>
            </w:r>
          </w:p>
        </w:tc>
        <w:tc>
          <w:tcPr>
            <w:tcW w:w="0" w:type="auto"/>
            <w:hideMark/>
          </w:tcPr>
          <w:p w14:paraId="05E42E38"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Includes Goodwill €22,311 (2024)</w:t>
            </w:r>
          </w:p>
        </w:tc>
      </w:tr>
      <w:tr w:rsidR="00F13288" w:rsidRPr="00612C85" w14:paraId="682544B8"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7A2AA5"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Current Assets</w:t>
            </w:r>
          </w:p>
        </w:tc>
        <w:tc>
          <w:tcPr>
            <w:tcW w:w="0" w:type="auto"/>
            <w:hideMark/>
          </w:tcPr>
          <w:p w14:paraId="52C2F433"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19,194</w:t>
            </w:r>
          </w:p>
        </w:tc>
        <w:tc>
          <w:tcPr>
            <w:tcW w:w="0" w:type="auto"/>
            <w:hideMark/>
          </w:tcPr>
          <w:p w14:paraId="1C1F36E6"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17,902</w:t>
            </w:r>
          </w:p>
        </w:tc>
        <w:tc>
          <w:tcPr>
            <w:tcW w:w="0" w:type="auto"/>
            <w:hideMark/>
          </w:tcPr>
          <w:p w14:paraId="7489DE62"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Includes Inventories €5,177 (2024)</w:t>
            </w:r>
          </w:p>
        </w:tc>
      </w:tr>
      <w:tr w:rsidR="00F13288" w:rsidRPr="00612C85" w14:paraId="3B10A112" w14:textId="77777777" w:rsidTr="00127345">
        <w:tc>
          <w:tcPr>
            <w:cnfStyle w:val="001000000000" w:firstRow="0" w:lastRow="0" w:firstColumn="1" w:lastColumn="0" w:oddVBand="0" w:evenVBand="0" w:oddHBand="0" w:evenHBand="0" w:firstRowFirstColumn="0" w:firstRowLastColumn="0" w:lastRowFirstColumn="0" w:lastRowLastColumn="0"/>
            <w:tcW w:w="0" w:type="auto"/>
            <w:hideMark/>
          </w:tcPr>
          <w:p w14:paraId="78CA2F11"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Total Liabilities</w:t>
            </w:r>
          </w:p>
        </w:tc>
        <w:tc>
          <w:tcPr>
            <w:tcW w:w="0" w:type="auto"/>
            <w:hideMark/>
          </w:tcPr>
          <w:p w14:paraId="7F7C9269"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57,195</w:t>
            </w:r>
          </w:p>
        </w:tc>
        <w:tc>
          <w:tcPr>
            <w:tcW w:w="0" w:type="auto"/>
            <w:hideMark/>
          </w:tcPr>
          <w:p w14:paraId="6909D46E"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54,502</w:t>
            </w:r>
          </w:p>
        </w:tc>
        <w:tc>
          <w:tcPr>
            <w:tcW w:w="0" w:type="auto"/>
            <w:hideMark/>
          </w:tcPr>
          <w:p w14:paraId="39277DC4"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w:t>
            </w:r>
          </w:p>
        </w:tc>
      </w:tr>
      <w:tr w:rsidR="00F13288" w:rsidRPr="00612C85" w14:paraId="040AB2DF"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FFF35A"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Current Liabilities</w:t>
            </w:r>
          </w:p>
        </w:tc>
        <w:tc>
          <w:tcPr>
            <w:tcW w:w="0" w:type="auto"/>
            <w:hideMark/>
          </w:tcPr>
          <w:p w14:paraId="012785F0"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25,234</w:t>
            </w:r>
          </w:p>
        </w:tc>
        <w:tc>
          <w:tcPr>
            <w:tcW w:w="0" w:type="auto"/>
            <w:hideMark/>
          </w:tcPr>
          <w:p w14:paraId="6449EB2D"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23,507</w:t>
            </w:r>
          </w:p>
        </w:tc>
        <w:tc>
          <w:tcPr>
            <w:tcW w:w="0" w:type="auto"/>
            <w:hideMark/>
          </w:tcPr>
          <w:p w14:paraId="02D016E3"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w:t>
            </w:r>
          </w:p>
        </w:tc>
      </w:tr>
      <w:tr w:rsidR="00F13288" w:rsidRPr="00612C85" w14:paraId="6D341B69" w14:textId="77777777" w:rsidTr="00127345">
        <w:tc>
          <w:tcPr>
            <w:cnfStyle w:val="001000000000" w:firstRow="0" w:lastRow="0" w:firstColumn="1" w:lastColumn="0" w:oddVBand="0" w:evenVBand="0" w:oddHBand="0" w:evenHBand="0" w:firstRowFirstColumn="0" w:firstRowLastColumn="0" w:lastRowFirstColumn="0" w:lastRowLastColumn="0"/>
            <w:tcW w:w="0" w:type="auto"/>
            <w:hideMark/>
          </w:tcPr>
          <w:p w14:paraId="297CD587"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Non-Current Liabilities</w:t>
            </w:r>
          </w:p>
        </w:tc>
        <w:tc>
          <w:tcPr>
            <w:tcW w:w="0" w:type="auto"/>
            <w:hideMark/>
          </w:tcPr>
          <w:p w14:paraId="35187593"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31,961</w:t>
            </w:r>
          </w:p>
        </w:tc>
        <w:tc>
          <w:tcPr>
            <w:tcW w:w="0" w:type="auto"/>
            <w:hideMark/>
          </w:tcPr>
          <w:p w14:paraId="06635552"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30,995</w:t>
            </w:r>
          </w:p>
        </w:tc>
        <w:tc>
          <w:tcPr>
            <w:tcW w:w="0" w:type="auto"/>
            <w:hideMark/>
          </w:tcPr>
          <w:p w14:paraId="2BCCDC81"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w:t>
            </w:r>
          </w:p>
        </w:tc>
      </w:tr>
      <w:tr w:rsidR="00F13288" w:rsidRPr="00612C85" w14:paraId="0970F9A9"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0C8BD7"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lastRenderedPageBreak/>
              <w:t>Total Equity</w:t>
            </w:r>
          </w:p>
        </w:tc>
        <w:tc>
          <w:tcPr>
            <w:tcW w:w="0" w:type="auto"/>
            <w:hideMark/>
          </w:tcPr>
          <w:p w14:paraId="135D5634"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22,555</w:t>
            </w:r>
          </w:p>
        </w:tc>
        <w:tc>
          <w:tcPr>
            <w:tcW w:w="0" w:type="auto"/>
            <w:hideMark/>
          </w:tcPr>
          <w:p w14:paraId="7EC0CAFA"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20,764</w:t>
            </w:r>
          </w:p>
        </w:tc>
        <w:tc>
          <w:tcPr>
            <w:tcW w:w="0" w:type="auto"/>
            <w:hideMark/>
          </w:tcPr>
          <w:p w14:paraId="4537D19B"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w:t>
            </w:r>
          </w:p>
        </w:tc>
      </w:tr>
      <w:tr w:rsidR="00F13288" w:rsidRPr="00612C85" w14:paraId="3DB3CA8A" w14:textId="77777777" w:rsidTr="00127345">
        <w:tc>
          <w:tcPr>
            <w:cnfStyle w:val="001000000000" w:firstRow="0" w:lastRow="0" w:firstColumn="1" w:lastColumn="0" w:oddVBand="0" w:evenVBand="0" w:oddHBand="0" w:evenHBand="0" w:firstRowFirstColumn="0" w:firstRowLastColumn="0" w:lastRowFirstColumn="0" w:lastRowLastColumn="0"/>
            <w:tcW w:w="0" w:type="auto"/>
            <w:hideMark/>
          </w:tcPr>
          <w:p w14:paraId="4E266D69"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Shareholders’ Equity</w:t>
            </w:r>
          </w:p>
        </w:tc>
        <w:tc>
          <w:tcPr>
            <w:tcW w:w="0" w:type="auto"/>
            <w:hideMark/>
          </w:tcPr>
          <w:p w14:paraId="334024A5"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19,990</w:t>
            </w:r>
          </w:p>
        </w:tc>
        <w:tc>
          <w:tcPr>
            <w:tcW w:w="0" w:type="auto"/>
            <w:hideMark/>
          </w:tcPr>
          <w:p w14:paraId="3ECA9D11"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18,102</w:t>
            </w:r>
          </w:p>
        </w:tc>
        <w:tc>
          <w:tcPr>
            <w:tcW w:w="0" w:type="auto"/>
            <w:hideMark/>
          </w:tcPr>
          <w:p w14:paraId="7DF867D1"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w:t>
            </w:r>
          </w:p>
        </w:tc>
      </w:tr>
      <w:tr w:rsidR="00F13288" w:rsidRPr="00612C85" w14:paraId="15D6BF8D"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6DF5A9"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Net Debt</w:t>
            </w:r>
          </w:p>
        </w:tc>
        <w:tc>
          <w:tcPr>
            <w:tcW w:w="0" w:type="auto"/>
            <w:hideMark/>
          </w:tcPr>
          <w:p w14:paraId="567632F4"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24,519</w:t>
            </w:r>
          </w:p>
        </w:tc>
        <w:tc>
          <w:tcPr>
            <w:tcW w:w="0" w:type="auto"/>
            <w:hideMark/>
          </w:tcPr>
          <w:p w14:paraId="0F8D9D53"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23,657</w:t>
            </w:r>
          </w:p>
        </w:tc>
        <w:tc>
          <w:tcPr>
            <w:tcW w:w="0" w:type="auto"/>
            <w:hideMark/>
          </w:tcPr>
          <w:p w14:paraId="46D93518"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w:t>
            </w:r>
          </w:p>
        </w:tc>
      </w:tr>
    </w:tbl>
    <w:p w14:paraId="6A7F31ED" w14:textId="77777777" w:rsidR="00F13288" w:rsidRPr="00612C85" w:rsidRDefault="00F13288" w:rsidP="00F13288">
      <w:pPr>
        <w:spacing w:before="100" w:beforeAutospacing="1" w:after="100" w:afterAutospacing="1" w:line="240" w:lineRule="auto"/>
        <w:rPr>
          <w:rFonts w:eastAsia="Times New Roman" w:cs="Times New Roman"/>
          <w:szCs w:val="24"/>
        </w:rPr>
      </w:pPr>
      <w:r w:rsidRPr="00612C85">
        <w:rPr>
          <w:rFonts w:eastAsia="Times New Roman" w:cs="Times New Roman"/>
          <w:b/>
          <w:bCs/>
          <w:szCs w:val="24"/>
        </w:rPr>
        <w:t>Consolidated Cash Flow Statement (Key Lines)</w:t>
      </w:r>
    </w:p>
    <w:tbl>
      <w:tblPr>
        <w:tblStyle w:val="GridTable4-Accent1"/>
        <w:tblW w:w="0" w:type="auto"/>
        <w:tblLook w:val="04A0" w:firstRow="1" w:lastRow="0" w:firstColumn="1" w:lastColumn="0" w:noHBand="0" w:noVBand="1"/>
      </w:tblPr>
      <w:tblGrid>
        <w:gridCol w:w="3011"/>
        <w:gridCol w:w="2212"/>
        <w:gridCol w:w="1207"/>
        <w:gridCol w:w="2586"/>
      </w:tblGrid>
      <w:tr w:rsidR="00F13288" w:rsidRPr="00612C85" w14:paraId="69F1D9EC" w14:textId="77777777" w:rsidTr="001273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AB49A9" w14:textId="77777777" w:rsidR="00F13288" w:rsidRPr="00612C85" w:rsidRDefault="00F13288" w:rsidP="00127345">
            <w:pPr>
              <w:jc w:val="center"/>
              <w:rPr>
                <w:rFonts w:eastAsia="Times New Roman" w:cs="Times New Roman"/>
                <w:b w:val="0"/>
                <w:bCs w:val="0"/>
                <w:szCs w:val="24"/>
                <w:lang w:eastAsia="en-GB"/>
              </w:rPr>
            </w:pPr>
            <w:r w:rsidRPr="00612C85">
              <w:rPr>
                <w:rFonts w:eastAsia="Times New Roman" w:cs="Times New Roman"/>
                <w:b w:val="0"/>
                <w:bCs w:val="0"/>
                <w:szCs w:val="24"/>
                <w:lang w:eastAsia="en-GB"/>
              </w:rPr>
              <w:t>Line Item</w:t>
            </w:r>
          </w:p>
        </w:tc>
        <w:tc>
          <w:tcPr>
            <w:tcW w:w="0" w:type="auto"/>
            <w:hideMark/>
          </w:tcPr>
          <w:p w14:paraId="423595D6"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2024 (€m)</w:t>
            </w:r>
          </w:p>
        </w:tc>
        <w:tc>
          <w:tcPr>
            <w:tcW w:w="0" w:type="auto"/>
            <w:hideMark/>
          </w:tcPr>
          <w:p w14:paraId="1CC20A7C"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2023 (€m)</w:t>
            </w:r>
          </w:p>
        </w:tc>
        <w:tc>
          <w:tcPr>
            <w:tcW w:w="0" w:type="auto"/>
            <w:hideMark/>
          </w:tcPr>
          <w:p w14:paraId="5B19056C"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Notes</w:t>
            </w:r>
          </w:p>
        </w:tc>
      </w:tr>
      <w:tr w:rsidR="00F13288" w:rsidRPr="00612C85" w14:paraId="77CCB0D2"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421CD4"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Cash Flows from Operating Activities</w:t>
            </w:r>
          </w:p>
        </w:tc>
        <w:tc>
          <w:tcPr>
            <w:tcW w:w="0" w:type="auto"/>
            <w:hideMark/>
          </w:tcPr>
          <w:p w14:paraId="4958F903"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9,519–12,144 (range from sources)</w:t>
            </w:r>
          </w:p>
        </w:tc>
        <w:tc>
          <w:tcPr>
            <w:tcW w:w="0" w:type="auto"/>
            <w:hideMark/>
          </w:tcPr>
          <w:p w14:paraId="7555B5A3"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9,426–11,561</w:t>
            </w:r>
          </w:p>
        </w:tc>
        <w:tc>
          <w:tcPr>
            <w:tcW w:w="0" w:type="auto"/>
            <w:hideMark/>
          </w:tcPr>
          <w:p w14:paraId="74262E57"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Strong conversion</w:t>
            </w:r>
          </w:p>
        </w:tc>
      </w:tr>
      <w:tr w:rsidR="00F13288" w:rsidRPr="00612C85" w14:paraId="0DF2E63A" w14:textId="77777777" w:rsidTr="00127345">
        <w:tc>
          <w:tcPr>
            <w:cnfStyle w:val="001000000000" w:firstRow="0" w:lastRow="0" w:firstColumn="1" w:lastColumn="0" w:oddVBand="0" w:evenVBand="0" w:oddHBand="0" w:evenHBand="0" w:firstRowFirstColumn="0" w:firstRowLastColumn="0" w:lastRowFirstColumn="0" w:lastRowLastColumn="0"/>
            <w:tcW w:w="0" w:type="auto"/>
            <w:hideMark/>
          </w:tcPr>
          <w:p w14:paraId="02A853D1"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Cash Flows from/(Used in) Investing Activities</w:t>
            </w:r>
          </w:p>
        </w:tc>
        <w:tc>
          <w:tcPr>
            <w:tcW w:w="0" w:type="auto"/>
            <w:hideMark/>
          </w:tcPr>
          <w:p w14:paraId="0EA41F38"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(625)</w:t>
            </w:r>
          </w:p>
        </w:tc>
        <w:tc>
          <w:tcPr>
            <w:tcW w:w="0" w:type="auto"/>
            <w:hideMark/>
          </w:tcPr>
          <w:p w14:paraId="494E53DA"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(2,294)</w:t>
            </w:r>
          </w:p>
        </w:tc>
        <w:tc>
          <w:tcPr>
            <w:tcW w:w="0" w:type="auto"/>
            <w:hideMark/>
          </w:tcPr>
          <w:p w14:paraId="5CF3BEFD"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Improved in 2024</w:t>
            </w:r>
          </w:p>
        </w:tc>
      </w:tr>
      <w:tr w:rsidR="00F13288" w:rsidRPr="00612C85" w14:paraId="6B950C46"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76EB47"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Cash Flows Used in Financing Activities</w:t>
            </w:r>
          </w:p>
        </w:tc>
        <w:tc>
          <w:tcPr>
            <w:tcW w:w="0" w:type="auto"/>
            <w:hideMark/>
          </w:tcPr>
          <w:p w14:paraId="7F2CE313"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(6,941)</w:t>
            </w:r>
          </w:p>
        </w:tc>
        <w:tc>
          <w:tcPr>
            <w:tcW w:w="0" w:type="auto"/>
            <w:hideMark/>
          </w:tcPr>
          <w:p w14:paraId="78103966"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(7,193)</w:t>
            </w:r>
          </w:p>
        </w:tc>
        <w:tc>
          <w:tcPr>
            <w:tcW w:w="0" w:type="auto"/>
            <w:hideMark/>
          </w:tcPr>
          <w:p w14:paraId="2176F4AB"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Includes dividends/buybacks</w:t>
            </w:r>
          </w:p>
        </w:tc>
      </w:tr>
      <w:tr w:rsidR="00F13288" w:rsidRPr="00612C85" w14:paraId="13F04C3C" w14:textId="77777777" w:rsidTr="00127345">
        <w:tc>
          <w:tcPr>
            <w:cnfStyle w:val="001000000000" w:firstRow="0" w:lastRow="0" w:firstColumn="1" w:lastColumn="0" w:oddVBand="0" w:evenVBand="0" w:oddHBand="0" w:evenHBand="0" w:firstRowFirstColumn="0" w:firstRowLastColumn="0" w:lastRowFirstColumn="0" w:lastRowLastColumn="0"/>
            <w:tcW w:w="0" w:type="auto"/>
            <w:hideMark/>
          </w:tcPr>
          <w:p w14:paraId="5004D68F"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Net Cash Flow</w:t>
            </w:r>
          </w:p>
        </w:tc>
        <w:tc>
          <w:tcPr>
            <w:tcW w:w="0" w:type="auto"/>
            <w:hideMark/>
          </w:tcPr>
          <w:p w14:paraId="64A812F9"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1,953 (approx.)</w:t>
            </w:r>
          </w:p>
        </w:tc>
        <w:tc>
          <w:tcPr>
            <w:tcW w:w="0" w:type="auto"/>
            <w:hideMark/>
          </w:tcPr>
          <w:p w14:paraId="1EECD14C"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(61) approx.</w:t>
            </w:r>
          </w:p>
        </w:tc>
        <w:tc>
          <w:tcPr>
            <w:tcW w:w="0" w:type="auto"/>
            <w:hideMark/>
          </w:tcPr>
          <w:p w14:paraId="7E26073B"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w:t>
            </w:r>
          </w:p>
        </w:tc>
      </w:tr>
      <w:tr w:rsidR="00F13288" w:rsidRPr="00612C85" w14:paraId="39B3B4C1"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A95F8F"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Free Cash Flow</w:t>
            </w:r>
          </w:p>
        </w:tc>
        <w:tc>
          <w:tcPr>
            <w:tcW w:w="0" w:type="auto"/>
            <w:hideMark/>
          </w:tcPr>
          <w:p w14:paraId="70C3A88B"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6,900–6,932</w:t>
            </w:r>
          </w:p>
        </w:tc>
        <w:tc>
          <w:tcPr>
            <w:tcW w:w="0" w:type="auto"/>
            <w:hideMark/>
          </w:tcPr>
          <w:p w14:paraId="1D25D429"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7,091</w:t>
            </w:r>
          </w:p>
        </w:tc>
        <w:tc>
          <w:tcPr>
            <w:tcW w:w="0" w:type="auto"/>
            <w:hideMark/>
          </w:tcPr>
          <w:p w14:paraId="4F48DF84"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106% cash conversion in 2024</w:t>
            </w:r>
          </w:p>
        </w:tc>
      </w:tr>
      <w:tr w:rsidR="00F13288" w:rsidRPr="00612C85" w14:paraId="7FC323E1" w14:textId="77777777" w:rsidTr="00127345">
        <w:tc>
          <w:tcPr>
            <w:cnfStyle w:val="001000000000" w:firstRow="0" w:lastRow="0" w:firstColumn="1" w:lastColumn="0" w:oddVBand="0" w:evenVBand="0" w:oddHBand="0" w:evenHBand="0" w:firstRowFirstColumn="0" w:firstRowLastColumn="0" w:lastRowFirstColumn="0" w:lastRowLastColumn="0"/>
            <w:tcW w:w="0" w:type="auto"/>
            <w:hideMark/>
          </w:tcPr>
          <w:p w14:paraId="3E2A15DF"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Closing Cash and Cash Equivalents</w:t>
            </w:r>
          </w:p>
        </w:tc>
        <w:tc>
          <w:tcPr>
            <w:tcW w:w="0" w:type="auto"/>
            <w:hideMark/>
          </w:tcPr>
          <w:p w14:paraId="6F95E9F8"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6,136</w:t>
            </w:r>
          </w:p>
        </w:tc>
        <w:tc>
          <w:tcPr>
            <w:tcW w:w="0" w:type="auto"/>
            <w:hideMark/>
          </w:tcPr>
          <w:p w14:paraId="653DC6C1"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4,159</w:t>
            </w:r>
          </w:p>
        </w:tc>
        <w:tc>
          <w:tcPr>
            <w:tcW w:w="0" w:type="auto"/>
            <w:hideMark/>
          </w:tcPr>
          <w:p w14:paraId="0DFEB71A"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w:t>
            </w:r>
          </w:p>
        </w:tc>
      </w:tr>
    </w:tbl>
    <w:p w14:paraId="7C445ADB" w14:textId="77777777" w:rsidR="00F13288" w:rsidRPr="00612C85" w:rsidRDefault="00F13288" w:rsidP="00B50A2A">
      <w:pPr>
        <w:pStyle w:val="Heading2"/>
      </w:pPr>
      <w:bookmarkStart w:id="30" w:name="_Toc222786333"/>
      <w:r w:rsidRPr="00612C85">
        <w:t>Appendix 2: Detailed Ratio Calculations (Over Two Years)</w:t>
      </w:r>
      <w:bookmarkEnd w:id="30"/>
    </w:p>
    <w:p w14:paraId="655E87F4" w14:textId="77777777" w:rsidR="00F13288" w:rsidRPr="00612C85" w:rsidRDefault="00F13288" w:rsidP="00F13288">
      <w:pPr>
        <w:spacing w:before="100" w:beforeAutospacing="1" w:after="100" w:afterAutospacing="1" w:line="240" w:lineRule="auto"/>
        <w:rPr>
          <w:rFonts w:eastAsia="Times New Roman" w:cs="Times New Roman"/>
          <w:szCs w:val="24"/>
        </w:rPr>
      </w:pPr>
      <w:r w:rsidRPr="00612C85">
        <w:rPr>
          <w:rFonts w:eastAsia="Times New Roman" w:cs="Times New Roman"/>
          <w:b/>
          <w:bCs/>
          <w:szCs w:val="24"/>
        </w:rPr>
        <w:t>Profitability Ratios</w:t>
      </w:r>
    </w:p>
    <w:tbl>
      <w:tblPr>
        <w:tblStyle w:val="GridTable4-Accent1"/>
        <w:tblW w:w="0" w:type="auto"/>
        <w:tblLook w:val="04A0" w:firstRow="1" w:lastRow="0" w:firstColumn="1" w:lastColumn="0" w:noHBand="0" w:noVBand="1"/>
      </w:tblPr>
      <w:tblGrid>
        <w:gridCol w:w="1758"/>
        <w:gridCol w:w="1759"/>
        <w:gridCol w:w="1843"/>
        <w:gridCol w:w="1570"/>
        <w:gridCol w:w="2086"/>
      </w:tblGrid>
      <w:tr w:rsidR="00F13288" w:rsidRPr="00612C85" w14:paraId="5F3AAC24" w14:textId="77777777" w:rsidTr="001273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929A57" w14:textId="77777777" w:rsidR="00F13288" w:rsidRPr="00612C85" w:rsidRDefault="00F13288" w:rsidP="00127345">
            <w:pPr>
              <w:jc w:val="center"/>
              <w:rPr>
                <w:rFonts w:eastAsia="Times New Roman" w:cs="Times New Roman"/>
                <w:b w:val="0"/>
                <w:bCs w:val="0"/>
                <w:szCs w:val="24"/>
                <w:lang w:eastAsia="en-GB"/>
              </w:rPr>
            </w:pPr>
            <w:r w:rsidRPr="00612C85">
              <w:rPr>
                <w:rFonts w:eastAsia="Times New Roman" w:cs="Times New Roman"/>
                <w:b w:val="0"/>
                <w:bCs w:val="0"/>
                <w:szCs w:val="24"/>
                <w:lang w:eastAsia="en-GB"/>
              </w:rPr>
              <w:t>Ratio</w:t>
            </w:r>
          </w:p>
        </w:tc>
        <w:tc>
          <w:tcPr>
            <w:tcW w:w="0" w:type="auto"/>
            <w:hideMark/>
          </w:tcPr>
          <w:p w14:paraId="713801B9"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Formula</w:t>
            </w:r>
          </w:p>
        </w:tc>
        <w:tc>
          <w:tcPr>
            <w:tcW w:w="0" w:type="auto"/>
            <w:hideMark/>
          </w:tcPr>
          <w:p w14:paraId="0CA71BCF"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2024 Calculation &amp; Result</w:t>
            </w:r>
          </w:p>
        </w:tc>
        <w:tc>
          <w:tcPr>
            <w:tcW w:w="0" w:type="auto"/>
            <w:hideMark/>
          </w:tcPr>
          <w:p w14:paraId="01E28295"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2023 Calculation &amp; Result</w:t>
            </w:r>
          </w:p>
        </w:tc>
        <w:tc>
          <w:tcPr>
            <w:tcW w:w="0" w:type="auto"/>
            <w:hideMark/>
          </w:tcPr>
          <w:p w14:paraId="69B85250"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Trend/Comment</w:t>
            </w:r>
          </w:p>
        </w:tc>
      </w:tr>
      <w:tr w:rsidR="00F13288" w:rsidRPr="00612C85" w14:paraId="38164240"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EAD331"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Gross Margin</w:t>
            </w:r>
          </w:p>
        </w:tc>
        <w:tc>
          <w:tcPr>
            <w:tcW w:w="0" w:type="auto"/>
            <w:hideMark/>
          </w:tcPr>
          <w:p w14:paraId="13B4F125"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Gross Profit / Turnover × 100</w:t>
            </w:r>
          </w:p>
        </w:tc>
        <w:tc>
          <w:tcPr>
            <w:tcW w:w="0" w:type="auto"/>
            <w:hideMark/>
          </w:tcPr>
          <w:p w14:paraId="1F93D2F6"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(Not directly given; reported up 280 bps to ~45%)</w:t>
            </w:r>
          </w:p>
        </w:tc>
        <w:tc>
          <w:tcPr>
            <w:tcW w:w="0" w:type="auto"/>
            <w:hideMark/>
          </w:tcPr>
          <w:p w14:paraId="0510FBE4"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~42.2% (approx.)</w:t>
            </w:r>
          </w:p>
        </w:tc>
        <w:tc>
          <w:tcPr>
            <w:tcW w:w="0" w:type="auto"/>
            <w:hideMark/>
          </w:tcPr>
          <w:p w14:paraId="779C091B"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Improved due to volume &amp; savings</w:t>
            </w:r>
          </w:p>
        </w:tc>
      </w:tr>
      <w:tr w:rsidR="00F13288" w:rsidRPr="00612C85" w14:paraId="0A7D72D1" w14:textId="77777777" w:rsidTr="00127345">
        <w:tc>
          <w:tcPr>
            <w:cnfStyle w:val="001000000000" w:firstRow="0" w:lastRow="0" w:firstColumn="1" w:lastColumn="0" w:oddVBand="0" w:evenVBand="0" w:oddHBand="0" w:evenHBand="0" w:firstRowFirstColumn="0" w:firstRowLastColumn="0" w:lastRowFirstColumn="0" w:lastRowLastColumn="0"/>
            <w:tcW w:w="0" w:type="auto"/>
            <w:hideMark/>
          </w:tcPr>
          <w:p w14:paraId="48F86B63"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Operating Margin</w:t>
            </w:r>
          </w:p>
        </w:tc>
        <w:tc>
          <w:tcPr>
            <w:tcW w:w="0" w:type="auto"/>
            <w:hideMark/>
          </w:tcPr>
          <w:p w14:paraId="7D3CA282"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Operating Profit / Turnover × 100</w:t>
            </w:r>
          </w:p>
        </w:tc>
        <w:tc>
          <w:tcPr>
            <w:tcW w:w="0" w:type="auto"/>
            <w:hideMark/>
          </w:tcPr>
          <w:p w14:paraId="1A33447F"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9,400 / 60,761 × 100 = 15.5%</w:t>
            </w:r>
          </w:p>
        </w:tc>
        <w:tc>
          <w:tcPr>
            <w:tcW w:w="0" w:type="auto"/>
            <w:hideMark/>
          </w:tcPr>
          <w:p w14:paraId="3BD78BF0"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9,758 / 59,604 × 100 ≈ 16.4%</w:t>
            </w:r>
          </w:p>
        </w:tc>
        <w:tc>
          <w:tcPr>
            <w:tcW w:w="0" w:type="auto"/>
            <w:hideMark/>
          </w:tcPr>
          <w:p w14:paraId="57203AD2"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Slight decline (non-underlying items)</w:t>
            </w:r>
          </w:p>
        </w:tc>
      </w:tr>
      <w:tr w:rsidR="00F13288" w:rsidRPr="00612C85" w14:paraId="2074BDBE"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AA7E51"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lastRenderedPageBreak/>
              <w:t>Underlying Operating Margin</w:t>
            </w:r>
          </w:p>
        </w:tc>
        <w:tc>
          <w:tcPr>
            <w:tcW w:w="0" w:type="auto"/>
            <w:hideMark/>
          </w:tcPr>
          <w:p w14:paraId="6CBC9A5A"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Underlying Op. Profit / Turnover × 100</w:t>
            </w:r>
          </w:p>
        </w:tc>
        <w:tc>
          <w:tcPr>
            <w:tcW w:w="0" w:type="auto"/>
            <w:hideMark/>
          </w:tcPr>
          <w:p w14:paraId="1A7A5FFD"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11,200 / 60,761 × 100 ≈ 18.4%</w:t>
            </w:r>
          </w:p>
        </w:tc>
        <w:tc>
          <w:tcPr>
            <w:tcW w:w="0" w:type="auto"/>
            <w:hideMark/>
          </w:tcPr>
          <w:p w14:paraId="63C138F6"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9,931 / 59,604 × 100 ≈ 16.7%</w:t>
            </w:r>
          </w:p>
        </w:tc>
        <w:tc>
          <w:tcPr>
            <w:tcW w:w="0" w:type="auto"/>
            <w:hideMark/>
          </w:tcPr>
          <w:p w14:paraId="06B31D39"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+170 bps – strong core performance</w:t>
            </w:r>
          </w:p>
        </w:tc>
      </w:tr>
      <w:tr w:rsidR="00F13288" w:rsidRPr="00612C85" w14:paraId="1447F83F" w14:textId="77777777" w:rsidTr="00127345">
        <w:tc>
          <w:tcPr>
            <w:cnfStyle w:val="001000000000" w:firstRow="0" w:lastRow="0" w:firstColumn="1" w:lastColumn="0" w:oddVBand="0" w:evenVBand="0" w:oddHBand="0" w:evenHBand="0" w:firstRowFirstColumn="0" w:firstRowLastColumn="0" w:lastRowFirstColumn="0" w:lastRowLastColumn="0"/>
            <w:tcW w:w="0" w:type="auto"/>
            <w:hideMark/>
          </w:tcPr>
          <w:p w14:paraId="399FF80B"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Net Profit Margin</w:t>
            </w:r>
          </w:p>
        </w:tc>
        <w:tc>
          <w:tcPr>
            <w:tcW w:w="0" w:type="auto"/>
            <w:hideMark/>
          </w:tcPr>
          <w:p w14:paraId="48FB858D"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Net Profit / Turnover × 100</w:t>
            </w:r>
          </w:p>
        </w:tc>
        <w:tc>
          <w:tcPr>
            <w:tcW w:w="0" w:type="auto"/>
            <w:hideMark/>
          </w:tcPr>
          <w:p w14:paraId="743F5DF7"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6,369 / 60,761 × 100 ≈ 10.5%</w:t>
            </w:r>
          </w:p>
        </w:tc>
        <w:tc>
          <w:tcPr>
            <w:tcW w:w="0" w:type="auto"/>
            <w:hideMark/>
          </w:tcPr>
          <w:p w14:paraId="3E04D493"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7,140 / 59,604 × 100 ≈ 12.0%</w:t>
            </w:r>
          </w:p>
        </w:tc>
        <w:tc>
          <w:tcPr>
            <w:tcW w:w="0" w:type="auto"/>
            <w:hideMark/>
          </w:tcPr>
          <w:p w14:paraId="5A5BF161"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Decline due to one-offs</w:t>
            </w:r>
          </w:p>
        </w:tc>
      </w:tr>
      <w:tr w:rsidR="00F13288" w:rsidRPr="00612C85" w14:paraId="2C238B09"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0B52D8"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Return on Capital Employed (ROCE)</w:t>
            </w:r>
          </w:p>
        </w:tc>
        <w:tc>
          <w:tcPr>
            <w:tcW w:w="0" w:type="auto"/>
            <w:hideMark/>
          </w:tcPr>
          <w:p w14:paraId="5575E6A9"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Operating Profit / (Equity + Net Debt) × 100</w:t>
            </w:r>
          </w:p>
        </w:tc>
        <w:tc>
          <w:tcPr>
            <w:tcW w:w="0" w:type="auto"/>
            <w:hideMark/>
          </w:tcPr>
          <w:p w14:paraId="271EB218"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Approx. 18.1% underlying ROIC</w:t>
            </w:r>
          </w:p>
        </w:tc>
        <w:tc>
          <w:tcPr>
            <w:tcW w:w="0" w:type="auto"/>
            <w:hideMark/>
          </w:tcPr>
          <w:p w14:paraId="5FA30E3F"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Lower (up 190 bps in 2024)</w:t>
            </w:r>
          </w:p>
        </w:tc>
        <w:tc>
          <w:tcPr>
            <w:tcW w:w="0" w:type="auto"/>
            <w:hideMark/>
          </w:tcPr>
          <w:p w14:paraId="0D666453"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Improved efficiency</w:t>
            </w:r>
          </w:p>
        </w:tc>
      </w:tr>
    </w:tbl>
    <w:p w14:paraId="6A99ABAA" w14:textId="77777777" w:rsidR="00F13288" w:rsidRPr="00612C85" w:rsidRDefault="00F13288" w:rsidP="00F13288">
      <w:pPr>
        <w:spacing w:before="100" w:beforeAutospacing="1" w:after="100" w:afterAutospacing="1" w:line="240" w:lineRule="auto"/>
        <w:rPr>
          <w:rFonts w:eastAsia="Times New Roman" w:cs="Times New Roman"/>
          <w:szCs w:val="24"/>
        </w:rPr>
      </w:pPr>
      <w:r w:rsidRPr="00612C85">
        <w:rPr>
          <w:rFonts w:eastAsia="Times New Roman" w:cs="Times New Roman"/>
          <w:b/>
          <w:bCs/>
          <w:szCs w:val="24"/>
        </w:rPr>
        <w:t>Liquidity Ratios</w:t>
      </w:r>
    </w:p>
    <w:tbl>
      <w:tblPr>
        <w:tblStyle w:val="GridTable4-Accent1"/>
        <w:tblW w:w="0" w:type="auto"/>
        <w:tblLook w:val="04A0" w:firstRow="1" w:lastRow="0" w:firstColumn="1" w:lastColumn="0" w:noHBand="0" w:noVBand="1"/>
      </w:tblPr>
      <w:tblGrid>
        <w:gridCol w:w="1281"/>
        <w:gridCol w:w="2706"/>
        <w:gridCol w:w="1807"/>
        <w:gridCol w:w="1459"/>
        <w:gridCol w:w="1763"/>
      </w:tblGrid>
      <w:tr w:rsidR="00F13288" w:rsidRPr="00612C85" w14:paraId="75227F90" w14:textId="77777777" w:rsidTr="001273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5B78F8" w14:textId="77777777" w:rsidR="00F13288" w:rsidRPr="00612C85" w:rsidRDefault="00F13288" w:rsidP="00127345">
            <w:pPr>
              <w:jc w:val="center"/>
              <w:rPr>
                <w:rFonts w:eastAsia="Times New Roman" w:cs="Times New Roman"/>
                <w:b w:val="0"/>
                <w:bCs w:val="0"/>
                <w:szCs w:val="24"/>
                <w:lang w:eastAsia="en-GB"/>
              </w:rPr>
            </w:pPr>
            <w:r w:rsidRPr="00612C85">
              <w:rPr>
                <w:rFonts w:eastAsia="Times New Roman" w:cs="Times New Roman"/>
                <w:b w:val="0"/>
                <w:bCs w:val="0"/>
                <w:szCs w:val="24"/>
                <w:lang w:eastAsia="en-GB"/>
              </w:rPr>
              <w:t>Ratio</w:t>
            </w:r>
          </w:p>
        </w:tc>
        <w:tc>
          <w:tcPr>
            <w:tcW w:w="0" w:type="auto"/>
            <w:hideMark/>
          </w:tcPr>
          <w:p w14:paraId="643C7E42"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Formula</w:t>
            </w:r>
          </w:p>
        </w:tc>
        <w:tc>
          <w:tcPr>
            <w:tcW w:w="0" w:type="auto"/>
            <w:hideMark/>
          </w:tcPr>
          <w:p w14:paraId="7FC4A4B5"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2024</w:t>
            </w:r>
          </w:p>
        </w:tc>
        <w:tc>
          <w:tcPr>
            <w:tcW w:w="0" w:type="auto"/>
            <w:hideMark/>
          </w:tcPr>
          <w:p w14:paraId="35EFA1D3"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2023</w:t>
            </w:r>
          </w:p>
        </w:tc>
        <w:tc>
          <w:tcPr>
            <w:tcW w:w="0" w:type="auto"/>
            <w:hideMark/>
          </w:tcPr>
          <w:p w14:paraId="451FEF0C"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Comment</w:t>
            </w:r>
          </w:p>
        </w:tc>
      </w:tr>
      <w:tr w:rsidR="00F13288" w:rsidRPr="00612C85" w14:paraId="1EB0D299"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84C035"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Current Ratio</w:t>
            </w:r>
          </w:p>
        </w:tc>
        <w:tc>
          <w:tcPr>
            <w:tcW w:w="0" w:type="auto"/>
            <w:hideMark/>
          </w:tcPr>
          <w:p w14:paraId="4ACE85B3"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Current Assets / Current Liabilities</w:t>
            </w:r>
          </w:p>
        </w:tc>
        <w:tc>
          <w:tcPr>
            <w:tcW w:w="0" w:type="auto"/>
            <w:hideMark/>
          </w:tcPr>
          <w:p w14:paraId="6FEBF2B3"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19,194 / 25,234 ≈ 0.76</w:t>
            </w:r>
          </w:p>
        </w:tc>
        <w:tc>
          <w:tcPr>
            <w:tcW w:w="0" w:type="auto"/>
            <w:hideMark/>
          </w:tcPr>
          <w:p w14:paraId="49CAB297"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17,902 / 23,507 ≈ 0.76</w:t>
            </w:r>
          </w:p>
        </w:tc>
        <w:tc>
          <w:tcPr>
            <w:tcW w:w="0" w:type="auto"/>
            <w:hideMark/>
          </w:tcPr>
          <w:p w14:paraId="0032248D"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Stable, typical for FMCG</w:t>
            </w:r>
          </w:p>
        </w:tc>
      </w:tr>
      <w:tr w:rsidR="00F13288" w:rsidRPr="00612C85" w14:paraId="341AC93A" w14:textId="77777777" w:rsidTr="00127345">
        <w:tc>
          <w:tcPr>
            <w:cnfStyle w:val="001000000000" w:firstRow="0" w:lastRow="0" w:firstColumn="1" w:lastColumn="0" w:oddVBand="0" w:evenVBand="0" w:oddHBand="0" w:evenHBand="0" w:firstRowFirstColumn="0" w:firstRowLastColumn="0" w:lastRowFirstColumn="0" w:lastRowLastColumn="0"/>
            <w:tcW w:w="0" w:type="auto"/>
            <w:hideMark/>
          </w:tcPr>
          <w:p w14:paraId="008BF2DB"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Quick Ratio</w:t>
            </w:r>
          </w:p>
        </w:tc>
        <w:tc>
          <w:tcPr>
            <w:tcW w:w="0" w:type="auto"/>
            <w:hideMark/>
          </w:tcPr>
          <w:p w14:paraId="13F0710F"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(Current Assets - Inventories) / Current Liabilities</w:t>
            </w:r>
          </w:p>
        </w:tc>
        <w:tc>
          <w:tcPr>
            <w:tcW w:w="0" w:type="auto"/>
            <w:hideMark/>
          </w:tcPr>
          <w:p w14:paraId="0A2E1A74"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(19,194 - 5,177) / 25,234 ≈ 0.56</w:t>
            </w:r>
          </w:p>
        </w:tc>
        <w:tc>
          <w:tcPr>
            <w:tcW w:w="0" w:type="auto"/>
            <w:hideMark/>
          </w:tcPr>
          <w:p w14:paraId="25B9967E"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Similar ≈ 0.55</w:t>
            </w:r>
          </w:p>
        </w:tc>
        <w:tc>
          <w:tcPr>
            <w:tcW w:w="0" w:type="auto"/>
            <w:hideMark/>
          </w:tcPr>
          <w:p w14:paraId="5BCF2066"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Adequate cash generation</w:t>
            </w:r>
          </w:p>
        </w:tc>
      </w:tr>
    </w:tbl>
    <w:p w14:paraId="02A681E7" w14:textId="77777777" w:rsidR="00F13288" w:rsidRPr="00612C85" w:rsidRDefault="00F13288" w:rsidP="00F13288">
      <w:pPr>
        <w:spacing w:before="100" w:beforeAutospacing="1" w:after="100" w:afterAutospacing="1" w:line="240" w:lineRule="auto"/>
        <w:rPr>
          <w:rFonts w:eastAsia="Times New Roman" w:cs="Times New Roman"/>
          <w:szCs w:val="24"/>
        </w:rPr>
      </w:pPr>
      <w:r w:rsidRPr="00612C85">
        <w:rPr>
          <w:rFonts w:eastAsia="Times New Roman" w:cs="Times New Roman"/>
          <w:b/>
          <w:bCs/>
          <w:szCs w:val="24"/>
        </w:rPr>
        <w:t>Gearing Ratios</w:t>
      </w:r>
    </w:p>
    <w:tbl>
      <w:tblPr>
        <w:tblStyle w:val="GridTable4-Accent1"/>
        <w:tblW w:w="0" w:type="auto"/>
        <w:tblLook w:val="04A0" w:firstRow="1" w:lastRow="0" w:firstColumn="1" w:lastColumn="0" w:noHBand="0" w:noVBand="1"/>
      </w:tblPr>
      <w:tblGrid>
        <w:gridCol w:w="1504"/>
        <w:gridCol w:w="1533"/>
        <w:gridCol w:w="2778"/>
        <w:gridCol w:w="1631"/>
        <w:gridCol w:w="1570"/>
      </w:tblGrid>
      <w:tr w:rsidR="00F13288" w:rsidRPr="00612C85" w14:paraId="3F6D375E" w14:textId="77777777" w:rsidTr="001273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D22780" w14:textId="77777777" w:rsidR="00F13288" w:rsidRPr="00612C85" w:rsidRDefault="00F13288" w:rsidP="00127345">
            <w:pPr>
              <w:jc w:val="center"/>
              <w:rPr>
                <w:rFonts w:eastAsia="Times New Roman" w:cs="Times New Roman"/>
                <w:b w:val="0"/>
                <w:bCs w:val="0"/>
                <w:szCs w:val="24"/>
                <w:lang w:eastAsia="en-GB"/>
              </w:rPr>
            </w:pPr>
            <w:r w:rsidRPr="00612C85">
              <w:rPr>
                <w:rFonts w:eastAsia="Times New Roman" w:cs="Times New Roman"/>
                <w:b w:val="0"/>
                <w:bCs w:val="0"/>
                <w:szCs w:val="24"/>
                <w:lang w:eastAsia="en-GB"/>
              </w:rPr>
              <w:t>Ratio</w:t>
            </w:r>
          </w:p>
        </w:tc>
        <w:tc>
          <w:tcPr>
            <w:tcW w:w="0" w:type="auto"/>
            <w:hideMark/>
          </w:tcPr>
          <w:p w14:paraId="41423644"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Formula</w:t>
            </w:r>
          </w:p>
        </w:tc>
        <w:tc>
          <w:tcPr>
            <w:tcW w:w="0" w:type="auto"/>
            <w:hideMark/>
          </w:tcPr>
          <w:p w14:paraId="2428943D"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2024</w:t>
            </w:r>
          </w:p>
        </w:tc>
        <w:tc>
          <w:tcPr>
            <w:tcW w:w="0" w:type="auto"/>
            <w:hideMark/>
          </w:tcPr>
          <w:p w14:paraId="43CBB137"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2023</w:t>
            </w:r>
          </w:p>
        </w:tc>
        <w:tc>
          <w:tcPr>
            <w:tcW w:w="0" w:type="auto"/>
            <w:hideMark/>
          </w:tcPr>
          <w:p w14:paraId="785A68A3"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Comment</w:t>
            </w:r>
          </w:p>
        </w:tc>
      </w:tr>
      <w:tr w:rsidR="00F13288" w:rsidRPr="00612C85" w14:paraId="65FCF6B1"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F1D841"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Debt-to-Equity</w:t>
            </w:r>
          </w:p>
        </w:tc>
        <w:tc>
          <w:tcPr>
            <w:tcW w:w="0" w:type="auto"/>
            <w:hideMark/>
          </w:tcPr>
          <w:p w14:paraId="68021DE9"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Total Debt / Equity</w:t>
            </w:r>
          </w:p>
        </w:tc>
        <w:tc>
          <w:tcPr>
            <w:tcW w:w="0" w:type="auto"/>
            <w:hideMark/>
          </w:tcPr>
          <w:p w14:paraId="34426DDB"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~1.6 (Financial Liabilities ~32,053 / 19,990)</w:t>
            </w:r>
          </w:p>
        </w:tc>
        <w:tc>
          <w:tcPr>
            <w:tcW w:w="0" w:type="auto"/>
            <w:hideMark/>
          </w:tcPr>
          <w:p w14:paraId="737D27D9"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Similar</w:t>
            </w:r>
          </w:p>
        </w:tc>
        <w:tc>
          <w:tcPr>
            <w:tcW w:w="0" w:type="auto"/>
            <w:hideMark/>
          </w:tcPr>
          <w:p w14:paraId="236EA000"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Moderate leverage</w:t>
            </w:r>
          </w:p>
        </w:tc>
      </w:tr>
      <w:tr w:rsidR="00F13288" w:rsidRPr="00612C85" w14:paraId="1BD477A1" w14:textId="77777777" w:rsidTr="00127345">
        <w:tc>
          <w:tcPr>
            <w:cnfStyle w:val="001000000000" w:firstRow="0" w:lastRow="0" w:firstColumn="1" w:lastColumn="0" w:oddVBand="0" w:evenVBand="0" w:oddHBand="0" w:evenHBand="0" w:firstRowFirstColumn="0" w:firstRowLastColumn="0" w:lastRowFirstColumn="0" w:lastRowLastColumn="0"/>
            <w:tcW w:w="0" w:type="auto"/>
            <w:hideMark/>
          </w:tcPr>
          <w:p w14:paraId="3490C436"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Net Debt to Equity</w:t>
            </w:r>
          </w:p>
        </w:tc>
        <w:tc>
          <w:tcPr>
            <w:tcW w:w="0" w:type="auto"/>
            <w:hideMark/>
          </w:tcPr>
          <w:p w14:paraId="30C41247"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Net Debt / Equity</w:t>
            </w:r>
          </w:p>
        </w:tc>
        <w:tc>
          <w:tcPr>
            <w:tcW w:w="0" w:type="auto"/>
            <w:hideMark/>
          </w:tcPr>
          <w:p w14:paraId="6CFDEC48"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24,519 / 19,990 ≈ 1.23</w:t>
            </w:r>
          </w:p>
        </w:tc>
        <w:tc>
          <w:tcPr>
            <w:tcW w:w="0" w:type="auto"/>
            <w:hideMark/>
          </w:tcPr>
          <w:p w14:paraId="645E72BA"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23,657 / 18,102 ≈ 1.31</w:t>
            </w:r>
          </w:p>
        </w:tc>
        <w:tc>
          <w:tcPr>
            <w:tcW w:w="0" w:type="auto"/>
            <w:hideMark/>
          </w:tcPr>
          <w:p w14:paraId="16642B0E"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Stable, prudent</w:t>
            </w:r>
          </w:p>
        </w:tc>
      </w:tr>
    </w:tbl>
    <w:p w14:paraId="40FE102A" w14:textId="77777777" w:rsidR="00F13288" w:rsidRPr="00612C85" w:rsidRDefault="00F13288" w:rsidP="00F13288">
      <w:pPr>
        <w:spacing w:before="100" w:beforeAutospacing="1" w:after="100" w:afterAutospacing="1" w:line="240" w:lineRule="auto"/>
        <w:rPr>
          <w:rFonts w:eastAsia="Times New Roman" w:cs="Times New Roman"/>
          <w:szCs w:val="24"/>
        </w:rPr>
      </w:pPr>
      <w:r w:rsidRPr="00612C85">
        <w:rPr>
          <w:rFonts w:eastAsia="Times New Roman" w:cs="Times New Roman"/>
          <w:b/>
          <w:bCs/>
          <w:szCs w:val="24"/>
        </w:rPr>
        <w:t>Efficiency Ratios</w:t>
      </w:r>
      <w:r>
        <w:rPr>
          <w:rFonts w:eastAsia="Times New Roman" w:cs="Times New Roman"/>
          <w:szCs w:val="24"/>
        </w:rPr>
        <w:t xml:space="preserve"> </w:t>
      </w:r>
    </w:p>
    <w:tbl>
      <w:tblPr>
        <w:tblStyle w:val="GridTable4-Accent1"/>
        <w:tblW w:w="0" w:type="auto"/>
        <w:tblLook w:val="04A0" w:firstRow="1" w:lastRow="0" w:firstColumn="1" w:lastColumn="0" w:noHBand="0" w:noVBand="1"/>
      </w:tblPr>
      <w:tblGrid>
        <w:gridCol w:w="1629"/>
        <w:gridCol w:w="2076"/>
        <w:gridCol w:w="1941"/>
        <w:gridCol w:w="1941"/>
        <w:gridCol w:w="1429"/>
      </w:tblGrid>
      <w:tr w:rsidR="00F13288" w:rsidRPr="00612C85" w14:paraId="3FB6810B" w14:textId="77777777" w:rsidTr="001273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BEE955" w14:textId="77777777" w:rsidR="00F13288" w:rsidRPr="00612C85" w:rsidRDefault="00F13288" w:rsidP="00127345">
            <w:pPr>
              <w:jc w:val="center"/>
              <w:rPr>
                <w:rFonts w:eastAsia="Times New Roman" w:cs="Times New Roman"/>
                <w:b w:val="0"/>
                <w:bCs w:val="0"/>
                <w:szCs w:val="24"/>
                <w:lang w:eastAsia="en-GB"/>
              </w:rPr>
            </w:pPr>
            <w:r w:rsidRPr="00612C85">
              <w:rPr>
                <w:rFonts w:eastAsia="Times New Roman" w:cs="Times New Roman"/>
                <w:b w:val="0"/>
                <w:bCs w:val="0"/>
                <w:szCs w:val="24"/>
                <w:lang w:eastAsia="en-GB"/>
              </w:rPr>
              <w:t>Ratio</w:t>
            </w:r>
          </w:p>
        </w:tc>
        <w:tc>
          <w:tcPr>
            <w:tcW w:w="0" w:type="auto"/>
            <w:hideMark/>
          </w:tcPr>
          <w:p w14:paraId="500A460F"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Formula</w:t>
            </w:r>
          </w:p>
        </w:tc>
        <w:tc>
          <w:tcPr>
            <w:tcW w:w="0" w:type="auto"/>
            <w:hideMark/>
          </w:tcPr>
          <w:p w14:paraId="352E81BF"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2024</w:t>
            </w:r>
          </w:p>
        </w:tc>
        <w:tc>
          <w:tcPr>
            <w:tcW w:w="0" w:type="auto"/>
            <w:hideMark/>
          </w:tcPr>
          <w:p w14:paraId="54343D20"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2023</w:t>
            </w:r>
          </w:p>
        </w:tc>
        <w:tc>
          <w:tcPr>
            <w:tcW w:w="0" w:type="auto"/>
            <w:hideMark/>
          </w:tcPr>
          <w:p w14:paraId="7319CC10"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Comment</w:t>
            </w:r>
          </w:p>
        </w:tc>
      </w:tr>
      <w:tr w:rsidR="00F13288" w:rsidRPr="00612C85" w14:paraId="3B1BBE71"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8146F4"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Asset Turnover</w:t>
            </w:r>
          </w:p>
        </w:tc>
        <w:tc>
          <w:tcPr>
            <w:tcW w:w="0" w:type="auto"/>
            <w:hideMark/>
          </w:tcPr>
          <w:p w14:paraId="158BF52E"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Turnover / Total Assets</w:t>
            </w:r>
          </w:p>
        </w:tc>
        <w:tc>
          <w:tcPr>
            <w:tcW w:w="0" w:type="auto"/>
            <w:hideMark/>
          </w:tcPr>
          <w:p w14:paraId="3549A6D3"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60,761 / 79,750 ≈ 0.76</w:t>
            </w:r>
          </w:p>
        </w:tc>
        <w:tc>
          <w:tcPr>
            <w:tcW w:w="0" w:type="auto"/>
            <w:hideMark/>
          </w:tcPr>
          <w:p w14:paraId="6591C092"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59,604 / 75,266 ≈ 0.79</w:t>
            </w:r>
          </w:p>
        </w:tc>
        <w:tc>
          <w:tcPr>
            <w:tcW w:w="0" w:type="auto"/>
            <w:hideMark/>
          </w:tcPr>
          <w:p w14:paraId="23958BAA"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Slight decline</w:t>
            </w:r>
          </w:p>
        </w:tc>
      </w:tr>
    </w:tbl>
    <w:p w14:paraId="3265CC0B" w14:textId="77777777" w:rsidR="00F13288" w:rsidRPr="00612C85" w:rsidRDefault="00F13288" w:rsidP="00F13288">
      <w:pPr>
        <w:spacing w:before="100" w:beforeAutospacing="1" w:after="100" w:afterAutospacing="1" w:line="240" w:lineRule="auto"/>
        <w:rPr>
          <w:rFonts w:eastAsia="Times New Roman" w:cs="Times New Roman"/>
          <w:szCs w:val="24"/>
        </w:rPr>
      </w:pPr>
      <w:r w:rsidRPr="00612C85">
        <w:rPr>
          <w:rFonts w:eastAsia="Times New Roman" w:cs="Times New Roman"/>
          <w:b/>
          <w:bCs/>
          <w:szCs w:val="24"/>
        </w:rPr>
        <w:t>Investor Ratios</w:t>
      </w:r>
      <w:r>
        <w:rPr>
          <w:rFonts w:eastAsia="Times New Roman" w:cs="Times New Roman"/>
          <w:szCs w:val="24"/>
        </w:rPr>
        <w:t xml:space="preserve"> </w:t>
      </w:r>
    </w:p>
    <w:tbl>
      <w:tblPr>
        <w:tblStyle w:val="GridTable4-Accent1"/>
        <w:tblW w:w="0" w:type="auto"/>
        <w:tblLook w:val="04A0" w:firstRow="1" w:lastRow="0" w:firstColumn="1" w:lastColumn="0" w:noHBand="0" w:noVBand="1"/>
      </w:tblPr>
      <w:tblGrid>
        <w:gridCol w:w="2011"/>
        <w:gridCol w:w="3156"/>
        <w:gridCol w:w="962"/>
        <w:gridCol w:w="923"/>
        <w:gridCol w:w="1964"/>
      </w:tblGrid>
      <w:tr w:rsidR="00F13288" w:rsidRPr="00612C85" w14:paraId="3AAF6F04" w14:textId="77777777" w:rsidTr="001273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51976B" w14:textId="77777777" w:rsidR="00F13288" w:rsidRPr="00612C85" w:rsidRDefault="00F13288" w:rsidP="00127345">
            <w:pPr>
              <w:jc w:val="center"/>
              <w:rPr>
                <w:rFonts w:eastAsia="Times New Roman" w:cs="Times New Roman"/>
                <w:b w:val="0"/>
                <w:bCs w:val="0"/>
                <w:szCs w:val="24"/>
                <w:lang w:eastAsia="en-GB"/>
              </w:rPr>
            </w:pPr>
            <w:r w:rsidRPr="00612C85">
              <w:rPr>
                <w:rFonts w:eastAsia="Times New Roman" w:cs="Times New Roman"/>
                <w:b w:val="0"/>
                <w:bCs w:val="0"/>
                <w:szCs w:val="24"/>
                <w:lang w:eastAsia="en-GB"/>
              </w:rPr>
              <w:lastRenderedPageBreak/>
              <w:t>Ratio</w:t>
            </w:r>
          </w:p>
        </w:tc>
        <w:tc>
          <w:tcPr>
            <w:tcW w:w="0" w:type="auto"/>
            <w:hideMark/>
          </w:tcPr>
          <w:p w14:paraId="032A9A0C"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Formula</w:t>
            </w:r>
          </w:p>
        </w:tc>
        <w:tc>
          <w:tcPr>
            <w:tcW w:w="0" w:type="auto"/>
            <w:hideMark/>
          </w:tcPr>
          <w:p w14:paraId="14647E5A"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2024</w:t>
            </w:r>
          </w:p>
        </w:tc>
        <w:tc>
          <w:tcPr>
            <w:tcW w:w="0" w:type="auto"/>
            <w:hideMark/>
          </w:tcPr>
          <w:p w14:paraId="6E4FFAD1"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2023</w:t>
            </w:r>
          </w:p>
        </w:tc>
        <w:tc>
          <w:tcPr>
            <w:tcW w:w="0" w:type="auto"/>
            <w:hideMark/>
          </w:tcPr>
          <w:p w14:paraId="0D5616A5"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Comment</w:t>
            </w:r>
          </w:p>
        </w:tc>
      </w:tr>
      <w:tr w:rsidR="00F13288" w:rsidRPr="00612C85" w14:paraId="1802CD50"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42B355"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Earnings Per Share (Basic)</w:t>
            </w:r>
          </w:p>
        </w:tc>
        <w:tc>
          <w:tcPr>
            <w:tcW w:w="0" w:type="auto"/>
            <w:hideMark/>
          </w:tcPr>
          <w:p w14:paraId="54E6BDA3"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Given</w:t>
            </w:r>
          </w:p>
        </w:tc>
        <w:tc>
          <w:tcPr>
            <w:tcW w:w="0" w:type="auto"/>
            <w:hideMark/>
          </w:tcPr>
          <w:p w14:paraId="3305F680"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€2.30</w:t>
            </w:r>
          </w:p>
        </w:tc>
        <w:tc>
          <w:tcPr>
            <w:tcW w:w="0" w:type="auto"/>
            <w:hideMark/>
          </w:tcPr>
          <w:p w14:paraId="06CE4FA4"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€2.58</w:t>
            </w:r>
          </w:p>
        </w:tc>
        <w:tc>
          <w:tcPr>
            <w:tcW w:w="0" w:type="auto"/>
            <w:hideMark/>
          </w:tcPr>
          <w:p w14:paraId="33D1F077" w14:textId="3C871605"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 xml:space="preserve">Decline on </w:t>
            </w:r>
            <w:r w:rsidR="002B2D60">
              <w:rPr>
                <w:rFonts w:eastAsia="Times New Roman" w:cs="Times New Roman"/>
                <w:szCs w:val="24"/>
                <w:lang w:eastAsia="en-GB"/>
              </w:rPr>
              <w:t xml:space="preserve">a </w:t>
            </w:r>
            <w:r w:rsidRPr="00612C85">
              <w:rPr>
                <w:rFonts w:eastAsia="Times New Roman" w:cs="Times New Roman"/>
                <w:szCs w:val="24"/>
                <w:lang w:eastAsia="en-GB"/>
              </w:rPr>
              <w:t>diluted basis</w:t>
            </w:r>
          </w:p>
        </w:tc>
      </w:tr>
      <w:tr w:rsidR="00F13288" w:rsidRPr="00612C85" w14:paraId="258FE480" w14:textId="77777777" w:rsidTr="00127345">
        <w:tc>
          <w:tcPr>
            <w:cnfStyle w:val="001000000000" w:firstRow="0" w:lastRow="0" w:firstColumn="1" w:lastColumn="0" w:oddVBand="0" w:evenVBand="0" w:oddHBand="0" w:evenHBand="0" w:firstRowFirstColumn="0" w:firstRowLastColumn="0" w:lastRowFirstColumn="0" w:lastRowLastColumn="0"/>
            <w:tcW w:w="0" w:type="auto"/>
            <w:hideMark/>
          </w:tcPr>
          <w:p w14:paraId="3E8B45DD"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Dividend Cover</w:t>
            </w:r>
          </w:p>
        </w:tc>
        <w:tc>
          <w:tcPr>
            <w:tcW w:w="0" w:type="auto"/>
            <w:hideMark/>
          </w:tcPr>
          <w:p w14:paraId="0003F3EC"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EPS / Dividend Per Share (approx. €1.80–€1.90 range)</w:t>
            </w:r>
          </w:p>
        </w:tc>
        <w:tc>
          <w:tcPr>
            <w:tcW w:w="0" w:type="auto"/>
            <w:hideMark/>
          </w:tcPr>
          <w:p w14:paraId="32B166E6"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~1.2–1.3x</w:t>
            </w:r>
          </w:p>
        </w:tc>
        <w:tc>
          <w:tcPr>
            <w:tcW w:w="0" w:type="auto"/>
            <w:hideMark/>
          </w:tcPr>
          <w:p w14:paraId="5AC547F1"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Similar</w:t>
            </w:r>
          </w:p>
        </w:tc>
        <w:tc>
          <w:tcPr>
            <w:tcW w:w="0" w:type="auto"/>
            <w:hideMark/>
          </w:tcPr>
          <w:p w14:paraId="5D65CDAA"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Sustainable</w:t>
            </w:r>
          </w:p>
        </w:tc>
      </w:tr>
    </w:tbl>
    <w:p w14:paraId="1C3DD200" w14:textId="77777777" w:rsidR="00F13288" w:rsidRPr="00612C85" w:rsidRDefault="00F13288" w:rsidP="00B50A2A">
      <w:pPr>
        <w:pStyle w:val="Heading2"/>
      </w:pPr>
      <w:bookmarkStart w:id="31" w:name="_Toc222786334"/>
      <w:r w:rsidRPr="00612C85">
        <w:t>Appendix 3: Beard Plc Project Calculations</w:t>
      </w:r>
      <w:bookmarkEnd w:id="31"/>
    </w:p>
    <w:p w14:paraId="0AAE1921" w14:textId="77777777" w:rsidR="00F13288" w:rsidRPr="00612C85" w:rsidRDefault="00F13288" w:rsidP="00F13288">
      <w:pPr>
        <w:spacing w:before="100" w:beforeAutospacing="1" w:after="100" w:afterAutospacing="1" w:line="240" w:lineRule="auto"/>
        <w:rPr>
          <w:rFonts w:eastAsia="Times New Roman" w:cs="Times New Roman"/>
          <w:szCs w:val="24"/>
        </w:rPr>
      </w:pPr>
      <w:r w:rsidRPr="00612C85">
        <w:rPr>
          <w:rFonts w:eastAsia="Times New Roman" w:cs="Times New Roman"/>
          <w:b/>
          <w:bCs/>
          <w:szCs w:val="24"/>
        </w:rPr>
        <w:t>Tax-Adjusted Cash Flows Table</w:t>
      </w:r>
      <w:r w:rsidRPr="00612C85">
        <w:rPr>
          <w:rFonts w:eastAsia="Times New Roman" w:cs="Times New Roman"/>
          <w:szCs w:val="24"/>
        </w:rPr>
        <w:t xml:space="preserve"> (£'000; Tax 25%, Capital Allowances 20% straight-line)</w:t>
      </w:r>
    </w:p>
    <w:tbl>
      <w:tblPr>
        <w:tblStyle w:val="GridTable4-Accent1"/>
        <w:tblW w:w="0" w:type="auto"/>
        <w:tblLook w:val="04A0" w:firstRow="1" w:lastRow="0" w:firstColumn="1" w:lastColumn="0" w:noHBand="0" w:noVBand="1"/>
      </w:tblPr>
      <w:tblGrid>
        <w:gridCol w:w="1412"/>
        <w:gridCol w:w="1040"/>
        <w:gridCol w:w="1752"/>
        <w:gridCol w:w="1231"/>
        <w:gridCol w:w="1459"/>
        <w:gridCol w:w="1124"/>
        <w:gridCol w:w="998"/>
      </w:tblGrid>
      <w:tr w:rsidR="00F13288" w:rsidRPr="00612C85" w14:paraId="76A7598C" w14:textId="77777777" w:rsidTr="001273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06B345" w14:textId="77777777" w:rsidR="00F13288" w:rsidRPr="00612C85" w:rsidRDefault="00F13288" w:rsidP="00127345">
            <w:pPr>
              <w:jc w:val="center"/>
              <w:rPr>
                <w:rFonts w:eastAsia="Times New Roman" w:cs="Times New Roman"/>
                <w:b w:val="0"/>
                <w:bCs w:val="0"/>
                <w:szCs w:val="24"/>
                <w:lang w:eastAsia="en-GB"/>
              </w:rPr>
            </w:pPr>
            <w:r w:rsidRPr="00612C85">
              <w:rPr>
                <w:rFonts w:eastAsia="Times New Roman" w:cs="Times New Roman"/>
                <w:b w:val="0"/>
                <w:bCs w:val="0"/>
                <w:szCs w:val="24"/>
                <w:lang w:eastAsia="en-GB"/>
              </w:rPr>
              <w:t>Year / Option</w:t>
            </w:r>
          </w:p>
        </w:tc>
        <w:tc>
          <w:tcPr>
            <w:tcW w:w="0" w:type="auto"/>
            <w:hideMark/>
          </w:tcPr>
          <w:p w14:paraId="20184552"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Initial Outlay</w:t>
            </w:r>
          </w:p>
        </w:tc>
        <w:tc>
          <w:tcPr>
            <w:tcW w:w="0" w:type="auto"/>
            <w:hideMark/>
          </w:tcPr>
          <w:p w14:paraId="5E2819CD"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Operating Cash Inflow (pre-tax)</w:t>
            </w:r>
          </w:p>
        </w:tc>
        <w:tc>
          <w:tcPr>
            <w:tcW w:w="0" w:type="auto"/>
            <w:hideMark/>
          </w:tcPr>
          <w:p w14:paraId="4372C475"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Tax on Inflow (25%)</w:t>
            </w:r>
          </w:p>
        </w:tc>
        <w:tc>
          <w:tcPr>
            <w:tcW w:w="0" w:type="auto"/>
            <w:hideMark/>
          </w:tcPr>
          <w:p w14:paraId="24E7A76E"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Capital Allowance</w:t>
            </w:r>
          </w:p>
        </w:tc>
        <w:tc>
          <w:tcPr>
            <w:tcW w:w="0" w:type="auto"/>
            <w:hideMark/>
          </w:tcPr>
          <w:p w14:paraId="660EE227"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Tax Shield (25%)</w:t>
            </w:r>
          </w:p>
        </w:tc>
        <w:tc>
          <w:tcPr>
            <w:tcW w:w="0" w:type="auto"/>
            <w:hideMark/>
          </w:tcPr>
          <w:p w14:paraId="6406DF09" w14:textId="77777777" w:rsidR="00F13288" w:rsidRPr="00612C85" w:rsidRDefault="00F13288" w:rsidP="0012734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Cs w:val="24"/>
                <w:lang w:eastAsia="en-GB"/>
              </w:rPr>
            </w:pPr>
            <w:r w:rsidRPr="00612C85">
              <w:rPr>
                <w:rFonts w:eastAsia="Times New Roman" w:cs="Times New Roman"/>
                <w:b w:val="0"/>
                <w:bCs w:val="0"/>
                <w:szCs w:val="24"/>
                <w:lang w:eastAsia="en-GB"/>
              </w:rPr>
              <w:t>Net Cash Flow</w:t>
            </w:r>
          </w:p>
        </w:tc>
      </w:tr>
      <w:tr w:rsidR="00F13288" w:rsidRPr="00612C85" w14:paraId="5550C2B6"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2344AD" w14:textId="77777777" w:rsidR="00F13288" w:rsidRPr="00612C85" w:rsidRDefault="00F13288" w:rsidP="00127345">
            <w:pPr>
              <w:rPr>
                <w:rFonts w:eastAsia="Times New Roman" w:cs="Times New Roman"/>
                <w:szCs w:val="24"/>
                <w:lang w:eastAsia="en-GB"/>
              </w:rPr>
            </w:pPr>
            <w:r w:rsidRPr="00612C85">
              <w:rPr>
                <w:rFonts w:eastAsia="Times New Roman" w:cs="Times New Roman"/>
                <w:b w:val="0"/>
                <w:bCs w:val="0"/>
                <w:szCs w:val="24"/>
                <w:lang w:eastAsia="en-GB"/>
              </w:rPr>
              <w:t>Option A (£600k)</w:t>
            </w:r>
          </w:p>
        </w:tc>
        <w:tc>
          <w:tcPr>
            <w:tcW w:w="0" w:type="auto"/>
            <w:hideMark/>
          </w:tcPr>
          <w:p w14:paraId="1D0E5B38"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-600</w:t>
            </w:r>
          </w:p>
        </w:tc>
        <w:tc>
          <w:tcPr>
            <w:tcW w:w="0" w:type="auto"/>
            <w:hideMark/>
          </w:tcPr>
          <w:p w14:paraId="4ACE39ED"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p>
        </w:tc>
        <w:tc>
          <w:tcPr>
            <w:tcW w:w="0" w:type="auto"/>
            <w:hideMark/>
          </w:tcPr>
          <w:p w14:paraId="649116FB"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eastAsia="en-GB"/>
              </w:rPr>
            </w:pPr>
          </w:p>
        </w:tc>
        <w:tc>
          <w:tcPr>
            <w:tcW w:w="0" w:type="auto"/>
            <w:hideMark/>
          </w:tcPr>
          <w:p w14:paraId="2D2B8BE1"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eastAsia="en-GB"/>
              </w:rPr>
            </w:pPr>
          </w:p>
        </w:tc>
        <w:tc>
          <w:tcPr>
            <w:tcW w:w="0" w:type="auto"/>
            <w:hideMark/>
          </w:tcPr>
          <w:p w14:paraId="7AA1F167"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eastAsia="en-GB"/>
              </w:rPr>
            </w:pPr>
          </w:p>
        </w:tc>
        <w:tc>
          <w:tcPr>
            <w:tcW w:w="0" w:type="auto"/>
            <w:hideMark/>
          </w:tcPr>
          <w:p w14:paraId="31B7053D"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eastAsia="en-GB"/>
              </w:rPr>
            </w:pPr>
          </w:p>
        </w:tc>
      </w:tr>
      <w:tr w:rsidR="00F13288" w:rsidRPr="00612C85" w14:paraId="7C8EA75C" w14:textId="77777777" w:rsidTr="00127345">
        <w:tc>
          <w:tcPr>
            <w:cnfStyle w:val="001000000000" w:firstRow="0" w:lastRow="0" w:firstColumn="1" w:lastColumn="0" w:oddVBand="0" w:evenVBand="0" w:oddHBand="0" w:evenHBand="0" w:firstRowFirstColumn="0" w:firstRowLastColumn="0" w:lastRowFirstColumn="0" w:lastRowLastColumn="0"/>
            <w:tcW w:w="0" w:type="auto"/>
            <w:hideMark/>
          </w:tcPr>
          <w:p w14:paraId="164A99E2"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Year 1</w:t>
            </w:r>
          </w:p>
        </w:tc>
        <w:tc>
          <w:tcPr>
            <w:tcW w:w="0" w:type="auto"/>
            <w:hideMark/>
          </w:tcPr>
          <w:p w14:paraId="46FE3DCE"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w:t>
            </w:r>
          </w:p>
        </w:tc>
        <w:tc>
          <w:tcPr>
            <w:tcW w:w="0" w:type="auto"/>
            <w:hideMark/>
          </w:tcPr>
          <w:p w14:paraId="2295E559"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100</w:t>
            </w:r>
          </w:p>
        </w:tc>
        <w:tc>
          <w:tcPr>
            <w:tcW w:w="0" w:type="auto"/>
            <w:hideMark/>
          </w:tcPr>
          <w:p w14:paraId="6B8C552E"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-25</w:t>
            </w:r>
          </w:p>
        </w:tc>
        <w:tc>
          <w:tcPr>
            <w:tcW w:w="0" w:type="auto"/>
            <w:hideMark/>
          </w:tcPr>
          <w:p w14:paraId="01ACBB5A"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120</w:t>
            </w:r>
          </w:p>
        </w:tc>
        <w:tc>
          <w:tcPr>
            <w:tcW w:w="0" w:type="auto"/>
            <w:hideMark/>
          </w:tcPr>
          <w:p w14:paraId="5A9C2610"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+30</w:t>
            </w:r>
          </w:p>
        </w:tc>
        <w:tc>
          <w:tcPr>
            <w:tcW w:w="0" w:type="auto"/>
            <w:hideMark/>
          </w:tcPr>
          <w:p w14:paraId="336D20C3"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105</w:t>
            </w:r>
          </w:p>
        </w:tc>
      </w:tr>
      <w:tr w:rsidR="00F13288" w:rsidRPr="00612C85" w14:paraId="77532889"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B7826A"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Year 2</w:t>
            </w:r>
          </w:p>
        </w:tc>
        <w:tc>
          <w:tcPr>
            <w:tcW w:w="0" w:type="auto"/>
            <w:hideMark/>
          </w:tcPr>
          <w:p w14:paraId="2612D814"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w:t>
            </w:r>
          </w:p>
        </w:tc>
        <w:tc>
          <w:tcPr>
            <w:tcW w:w="0" w:type="auto"/>
            <w:hideMark/>
          </w:tcPr>
          <w:p w14:paraId="3BF83A41"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180</w:t>
            </w:r>
          </w:p>
        </w:tc>
        <w:tc>
          <w:tcPr>
            <w:tcW w:w="0" w:type="auto"/>
            <w:hideMark/>
          </w:tcPr>
          <w:p w14:paraId="3CDF91ED"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-45</w:t>
            </w:r>
          </w:p>
        </w:tc>
        <w:tc>
          <w:tcPr>
            <w:tcW w:w="0" w:type="auto"/>
            <w:hideMark/>
          </w:tcPr>
          <w:p w14:paraId="67EE016B"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120</w:t>
            </w:r>
          </w:p>
        </w:tc>
        <w:tc>
          <w:tcPr>
            <w:tcW w:w="0" w:type="auto"/>
            <w:hideMark/>
          </w:tcPr>
          <w:p w14:paraId="30B95B49"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+30</w:t>
            </w:r>
          </w:p>
        </w:tc>
        <w:tc>
          <w:tcPr>
            <w:tcW w:w="0" w:type="auto"/>
            <w:hideMark/>
          </w:tcPr>
          <w:p w14:paraId="51EFCB32"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165</w:t>
            </w:r>
          </w:p>
        </w:tc>
      </w:tr>
      <w:tr w:rsidR="00F13288" w:rsidRPr="00612C85" w14:paraId="79B5ACB2" w14:textId="77777777" w:rsidTr="00127345">
        <w:tc>
          <w:tcPr>
            <w:cnfStyle w:val="001000000000" w:firstRow="0" w:lastRow="0" w:firstColumn="1" w:lastColumn="0" w:oddVBand="0" w:evenVBand="0" w:oddHBand="0" w:evenHBand="0" w:firstRowFirstColumn="0" w:firstRowLastColumn="0" w:lastRowFirstColumn="0" w:lastRowLastColumn="0"/>
            <w:tcW w:w="0" w:type="auto"/>
            <w:hideMark/>
          </w:tcPr>
          <w:p w14:paraId="4C46F4C6"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Year 3</w:t>
            </w:r>
          </w:p>
        </w:tc>
        <w:tc>
          <w:tcPr>
            <w:tcW w:w="0" w:type="auto"/>
            <w:hideMark/>
          </w:tcPr>
          <w:p w14:paraId="59292413"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w:t>
            </w:r>
          </w:p>
        </w:tc>
        <w:tc>
          <w:tcPr>
            <w:tcW w:w="0" w:type="auto"/>
            <w:hideMark/>
          </w:tcPr>
          <w:p w14:paraId="1A59C612"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210</w:t>
            </w:r>
          </w:p>
        </w:tc>
        <w:tc>
          <w:tcPr>
            <w:tcW w:w="0" w:type="auto"/>
            <w:hideMark/>
          </w:tcPr>
          <w:p w14:paraId="011059DD"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-52.5</w:t>
            </w:r>
          </w:p>
        </w:tc>
        <w:tc>
          <w:tcPr>
            <w:tcW w:w="0" w:type="auto"/>
            <w:hideMark/>
          </w:tcPr>
          <w:p w14:paraId="6B542509"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120</w:t>
            </w:r>
          </w:p>
        </w:tc>
        <w:tc>
          <w:tcPr>
            <w:tcW w:w="0" w:type="auto"/>
            <w:hideMark/>
          </w:tcPr>
          <w:p w14:paraId="161DBB7E"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+30</w:t>
            </w:r>
          </w:p>
        </w:tc>
        <w:tc>
          <w:tcPr>
            <w:tcW w:w="0" w:type="auto"/>
            <w:hideMark/>
          </w:tcPr>
          <w:p w14:paraId="0DAE7B1C"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187.5</w:t>
            </w:r>
          </w:p>
        </w:tc>
      </w:tr>
      <w:tr w:rsidR="00F13288" w:rsidRPr="00612C85" w14:paraId="3C613297"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AF2C76"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Year 4</w:t>
            </w:r>
          </w:p>
        </w:tc>
        <w:tc>
          <w:tcPr>
            <w:tcW w:w="0" w:type="auto"/>
            <w:hideMark/>
          </w:tcPr>
          <w:p w14:paraId="60499830"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w:t>
            </w:r>
          </w:p>
        </w:tc>
        <w:tc>
          <w:tcPr>
            <w:tcW w:w="0" w:type="auto"/>
            <w:hideMark/>
          </w:tcPr>
          <w:p w14:paraId="026043CE"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260</w:t>
            </w:r>
          </w:p>
        </w:tc>
        <w:tc>
          <w:tcPr>
            <w:tcW w:w="0" w:type="auto"/>
            <w:hideMark/>
          </w:tcPr>
          <w:p w14:paraId="4215EB8F"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-65</w:t>
            </w:r>
          </w:p>
        </w:tc>
        <w:tc>
          <w:tcPr>
            <w:tcW w:w="0" w:type="auto"/>
            <w:hideMark/>
          </w:tcPr>
          <w:p w14:paraId="5DFAAFDB"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120</w:t>
            </w:r>
          </w:p>
        </w:tc>
        <w:tc>
          <w:tcPr>
            <w:tcW w:w="0" w:type="auto"/>
            <w:hideMark/>
          </w:tcPr>
          <w:p w14:paraId="75394C68"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+30</w:t>
            </w:r>
          </w:p>
        </w:tc>
        <w:tc>
          <w:tcPr>
            <w:tcW w:w="0" w:type="auto"/>
            <w:hideMark/>
          </w:tcPr>
          <w:p w14:paraId="3235288B"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225</w:t>
            </w:r>
          </w:p>
        </w:tc>
      </w:tr>
      <w:tr w:rsidR="00F13288" w:rsidRPr="00612C85" w14:paraId="412DE187" w14:textId="77777777" w:rsidTr="00127345">
        <w:tc>
          <w:tcPr>
            <w:cnfStyle w:val="001000000000" w:firstRow="0" w:lastRow="0" w:firstColumn="1" w:lastColumn="0" w:oddVBand="0" w:evenVBand="0" w:oddHBand="0" w:evenHBand="0" w:firstRowFirstColumn="0" w:firstRowLastColumn="0" w:lastRowFirstColumn="0" w:lastRowLastColumn="0"/>
            <w:tcW w:w="0" w:type="auto"/>
            <w:hideMark/>
          </w:tcPr>
          <w:p w14:paraId="77DE9961" w14:textId="77777777" w:rsidR="00F13288" w:rsidRPr="00612C85" w:rsidRDefault="00F13288" w:rsidP="00127345">
            <w:pPr>
              <w:rPr>
                <w:rFonts w:eastAsia="Times New Roman" w:cs="Times New Roman"/>
                <w:szCs w:val="24"/>
                <w:lang w:eastAsia="en-GB"/>
              </w:rPr>
            </w:pPr>
            <w:r w:rsidRPr="00612C85">
              <w:rPr>
                <w:rFonts w:eastAsia="Times New Roman" w:cs="Times New Roman"/>
                <w:b w:val="0"/>
                <w:bCs w:val="0"/>
                <w:szCs w:val="24"/>
                <w:lang w:eastAsia="en-GB"/>
              </w:rPr>
              <w:t>Option B (£900k)</w:t>
            </w:r>
          </w:p>
        </w:tc>
        <w:tc>
          <w:tcPr>
            <w:tcW w:w="0" w:type="auto"/>
            <w:hideMark/>
          </w:tcPr>
          <w:p w14:paraId="31AF05DE"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-900</w:t>
            </w:r>
          </w:p>
        </w:tc>
        <w:tc>
          <w:tcPr>
            <w:tcW w:w="0" w:type="auto"/>
            <w:hideMark/>
          </w:tcPr>
          <w:p w14:paraId="2280D138"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p>
        </w:tc>
        <w:tc>
          <w:tcPr>
            <w:tcW w:w="0" w:type="auto"/>
            <w:hideMark/>
          </w:tcPr>
          <w:p w14:paraId="42E71454"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eastAsia="en-GB"/>
              </w:rPr>
            </w:pPr>
          </w:p>
        </w:tc>
        <w:tc>
          <w:tcPr>
            <w:tcW w:w="0" w:type="auto"/>
            <w:hideMark/>
          </w:tcPr>
          <w:p w14:paraId="3603C331"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eastAsia="en-GB"/>
              </w:rPr>
            </w:pPr>
          </w:p>
        </w:tc>
        <w:tc>
          <w:tcPr>
            <w:tcW w:w="0" w:type="auto"/>
            <w:hideMark/>
          </w:tcPr>
          <w:p w14:paraId="4963FF20"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eastAsia="en-GB"/>
              </w:rPr>
            </w:pPr>
          </w:p>
        </w:tc>
        <w:tc>
          <w:tcPr>
            <w:tcW w:w="0" w:type="auto"/>
            <w:hideMark/>
          </w:tcPr>
          <w:p w14:paraId="1C3F3DAD"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eastAsia="en-GB"/>
              </w:rPr>
            </w:pPr>
          </w:p>
        </w:tc>
      </w:tr>
      <w:tr w:rsidR="00F13288" w:rsidRPr="00612C85" w14:paraId="55C55A52"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31BD0E"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Year 1</w:t>
            </w:r>
          </w:p>
        </w:tc>
        <w:tc>
          <w:tcPr>
            <w:tcW w:w="0" w:type="auto"/>
            <w:hideMark/>
          </w:tcPr>
          <w:p w14:paraId="472E80BA"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w:t>
            </w:r>
          </w:p>
        </w:tc>
        <w:tc>
          <w:tcPr>
            <w:tcW w:w="0" w:type="auto"/>
            <w:hideMark/>
          </w:tcPr>
          <w:p w14:paraId="5E0D33B7"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220</w:t>
            </w:r>
          </w:p>
        </w:tc>
        <w:tc>
          <w:tcPr>
            <w:tcW w:w="0" w:type="auto"/>
            <w:hideMark/>
          </w:tcPr>
          <w:p w14:paraId="3B85CCA5"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-55</w:t>
            </w:r>
          </w:p>
        </w:tc>
        <w:tc>
          <w:tcPr>
            <w:tcW w:w="0" w:type="auto"/>
            <w:hideMark/>
          </w:tcPr>
          <w:p w14:paraId="1708B5A1"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180</w:t>
            </w:r>
          </w:p>
        </w:tc>
        <w:tc>
          <w:tcPr>
            <w:tcW w:w="0" w:type="auto"/>
            <w:hideMark/>
          </w:tcPr>
          <w:p w14:paraId="442C933E"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+45</w:t>
            </w:r>
          </w:p>
        </w:tc>
        <w:tc>
          <w:tcPr>
            <w:tcW w:w="0" w:type="auto"/>
            <w:hideMark/>
          </w:tcPr>
          <w:p w14:paraId="7D197C60"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210</w:t>
            </w:r>
          </w:p>
        </w:tc>
      </w:tr>
      <w:tr w:rsidR="00F13288" w:rsidRPr="00612C85" w14:paraId="387D33ED" w14:textId="77777777" w:rsidTr="00127345">
        <w:tc>
          <w:tcPr>
            <w:cnfStyle w:val="001000000000" w:firstRow="0" w:lastRow="0" w:firstColumn="1" w:lastColumn="0" w:oddVBand="0" w:evenVBand="0" w:oddHBand="0" w:evenHBand="0" w:firstRowFirstColumn="0" w:firstRowLastColumn="0" w:lastRowFirstColumn="0" w:lastRowLastColumn="0"/>
            <w:tcW w:w="0" w:type="auto"/>
            <w:hideMark/>
          </w:tcPr>
          <w:p w14:paraId="0F26E7EA"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Year 2</w:t>
            </w:r>
          </w:p>
        </w:tc>
        <w:tc>
          <w:tcPr>
            <w:tcW w:w="0" w:type="auto"/>
            <w:hideMark/>
          </w:tcPr>
          <w:p w14:paraId="629BB39A"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w:t>
            </w:r>
          </w:p>
        </w:tc>
        <w:tc>
          <w:tcPr>
            <w:tcW w:w="0" w:type="auto"/>
            <w:hideMark/>
          </w:tcPr>
          <w:p w14:paraId="0A46129C"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270</w:t>
            </w:r>
          </w:p>
        </w:tc>
        <w:tc>
          <w:tcPr>
            <w:tcW w:w="0" w:type="auto"/>
            <w:hideMark/>
          </w:tcPr>
          <w:p w14:paraId="3D44A138"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-67.5</w:t>
            </w:r>
          </w:p>
        </w:tc>
        <w:tc>
          <w:tcPr>
            <w:tcW w:w="0" w:type="auto"/>
            <w:hideMark/>
          </w:tcPr>
          <w:p w14:paraId="0CE9C42D"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180</w:t>
            </w:r>
          </w:p>
        </w:tc>
        <w:tc>
          <w:tcPr>
            <w:tcW w:w="0" w:type="auto"/>
            <w:hideMark/>
          </w:tcPr>
          <w:p w14:paraId="7F17BC39"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+45</w:t>
            </w:r>
          </w:p>
        </w:tc>
        <w:tc>
          <w:tcPr>
            <w:tcW w:w="0" w:type="auto"/>
            <w:hideMark/>
          </w:tcPr>
          <w:p w14:paraId="4C9CDAA8"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247.5</w:t>
            </w:r>
          </w:p>
        </w:tc>
      </w:tr>
      <w:tr w:rsidR="00F13288" w:rsidRPr="00612C85" w14:paraId="289D20C1"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3DDD38"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Year 3</w:t>
            </w:r>
          </w:p>
        </w:tc>
        <w:tc>
          <w:tcPr>
            <w:tcW w:w="0" w:type="auto"/>
            <w:hideMark/>
          </w:tcPr>
          <w:p w14:paraId="7E5C8A2D"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w:t>
            </w:r>
          </w:p>
        </w:tc>
        <w:tc>
          <w:tcPr>
            <w:tcW w:w="0" w:type="auto"/>
            <w:hideMark/>
          </w:tcPr>
          <w:p w14:paraId="3F2DE293"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350</w:t>
            </w:r>
          </w:p>
        </w:tc>
        <w:tc>
          <w:tcPr>
            <w:tcW w:w="0" w:type="auto"/>
            <w:hideMark/>
          </w:tcPr>
          <w:p w14:paraId="5E59EF8D"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-87.5</w:t>
            </w:r>
          </w:p>
        </w:tc>
        <w:tc>
          <w:tcPr>
            <w:tcW w:w="0" w:type="auto"/>
            <w:hideMark/>
          </w:tcPr>
          <w:p w14:paraId="3B47DF5F"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180</w:t>
            </w:r>
          </w:p>
        </w:tc>
        <w:tc>
          <w:tcPr>
            <w:tcW w:w="0" w:type="auto"/>
            <w:hideMark/>
          </w:tcPr>
          <w:p w14:paraId="4F510F9C"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+45</w:t>
            </w:r>
          </w:p>
        </w:tc>
        <w:tc>
          <w:tcPr>
            <w:tcW w:w="0" w:type="auto"/>
            <w:hideMark/>
          </w:tcPr>
          <w:p w14:paraId="73D0B42D"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307.5</w:t>
            </w:r>
          </w:p>
        </w:tc>
      </w:tr>
      <w:tr w:rsidR="00F13288" w:rsidRPr="00612C85" w14:paraId="2D04703F" w14:textId="77777777" w:rsidTr="00127345">
        <w:tc>
          <w:tcPr>
            <w:cnfStyle w:val="001000000000" w:firstRow="0" w:lastRow="0" w:firstColumn="1" w:lastColumn="0" w:oddVBand="0" w:evenVBand="0" w:oddHBand="0" w:evenHBand="0" w:firstRowFirstColumn="0" w:firstRowLastColumn="0" w:lastRowFirstColumn="0" w:lastRowLastColumn="0"/>
            <w:tcW w:w="0" w:type="auto"/>
            <w:hideMark/>
          </w:tcPr>
          <w:p w14:paraId="2EFE5013"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Year 4</w:t>
            </w:r>
          </w:p>
        </w:tc>
        <w:tc>
          <w:tcPr>
            <w:tcW w:w="0" w:type="auto"/>
            <w:hideMark/>
          </w:tcPr>
          <w:p w14:paraId="6D52B913"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w:t>
            </w:r>
          </w:p>
        </w:tc>
        <w:tc>
          <w:tcPr>
            <w:tcW w:w="0" w:type="auto"/>
            <w:hideMark/>
          </w:tcPr>
          <w:p w14:paraId="1992F562"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400</w:t>
            </w:r>
          </w:p>
        </w:tc>
        <w:tc>
          <w:tcPr>
            <w:tcW w:w="0" w:type="auto"/>
            <w:hideMark/>
          </w:tcPr>
          <w:p w14:paraId="35DC5E3C"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-100</w:t>
            </w:r>
          </w:p>
        </w:tc>
        <w:tc>
          <w:tcPr>
            <w:tcW w:w="0" w:type="auto"/>
            <w:hideMark/>
          </w:tcPr>
          <w:p w14:paraId="6217EF06"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180</w:t>
            </w:r>
          </w:p>
        </w:tc>
        <w:tc>
          <w:tcPr>
            <w:tcW w:w="0" w:type="auto"/>
            <w:hideMark/>
          </w:tcPr>
          <w:p w14:paraId="4B39A11B"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+45</w:t>
            </w:r>
          </w:p>
        </w:tc>
        <w:tc>
          <w:tcPr>
            <w:tcW w:w="0" w:type="auto"/>
            <w:hideMark/>
          </w:tcPr>
          <w:p w14:paraId="7CE6602C"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345</w:t>
            </w:r>
          </w:p>
        </w:tc>
      </w:tr>
      <w:tr w:rsidR="00F13288" w:rsidRPr="00612C85" w14:paraId="572C3855"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52E8E5" w14:textId="77777777" w:rsidR="00F13288" w:rsidRPr="00612C85" w:rsidRDefault="00F13288" w:rsidP="00127345">
            <w:pPr>
              <w:rPr>
                <w:rFonts w:eastAsia="Times New Roman" w:cs="Times New Roman"/>
                <w:szCs w:val="24"/>
                <w:lang w:eastAsia="en-GB"/>
              </w:rPr>
            </w:pPr>
            <w:r w:rsidRPr="00612C85">
              <w:rPr>
                <w:rFonts w:eastAsia="Times New Roman" w:cs="Times New Roman"/>
                <w:b w:val="0"/>
                <w:bCs w:val="0"/>
                <w:szCs w:val="24"/>
                <w:lang w:eastAsia="en-GB"/>
              </w:rPr>
              <w:t>Option C (£1,000k)</w:t>
            </w:r>
          </w:p>
        </w:tc>
        <w:tc>
          <w:tcPr>
            <w:tcW w:w="0" w:type="auto"/>
            <w:hideMark/>
          </w:tcPr>
          <w:p w14:paraId="6DBD6205"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-1,000</w:t>
            </w:r>
          </w:p>
        </w:tc>
        <w:tc>
          <w:tcPr>
            <w:tcW w:w="0" w:type="auto"/>
            <w:hideMark/>
          </w:tcPr>
          <w:p w14:paraId="156648F0"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p>
        </w:tc>
        <w:tc>
          <w:tcPr>
            <w:tcW w:w="0" w:type="auto"/>
            <w:hideMark/>
          </w:tcPr>
          <w:p w14:paraId="1008E10D"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eastAsia="en-GB"/>
              </w:rPr>
            </w:pPr>
          </w:p>
        </w:tc>
        <w:tc>
          <w:tcPr>
            <w:tcW w:w="0" w:type="auto"/>
            <w:hideMark/>
          </w:tcPr>
          <w:p w14:paraId="3FAE7C99"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eastAsia="en-GB"/>
              </w:rPr>
            </w:pPr>
          </w:p>
        </w:tc>
        <w:tc>
          <w:tcPr>
            <w:tcW w:w="0" w:type="auto"/>
            <w:hideMark/>
          </w:tcPr>
          <w:p w14:paraId="23EEE15C"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eastAsia="en-GB"/>
              </w:rPr>
            </w:pPr>
          </w:p>
        </w:tc>
        <w:tc>
          <w:tcPr>
            <w:tcW w:w="0" w:type="auto"/>
            <w:hideMark/>
          </w:tcPr>
          <w:p w14:paraId="1E484FDB"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eastAsia="en-GB"/>
              </w:rPr>
            </w:pPr>
          </w:p>
        </w:tc>
      </w:tr>
      <w:tr w:rsidR="00F13288" w:rsidRPr="00612C85" w14:paraId="03B63148" w14:textId="77777777" w:rsidTr="00127345">
        <w:tc>
          <w:tcPr>
            <w:cnfStyle w:val="001000000000" w:firstRow="0" w:lastRow="0" w:firstColumn="1" w:lastColumn="0" w:oddVBand="0" w:evenVBand="0" w:oddHBand="0" w:evenHBand="0" w:firstRowFirstColumn="0" w:firstRowLastColumn="0" w:lastRowFirstColumn="0" w:lastRowLastColumn="0"/>
            <w:tcW w:w="0" w:type="auto"/>
            <w:hideMark/>
          </w:tcPr>
          <w:p w14:paraId="567A026C"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Year 1</w:t>
            </w:r>
          </w:p>
        </w:tc>
        <w:tc>
          <w:tcPr>
            <w:tcW w:w="0" w:type="auto"/>
            <w:hideMark/>
          </w:tcPr>
          <w:p w14:paraId="21BBD881"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w:t>
            </w:r>
          </w:p>
        </w:tc>
        <w:tc>
          <w:tcPr>
            <w:tcW w:w="0" w:type="auto"/>
            <w:hideMark/>
          </w:tcPr>
          <w:p w14:paraId="3E6D9C96"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250</w:t>
            </w:r>
          </w:p>
        </w:tc>
        <w:tc>
          <w:tcPr>
            <w:tcW w:w="0" w:type="auto"/>
            <w:hideMark/>
          </w:tcPr>
          <w:p w14:paraId="0E1D0A86"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-62.5</w:t>
            </w:r>
          </w:p>
        </w:tc>
        <w:tc>
          <w:tcPr>
            <w:tcW w:w="0" w:type="auto"/>
            <w:hideMark/>
          </w:tcPr>
          <w:p w14:paraId="0B297CF7"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200</w:t>
            </w:r>
          </w:p>
        </w:tc>
        <w:tc>
          <w:tcPr>
            <w:tcW w:w="0" w:type="auto"/>
            <w:hideMark/>
          </w:tcPr>
          <w:p w14:paraId="51ABD1BE"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+50</w:t>
            </w:r>
          </w:p>
        </w:tc>
        <w:tc>
          <w:tcPr>
            <w:tcW w:w="0" w:type="auto"/>
            <w:hideMark/>
          </w:tcPr>
          <w:p w14:paraId="479A40D6"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237.5</w:t>
            </w:r>
          </w:p>
        </w:tc>
      </w:tr>
      <w:tr w:rsidR="00F13288" w:rsidRPr="00612C85" w14:paraId="2E2F207E"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8D3AF8"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Year 2</w:t>
            </w:r>
          </w:p>
        </w:tc>
        <w:tc>
          <w:tcPr>
            <w:tcW w:w="0" w:type="auto"/>
            <w:hideMark/>
          </w:tcPr>
          <w:p w14:paraId="681C358D"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w:t>
            </w:r>
          </w:p>
        </w:tc>
        <w:tc>
          <w:tcPr>
            <w:tcW w:w="0" w:type="auto"/>
            <w:hideMark/>
          </w:tcPr>
          <w:p w14:paraId="1D3F4CFF"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310</w:t>
            </w:r>
          </w:p>
        </w:tc>
        <w:tc>
          <w:tcPr>
            <w:tcW w:w="0" w:type="auto"/>
            <w:hideMark/>
          </w:tcPr>
          <w:p w14:paraId="2079A642"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-77.5</w:t>
            </w:r>
          </w:p>
        </w:tc>
        <w:tc>
          <w:tcPr>
            <w:tcW w:w="0" w:type="auto"/>
            <w:hideMark/>
          </w:tcPr>
          <w:p w14:paraId="75EC00B9"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200</w:t>
            </w:r>
          </w:p>
        </w:tc>
        <w:tc>
          <w:tcPr>
            <w:tcW w:w="0" w:type="auto"/>
            <w:hideMark/>
          </w:tcPr>
          <w:p w14:paraId="79E4B5BC"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+50</w:t>
            </w:r>
          </w:p>
        </w:tc>
        <w:tc>
          <w:tcPr>
            <w:tcW w:w="0" w:type="auto"/>
            <w:hideMark/>
          </w:tcPr>
          <w:p w14:paraId="561CE94D"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282.5</w:t>
            </w:r>
          </w:p>
        </w:tc>
      </w:tr>
      <w:tr w:rsidR="00F13288" w:rsidRPr="00612C85" w14:paraId="58974B21" w14:textId="77777777" w:rsidTr="00127345">
        <w:tc>
          <w:tcPr>
            <w:cnfStyle w:val="001000000000" w:firstRow="0" w:lastRow="0" w:firstColumn="1" w:lastColumn="0" w:oddVBand="0" w:evenVBand="0" w:oddHBand="0" w:evenHBand="0" w:firstRowFirstColumn="0" w:firstRowLastColumn="0" w:lastRowFirstColumn="0" w:lastRowLastColumn="0"/>
            <w:tcW w:w="0" w:type="auto"/>
            <w:hideMark/>
          </w:tcPr>
          <w:p w14:paraId="60FE3C5E"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Year 3</w:t>
            </w:r>
          </w:p>
        </w:tc>
        <w:tc>
          <w:tcPr>
            <w:tcW w:w="0" w:type="auto"/>
            <w:hideMark/>
          </w:tcPr>
          <w:p w14:paraId="145EBDA4"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w:t>
            </w:r>
          </w:p>
        </w:tc>
        <w:tc>
          <w:tcPr>
            <w:tcW w:w="0" w:type="auto"/>
            <w:hideMark/>
          </w:tcPr>
          <w:p w14:paraId="119DE7BD"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400</w:t>
            </w:r>
          </w:p>
        </w:tc>
        <w:tc>
          <w:tcPr>
            <w:tcW w:w="0" w:type="auto"/>
            <w:hideMark/>
          </w:tcPr>
          <w:p w14:paraId="71D0091C"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-100</w:t>
            </w:r>
          </w:p>
        </w:tc>
        <w:tc>
          <w:tcPr>
            <w:tcW w:w="0" w:type="auto"/>
            <w:hideMark/>
          </w:tcPr>
          <w:p w14:paraId="54FA7400"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200</w:t>
            </w:r>
          </w:p>
        </w:tc>
        <w:tc>
          <w:tcPr>
            <w:tcW w:w="0" w:type="auto"/>
            <w:hideMark/>
          </w:tcPr>
          <w:p w14:paraId="27411585"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+50</w:t>
            </w:r>
          </w:p>
        </w:tc>
        <w:tc>
          <w:tcPr>
            <w:tcW w:w="0" w:type="auto"/>
            <w:hideMark/>
          </w:tcPr>
          <w:p w14:paraId="06E349EA" w14:textId="77777777" w:rsidR="00F13288" w:rsidRPr="00612C85" w:rsidRDefault="00F13288" w:rsidP="00127345">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350</w:t>
            </w:r>
          </w:p>
        </w:tc>
      </w:tr>
      <w:tr w:rsidR="00F13288" w:rsidRPr="00612C85" w14:paraId="64DB150D" w14:textId="77777777" w:rsidTr="00127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2A28E0" w14:textId="77777777" w:rsidR="00F13288" w:rsidRPr="00612C85" w:rsidRDefault="00F13288" w:rsidP="00127345">
            <w:pPr>
              <w:rPr>
                <w:rFonts w:eastAsia="Times New Roman" w:cs="Times New Roman"/>
                <w:szCs w:val="24"/>
                <w:lang w:eastAsia="en-GB"/>
              </w:rPr>
            </w:pPr>
            <w:r w:rsidRPr="00612C85">
              <w:rPr>
                <w:rFonts w:eastAsia="Times New Roman" w:cs="Times New Roman"/>
                <w:szCs w:val="24"/>
                <w:lang w:eastAsia="en-GB"/>
              </w:rPr>
              <w:t>Year 4</w:t>
            </w:r>
          </w:p>
        </w:tc>
        <w:tc>
          <w:tcPr>
            <w:tcW w:w="0" w:type="auto"/>
            <w:hideMark/>
          </w:tcPr>
          <w:p w14:paraId="4F6EE4D4"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w:t>
            </w:r>
          </w:p>
        </w:tc>
        <w:tc>
          <w:tcPr>
            <w:tcW w:w="0" w:type="auto"/>
            <w:hideMark/>
          </w:tcPr>
          <w:p w14:paraId="6C4D6F7B"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430</w:t>
            </w:r>
          </w:p>
        </w:tc>
        <w:tc>
          <w:tcPr>
            <w:tcW w:w="0" w:type="auto"/>
            <w:hideMark/>
          </w:tcPr>
          <w:p w14:paraId="71BAB30C"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-107.5</w:t>
            </w:r>
          </w:p>
        </w:tc>
        <w:tc>
          <w:tcPr>
            <w:tcW w:w="0" w:type="auto"/>
            <w:hideMark/>
          </w:tcPr>
          <w:p w14:paraId="2273CCD2"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200</w:t>
            </w:r>
          </w:p>
        </w:tc>
        <w:tc>
          <w:tcPr>
            <w:tcW w:w="0" w:type="auto"/>
            <w:hideMark/>
          </w:tcPr>
          <w:p w14:paraId="4F8558B3"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+50</w:t>
            </w:r>
          </w:p>
        </w:tc>
        <w:tc>
          <w:tcPr>
            <w:tcW w:w="0" w:type="auto"/>
            <w:hideMark/>
          </w:tcPr>
          <w:p w14:paraId="49A89EA6" w14:textId="77777777" w:rsidR="00F13288" w:rsidRPr="00612C85" w:rsidRDefault="00F13288" w:rsidP="0012734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612C85">
              <w:rPr>
                <w:rFonts w:eastAsia="Times New Roman" w:cs="Times New Roman"/>
                <w:szCs w:val="24"/>
                <w:lang w:eastAsia="en-GB"/>
              </w:rPr>
              <w:t>372.5</w:t>
            </w:r>
          </w:p>
        </w:tc>
      </w:tr>
    </w:tbl>
    <w:p w14:paraId="43C39041" w14:textId="77777777" w:rsidR="00F13288" w:rsidRDefault="00F13288" w:rsidP="00F13288"/>
    <w:p w14:paraId="4081E31B" w14:textId="77777777" w:rsidR="001B7545" w:rsidRPr="00D7213B" w:rsidRDefault="001B7545" w:rsidP="00F13288">
      <w:pPr>
        <w:pStyle w:val="Heading1"/>
        <w:rPr>
          <w:rFonts w:cs="Times New Roman"/>
          <w:sz w:val="24"/>
          <w:szCs w:val="24"/>
        </w:rPr>
      </w:pPr>
    </w:p>
    <w:sectPr w:rsidR="001B7545" w:rsidRPr="00D7213B" w:rsidSect="00C65153">
      <w:footerReference w:type="default" r:id="rId30"/>
      <w:pgSz w:w="11906" w:h="16838" w:code="9"/>
      <w:pgMar w:top="1440" w:right="1440" w:bottom="1440" w:left="1440" w:header="708" w:footer="708"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AC37F3" w14:textId="77777777" w:rsidR="001E272D" w:rsidRDefault="001E272D">
      <w:pPr>
        <w:spacing w:after="0" w:line="240" w:lineRule="auto"/>
      </w:pPr>
      <w:r>
        <w:separator/>
      </w:r>
    </w:p>
  </w:endnote>
  <w:endnote w:type="continuationSeparator" w:id="0">
    <w:p w14:paraId="311DE7E0" w14:textId="77777777" w:rsidR="001E272D" w:rsidRDefault="001E27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embedRegular r:id="rId1" w:fontKey="{D82BAF25-BF2D-4FCD-861C-63FBE964D2C6}"/>
    <w:embedBold r:id="rId2" w:fontKey="{D943820A-453B-466B-9BF9-BD5CDD5054DC}"/>
    <w:embedItalic r:id="rId3" w:fontKey="{92380BF3-357C-42A9-A47A-40F7C2419C8A}"/>
  </w:font>
  <w:font w:name="Georgia">
    <w:panose1 w:val="02040502050405020303"/>
    <w:charset w:val="00"/>
    <w:family w:val="roman"/>
    <w:pitch w:val="variable"/>
    <w:sig w:usb0="00000287" w:usb1="00000000" w:usb2="00000000" w:usb3="00000000" w:csb0="0000009F" w:csb1="00000000"/>
    <w:embedItalic r:id="rId4" w:fontKey="{84C6DA90-A8C6-4850-9E84-AA8A6D030290}"/>
  </w:font>
  <w:font w:name="Cambria">
    <w:panose1 w:val="02040503050406030204"/>
    <w:charset w:val="00"/>
    <w:family w:val="roman"/>
    <w:pitch w:val="variable"/>
    <w:sig w:usb0="E00006FF" w:usb1="420024FF" w:usb2="02000000" w:usb3="00000000" w:csb0="0000019F" w:csb1="00000000"/>
    <w:embedRegular r:id="rId5" w:fontKey="{04B92338-8518-4088-8411-F7568AB600FF}"/>
    <w:embedBold r:id="rId6" w:fontKey="{3A7DA2AA-E4F8-46A3-91CD-52569D1A5641}"/>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8DBCAF" w14:textId="77777777" w:rsidR="00127345" w:rsidRDefault="00127345">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rFonts w:ascii="Calibri" w:hAnsi="Calibri"/>
        <w:color w:val="000000"/>
        <w:sz w:val="22"/>
      </w:rPr>
      <w:instrText>PAGE</w:instrText>
    </w:r>
    <w:r>
      <w:rPr>
        <w:color w:val="000000"/>
      </w:rPr>
      <w:fldChar w:fldCharType="separate"/>
    </w:r>
    <w:r w:rsidR="00B50A2A">
      <w:rPr>
        <w:rFonts w:ascii="Calibri" w:hAnsi="Calibri"/>
        <w:noProof/>
        <w:color w:val="000000"/>
        <w:sz w:val="22"/>
      </w:rPr>
      <w:t>3</w:t>
    </w:r>
    <w:r>
      <w:rPr>
        <w:color w:val="000000"/>
      </w:rPr>
      <w:fldChar w:fldCharType="end"/>
    </w:r>
  </w:p>
  <w:p w14:paraId="048C3BC0" w14:textId="77777777" w:rsidR="00127345" w:rsidRDefault="00127345">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80F2CF" w14:textId="77777777" w:rsidR="001E272D" w:rsidRDefault="001E272D">
      <w:pPr>
        <w:spacing w:after="0" w:line="240" w:lineRule="auto"/>
      </w:pPr>
      <w:r>
        <w:separator/>
      </w:r>
    </w:p>
  </w:footnote>
  <w:footnote w:type="continuationSeparator" w:id="0">
    <w:p w14:paraId="74A2541F" w14:textId="77777777" w:rsidR="001E272D" w:rsidRDefault="001E27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66549"/>
    <w:multiLevelType w:val="multilevel"/>
    <w:tmpl w:val="BD085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720B0E"/>
    <w:multiLevelType w:val="multilevel"/>
    <w:tmpl w:val="A56E1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D31654"/>
    <w:multiLevelType w:val="multilevel"/>
    <w:tmpl w:val="815AEB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30C2DEE"/>
    <w:multiLevelType w:val="hybridMultilevel"/>
    <w:tmpl w:val="5CBC2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205FAF"/>
    <w:multiLevelType w:val="multilevel"/>
    <w:tmpl w:val="2F788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0DC0221"/>
    <w:multiLevelType w:val="multilevel"/>
    <w:tmpl w:val="C8AAB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1D36E8E"/>
    <w:multiLevelType w:val="multilevel"/>
    <w:tmpl w:val="258CE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E8E69B5"/>
    <w:multiLevelType w:val="hybridMultilevel"/>
    <w:tmpl w:val="B640332E"/>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0610611">
    <w:abstractNumId w:val="6"/>
  </w:num>
  <w:num w:numId="2" w16cid:durableId="1466973437">
    <w:abstractNumId w:val="4"/>
  </w:num>
  <w:num w:numId="3" w16cid:durableId="71586985">
    <w:abstractNumId w:val="0"/>
  </w:num>
  <w:num w:numId="4" w16cid:durableId="601642178">
    <w:abstractNumId w:val="5"/>
  </w:num>
  <w:num w:numId="5" w16cid:durableId="1425611936">
    <w:abstractNumId w:val="1"/>
  </w:num>
  <w:num w:numId="6" w16cid:durableId="1406340703">
    <w:abstractNumId w:val="2"/>
  </w:num>
  <w:num w:numId="7" w16cid:durableId="1447581468">
    <w:abstractNumId w:val="3"/>
  </w:num>
  <w:num w:numId="8" w16cid:durableId="18958446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7545"/>
    <w:rsid w:val="000641D7"/>
    <w:rsid w:val="000E70DC"/>
    <w:rsid w:val="000F4261"/>
    <w:rsid w:val="00127345"/>
    <w:rsid w:val="00172F17"/>
    <w:rsid w:val="00182655"/>
    <w:rsid w:val="00192C0C"/>
    <w:rsid w:val="00194DF5"/>
    <w:rsid w:val="001A5D86"/>
    <w:rsid w:val="001B7545"/>
    <w:rsid w:val="001E272D"/>
    <w:rsid w:val="00217838"/>
    <w:rsid w:val="00220454"/>
    <w:rsid w:val="002238C8"/>
    <w:rsid w:val="0022521A"/>
    <w:rsid w:val="002B2D60"/>
    <w:rsid w:val="00353F50"/>
    <w:rsid w:val="00376380"/>
    <w:rsid w:val="003C0754"/>
    <w:rsid w:val="003C4C19"/>
    <w:rsid w:val="00464411"/>
    <w:rsid w:val="00491C91"/>
    <w:rsid w:val="005345DA"/>
    <w:rsid w:val="00561A4C"/>
    <w:rsid w:val="005A1C66"/>
    <w:rsid w:val="00675AE6"/>
    <w:rsid w:val="00754338"/>
    <w:rsid w:val="00756196"/>
    <w:rsid w:val="00777293"/>
    <w:rsid w:val="00780E9B"/>
    <w:rsid w:val="0083681C"/>
    <w:rsid w:val="008524C8"/>
    <w:rsid w:val="009B5E66"/>
    <w:rsid w:val="00A01A0B"/>
    <w:rsid w:val="00A1784A"/>
    <w:rsid w:val="00B50A2A"/>
    <w:rsid w:val="00BA4AA8"/>
    <w:rsid w:val="00C65153"/>
    <w:rsid w:val="00D165DA"/>
    <w:rsid w:val="00D7213B"/>
    <w:rsid w:val="00E74313"/>
    <w:rsid w:val="00F13288"/>
    <w:rsid w:val="00F41FF6"/>
    <w:rsid w:val="00FD0F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DA923"/>
  <w15:docId w15:val="{3F8B293E-A3B7-4EA4-BF33-F18EAC78B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515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E70DC"/>
    <w:pPr>
      <w:keepNext/>
      <w:keepLines/>
      <w:spacing w:before="240" w:after="0"/>
      <w:outlineLvl w:val="0"/>
    </w:pPr>
    <w:rPr>
      <w:b/>
      <w:color w:val="1F497D" w:themeColor="text2"/>
      <w:sz w:val="32"/>
      <w:szCs w:val="32"/>
    </w:rPr>
  </w:style>
  <w:style w:type="paragraph" w:styleId="Heading2">
    <w:name w:val="heading 2"/>
    <w:basedOn w:val="Normal"/>
    <w:next w:val="Normal"/>
    <w:link w:val="Heading2Char"/>
    <w:uiPriority w:val="9"/>
    <w:qFormat/>
    <w:rsid w:val="000E70DC"/>
    <w:pPr>
      <w:keepNext/>
      <w:keepLines/>
      <w:spacing w:before="40" w:after="0"/>
      <w:outlineLvl w:val="1"/>
    </w:pPr>
    <w:rPr>
      <w:b/>
      <w:color w:val="000000" w:themeColor="text1"/>
      <w:sz w:val="28"/>
      <w:szCs w:val="26"/>
    </w:rPr>
  </w:style>
  <w:style w:type="paragraph" w:styleId="Heading3">
    <w:name w:val="heading 3"/>
    <w:basedOn w:val="Normal"/>
    <w:next w:val="Normal"/>
    <w:link w:val="Heading3Char"/>
    <w:uiPriority w:val="9"/>
    <w:qFormat/>
    <w:pPr>
      <w:keepNext/>
      <w:keepLines/>
      <w:spacing w:before="280" w:after="80"/>
      <w:outlineLvl w:val="2"/>
    </w:pPr>
    <w:rPr>
      <w:b/>
      <w:bCs/>
      <w:sz w:val="28"/>
      <w:szCs w:val="28"/>
    </w:rPr>
  </w:style>
  <w:style w:type="paragraph" w:styleId="Heading4">
    <w:name w:val="heading 4"/>
    <w:basedOn w:val="Normal"/>
    <w:next w:val="Normal"/>
    <w:pPr>
      <w:keepNext/>
      <w:keepLines/>
      <w:spacing w:before="240" w:after="40"/>
      <w:outlineLvl w:val="3"/>
    </w:pPr>
    <w:rPr>
      <w:b/>
      <w:bCs/>
      <w:szCs w:val="24"/>
    </w:rPr>
  </w:style>
  <w:style w:type="paragraph" w:styleId="Heading5">
    <w:name w:val="heading 5"/>
    <w:basedOn w:val="Normal"/>
    <w:next w:val="Normal"/>
    <w:pPr>
      <w:keepNext/>
      <w:keepLines/>
      <w:spacing w:before="220" w:after="40"/>
      <w:outlineLvl w:val="4"/>
    </w:pPr>
    <w:rPr>
      <w:b/>
      <w:bCs/>
      <w:sz w:val="22"/>
    </w:rPr>
  </w:style>
  <w:style w:type="paragraph" w:styleId="Heading6">
    <w:name w:val="heading 6"/>
    <w:basedOn w:val="Normal"/>
    <w:next w:val="Normal"/>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70DC"/>
    <w:rPr>
      <w:rFonts w:ascii="Times New Roman" w:hAnsi="Times New Roman"/>
      <w:b/>
      <w:color w:val="1F497D" w:themeColor="text2"/>
      <w:sz w:val="32"/>
      <w:szCs w:val="32"/>
    </w:rPr>
  </w:style>
  <w:style w:type="character" w:customStyle="1" w:styleId="Heading2Char">
    <w:name w:val="Heading 2 Char"/>
    <w:basedOn w:val="DefaultParagraphFont"/>
    <w:link w:val="Heading2"/>
    <w:uiPriority w:val="9"/>
    <w:rsid w:val="000E70DC"/>
    <w:rPr>
      <w:rFonts w:ascii="Times New Roman" w:hAnsi="Times New Roman"/>
      <w:b/>
      <w:color w:val="000000" w:themeColor="text1"/>
      <w:sz w:val="28"/>
      <w:szCs w:val="26"/>
    </w:rPr>
  </w:style>
  <w:style w:type="character" w:customStyle="1" w:styleId="Heading3Char">
    <w:name w:val="Heading 3 Char"/>
    <w:basedOn w:val="DefaultParagraphFont"/>
    <w:link w:val="Heading3"/>
    <w:uiPriority w:val="9"/>
    <w:rsid w:val="00F13288"/>
    <w:rPr>
      <w:rFonts w:ascii="Times New Roman" w:hAnsi="Times New Roman"/>
      <w:b/>
      <w:bCs/>
      <w:sz w:val="28"/>
      <w:szCs w:val="28"/>
    </w:rPr>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 w:type="paragraph" w:styleId="NormalWeb">
    <w:name w:val="Normal (Web)"/>
    <w:basedOn w:val="Normal"/>
    <w:uiPriority w:val="99"/>
    <w:unhideWhenUsed/>
    <w:rsid w:val="00C65153"/>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C65153"/>
    <w:rPr>
      <w:b/>
      <w:bCs/>
    </w:rPr>
  </w:style>
  <w:style w:type="table" w:styleId="TableGrid">
    <w:name w:val="Table Grid"/>
    <w:basedOn w:val="TableNormal"/>
    <w:uiPriority w:val="39"/>
    <w:rsid w:val="00C65153"/>
    <w:pPr>
      <w:spacing w:after="0" w:line="240" w:lineRule="auto"/>
    </w:pPr>
    <w:rPr>
      <w:rFonts w:asciiTheme="minorHAnsi" w:eastAsiaTheme="minorHAnsi" w:hAnsiTheme="minorHAnsi" w:cstheme="minorBid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D7213B"/>
    <w:rPr>
      <w:i/>
      <w:iCs/>
    </w:rPr>
  </w:style>
  <w:style w:type="paragraph" w:styleId="TOC1">
    <w:name w:val="toc 1"/>
    <w:basedOn w:val="Normal"/>
    <w:next w:val="Normal"/>
    <w:autoRedefine/>
    <w:uiPriority w:val="39"/>
    <w:unhideWhenUsed/>
    <w:rsid w:val="000F4261"/>
    <w:pPr>
      <w:tabs>
        <w:tab w:val="right" w:leader="dot" w:pos="9016"/>
      </w:tabs>
      <w:spacing w:after="0" w:line="276" w:lineRule="auto"/>
    </w:pPr>
  </w:style>
  <w:style w:type="paragraph" w:styleId="TOC2">
    <w:name w:val="toc 2"/>
    <w:basedOn w:val="Normal"/>
    <w:next w:val="Normal"/>
    <w:autoRedefine/>
    <w:uiPriority w:val="39"/>
    <w:unhideWhenUsed/>
    <w:rsid w:val="000F4261"/>
    <w:pPr>
      <w:spacing w:after="100"/>
      <w:ind w:left="240"/>
    </w:pPr>
  </w:style>
  <w:style w:type="character" w:styleId="Hyperlink">
    <w:name w:val="Hyperlink"/>
    <w:basedOn w:val="DefaultParagraphFont"/>
    <w:uiPriority w:val="99"/>
    <w:unhideWhenUsed/>
    <w:rsid w:val="000F4261"/>
    <w:rPr>
      <w:color w:val="0000FF" w:themeColor="hyperlink"/>
      <w:u w:val="single"/>
    </w:rPr>
  </w:style>
  <w:style w:type="character" w:customStyle="1" w:styleId="whitespace-normal">
    <w:name w:val="whitespace-normal"/>
    <w:basedOn w:val="DefaultParagraphFont"/>
    <w:rsid w:val="00F13288"/>
  </w:style>
  <w:style w:type="table" w:styleId="GridTable4-Accent1">
    <w:name w:val="Grid Table 4 Accent 1"/>
    <w:basedOn w:val="TableNormal"/>
    <w:uiPriority w:val="49"/>
    <w:rsid w:val="00F13288"/>
    <w:pPr>
      <w:spacing w:after="0" w:line="240" w:lineRule="auto"/>
    </w:pPr>
    <w:rPr>
      <w:rFonts w:asciiTheme="minorHAnsi" w:eastAsiaTheme="minorHAnsi" w:hAnsiTheme="minorHAnsi" w:cstheme="minorBidi"/>
      <w:lang w:val="en-US" w:eastAsia="en-US"/>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ListParagraph">
    <w:name w:val="List Paragraph"/>
    <w:basedOn w:val="Normal"/>
    <w:uiPriority w:val="34"/>
    <w:qFormat/>
    <w:rsid w:val="00B50A2A"/>
    <w:pPr>
      <w:ind w:left="720"/>
      <w:contextualSpacing/>
    </w:pPr>
  </w:style>
  <w:style w:type="paragraph" w:styleId="TOCHeading">
    <w:name w:val="TOC Heading"/>
    <w:basedOn w:val="Heading1"/>
    <w:next w:val="Normal"/>
    <w:uiPriority w:val="39"/>
    <w:unhideWhenUsed/>
    <w:qFormat/>
    <w:rsid w:val="00B50A2A"/>
    <w:pPr>
      <w:spacing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3">
    <w:name w:val="toc 3"/>
    <w:basedOn w:val="Normal"/>
    <w:next w:val="Normal"/>
    <w:autoRedefine/>
    <w:uiPriority w:val="39"/>
    <w:unhideWhenUsed/>
    <w:rsid w:val="00B50A2A"/>
    <w:pPr>
      <w:spacing w:after="100"/>
      <w:ind w:left="480"/>
    </w:pPr>
  </w:style>
  <w:style w:type="character" w:styleId="UnresolvedMention">
    <w:name w:val="Unresolved Mention"/>
    <w:basedOn w:val="DefaultParagraphFont"/>
    <w:uiPriority w:val="99"/>
    <w:semiHidden/>
    <w:unhideWhenUsed/>
    <w:rsid w:val="00BA4A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047041">
      <w:bodyDiv w:val="1"/>
      <w:marLeft w:val="0"/>
      <w:marRight w:val="0"/>
      <w:marTop w:val="0"/>
      <w:marBottom w:val="0"/>
      <w:divBdr>
        <w:top w:val="none" w:sz="0" w:space="0" w:color="auto"/>
        <w:left w:val="none" w:sz="0" w:space="0" w:color="auto"/>
        <w:bottom w:val="none" w:sz="0" w:space="0" w:color="auto"/>
        <w:right w:val="none" w:sz="0" w:space="0" w:color="auto"/>
      </w:divBdr>
    </w:div>
    <w:div w:id="708530032">
      <w:bodyDiv w:val="1"/>
      <w:marLeft w:val="0"/>
      <w:marRight w:val="0"/>
      <w:marTop w:val="0"/>
      <w:marBottom w:val="0"/>
      <w:divBdr>
        <w:top w:val="none" w:sz="0" w:space="0" w:color="auto"/>
        <w:left w:val="none" w:sz="0" w:space="0" w:color="auto"/>
        <w:bottom w:val="none" w:sz="0" w:space="0" w:color="auto"/>
        <w:right w:val="none" w:sz="0" w:space="0" w:color="auto"/>
      </w:divBdr>
      <w:divsChild>
        <w:div w:id="264314096">
          <w:marLeft w:val="0"/>
          <w:marRight w:val="0"/>
          <w:marTop w:val="0"/>
          <w:marBottom w:val="0"/>
          <w:divBdr>
            <w:top w:val="none" w:sz="0" w:space="0" w:color="auto"/>
            <w:left w:val="none" w:sz="0" w:space="0" w:color="auto"/>
            <w:bottom w:val="none" w:sz="0" w:space="0" w:color="auto"/>
            <w:right w:val="none" w:sz="0" w:space="0" w:color="auto"/>
          </w:divBdr>
          <w:divsChild>
            <w:div w:id="1401753094">
              <w:marLeft w:val="0"/>
              <w:marRight w:val="0"/>
              <w:marTop w:val="0"/>
              <w:marBottom w:val="0"/>
              <w:divBdr>
                <w:top w:val="none" w:sz="0" w:space="0" w:color="auto"/>
                <w:left w:val="none" w:sz="0" w:space="0" w:color="auto"/>
                <w:bottom w:val="none" w:sz="0" w:space="0" w:color="auto"/>
                <w:right w:val="none" w:sz="0" w:space="0" w:color="auto"/>
              </w:divBdr>
              <w:divsChild>
                <w:div w:id="676931505">
                  <w:marLeft w:val="0"/>
                  <w:marRight w:val="0"/>
                  <w:marTop w:val="0"/>
                  <w:marBottom w:val="0"/>
                  <w:divBdr>
                    <w:top w:val="none" w:sz="0" w:space="0" w:color="auto"/>
                    <w:left w:val="none" w:sz="0" w:space="0" w:color="auto"/>
                    <w:bottom w:val="none" w:sz="0" w:space="0" w:color="auto"/>
                    <w:right w:val="none" w:sz="0" w:space="0" w:color="auto"/>
                  </w:divBdr>
                  <w:divsChild>
                    <w:div w:id="1445231779">
                      <w:marLeft w:val="0"/>
                      <w:marRight w:val="0"/>
                      <w:marTop w:val="0"/>
                      <w:marBottom w:val="0"/>
                      <w:divBdr>
                        <w:top w:val="none" w:sz="0" w:space="0" w:color="auto"/>
                        <w:left w:val="none" w:sz="0" w:space="0" w:color="auto"/>
                        <w:bottom w:val="none" w:sz="0" w:space="0" w:color="auto"/>
                        <w:right w:val="none" w:sz="0" w:space="0" w:color="auto"/>
                      </w:divBdr>
                      <w:divsChild>
                        <w:div w:id="18237040">
                          <w:marLeft w:val="0"/>
                          <w:marRight w:val="0"/>
                          <w:marTop w:val="0"/>
                          <w:marBottom w:val="0"/>
                          <w:divBdr>
                            <w:top w:val="none" w:sz="0" w:space="0" w:color="auto"/>
                            <w:left w:val="none" w:sz="0" w:space="0" w:color="auto"/>
                            <w:bottom w:val="none" w:sz="0" w:space="0" w:color="auto"/>
                            <w:right w:val="none" w:sz="0" w:space="0" w:color="auto"/>
                          </w:divBdr>
                          <w:divsChild>
                            <w:div w:id="725183559">
                              <w:marLeft w:val="0"/>
                              <w:marRight w:val="0"/>
                              <w:marTop w:val="0"/>
                              <w:marBottom w:val="0"/>
                              <w:divBdr>
                                <w:top w:val="none" w:sz="0" w:space="0" w:color="auto"/>
                                <w:left w:val="none" w:sz="0" w:space="0" w:color="auto"/>
                                <w:bottom w:val="none" w:sz="0" w:space="0" w:color="auto"/>
                                <w:right w:val="none" w:sz="0" w:space="0" w:color="auto"/>
                              </w:divBdr>
                              <w:divsChild>
                                <w:div w:id="466507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MEDAR-05-2019-0484" TargetMode="External"/><Relationship Id="rId18" Type="http://schemas.openxmlformats.org/officeDocument/2006/relationships/hyperlink" Target="https://doi.org/10.54660/.IJMRGE.2021.2.1.823-834" TargetMode="External"/><Relationship Id="rId26" Type="http://schemas.openxmlformats.org/officeDocument/2006/relationships/hyperlink" Target="https://doi.org/10.1002/smj.2593" TargetMode="External"/><Relationship Id="rId3" Type="http://schemas.openxmlformats.org/officeDocument/2006/relationships/styles" Target="styles.xml"/><Relationship Id="rId21" Type="http://schemas.openxmlformats.org/officeDocument/2006/relationships/hyperlink" Target="https://doi.org/10.1016/j.apenergy.2016.12.047"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54660/.IJMRGE.2022.3.1.819-833" TargetMode="External"/><Relationship Id="rId25" Type="http://schemas.openxmlformats.org/officeDocument/2006/relationships/hyperlink" Target="https://doi.org/10.1016/j.renene.2017.10.091" TargetMode="External"/><Relationship Id="rId2" Type="http://schemas.openxmlformats.org/officeDocument/2006/relationships/numbering" Target="numbering.xml"/><Relationship Id="rId16" Type="http://schemas.openxmlformats.org/officeDocument/2006/relationships/hyperlink" Target="https://doi.org/10.54660/.IJMRGE.2021.2.1.809-822" TargetMode="External"/><Relationship Id="rId20" Type="http://schemas.openxmlformats.org/officeDocument/2006/relationships/hyperlink" Target="https://doi.org/10.5195/emaj.2015.67" TargetMode="External"/><Relationship Id="rId29" Type="http://schemas.openxmlformats.org/officeDocument/2006/relationships/hyperlink" Target="https://doi.org/10.1016/j.ejor.2015.05.03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doi.org/10.1002/smj.2631"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5281/zenodo.15043300" TargetMode="External"/><Relationship Id="rId23" Type="http://schemas.openxmlformats.org/officeDocument/2006/relationships/hyperlink" Target="https://doi.org/10.1155/2022/1708506" TargetMode="External"/><Relationship Id="rId28" Type="http://schemas.openxmlformats.org/officeDocument/2006/relationships/hyperlink" Target="https://doi.org/10.1016/j.ijproman.2015.02.002" TargetMode="External"/><Relationship Id="rId10" Type="http://schemas.openxmlformats.org/officeDocument/2006/relationships/image" Target="media/image3.jpeg"/><Relationship Id="rId19" Type="http://schemas.openxmlformats.org/officeDocument/2006/relationships/hyperlink" Target="https://doi.org/10.1016/j.bar.2015.12.002"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5281/zenodo.15043259" TargetMode="External"/><Relationship Id="rId22" Type="http://schemas.openxmlformats.org/officeDocument/2006/relationships/hyperlink" Target="https://doi.org/10.1108/JAEE-02-2013-0012" TargetMode="External"/><Relationship Id="rId27" Type="http://schemas.openxmlformats.org/officeDocument/2006/relationships/hyperlink" Target="https://doi.org/10.1080/20430795.2021.1883984" TargetMode="External"/><Relationship Id="rId30"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52FAF5-A79D-4041-9530-D67D574A38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TotalTime>
  <Pages>28</Pages>
  <Words>7635</Words>
  <Characters>43522</Characters>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erms:created xsi:type="dcterms:W3CDTF">2026-02-23T11:47:00Z</dcterms:created>
  <dcterms:modified xsi:type="dcterms:W3CDTF">2026-02-23T18:44:00Z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b2ae6975-c00e-4db8-807a-8f251198c438</vt:lpwstr>
  </property>
</Properties>
</file>