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26118B" w:rsidR="009C321A" w:rsidP="27CF3A4B" w:rsidRDefault="0026118B" w14:paraId="7AF57172" w14:textId="44597E79">
      <w:pPr>
        <w:jc w:val="center"/>
        <w:rPr>
          <w:b w:val="1"/>
          <w:bCs w:val="1"/>
          <w:u w:val="single"/>
        </w:rPr>
      </w:pPr>
      <w:r w:rsidRPr="27CF3A4B" w:rsidR="27CF3A4B">
        <w:rPr>
          <w:b w:val="1"/>
          <w:bCs w:val="1"/>
          <w:u w:val="single"/>
        </w:rPr>
        <w:t xml:space="preserve">Give a detailed account, including variants, of Alexander’s relationship with </w:t>
      </w:r>
      <w:proofErr w:type="spellStart"/>
      <w:r w:rsidRPr="27CF3A4B" w:rsidR="27CF3A4B">
        <w:rPr>
          <w:b w:val="1"/>
          <w:bCs w:val="1"/>
          <w:u w:val="single"/>
        </w:rPr>
        <w:t>Bagoas</w:t>
      </w:r>
      <w:proofErr w:type="spellEnd"/>
      <w:r w:rsidRPr="27CF3A4B" w:rsidR="27CF3A4B">
        <w:rPr>
          <w:b w:val="1"/>
          <w:bCs w:val="1"/>
          <w:u w:val="single"/>
        </w:rPr>
        <w:t xml:space="preserve">. Focus on </w:t>
      </w:r>
      <w:proofErr w:type="spellStart"/>
      <w:r w:rsidRPr="27CF3A4B" w:rsidR="27CF3A4B">
        <w:rPr>
          <w:b w:val="1"/>
          <w:bCs w:val="1"/>
          <w:u w:val="single"/>
        </w:rPr>
        <w:t>Dicaearchus</w:t>
      </w:r>
      <w:proofErr w:type="spellEnd"/>
      <w:r w:rsidRPr="27CF3A4B" w:rsidR="27CF3A4B">
        <w:rPr>
          <w:b w:val="1"/>
          <w:bCs w:val="1"/>
          <w:u w:val="single"/>
        </w:rPr>
        <w:t xml:space="preserve"> in Athenaeu</w:t>
      </w:r>
      <w:r w:rsidRPr="27CF3A4B" w:rsidR="27CF3A4B">
        <w:rPr>
          <w:b w:val="1"/>
          <w:bCs w:val="1"/>
          <w:u w:val="single"/>
        </w:rPr>
        <w:t>s</w:t>
      </w:r>
      <w:r w:rsidRPr="27CF3A4B" w:rsidR="27CF3A4B">
        <w:rPr>
          <w:b w:val="1"/>
          <w:bCs w:val="1"/>
          <w:u w:val="single"/>
        </w:rPr>
        <w:t xml:space="preserve"> 603b, Curtius Rufus 6.5.22-3/10.1.22-42 and Plutarch Alexander 67.’</w:t>
      </w:r>
      <w:bookmarkStart w:name="_GoBack" w:id="0"/>
      <w:bookmarkEnd w:id="0"/>
    </w:p>
    <w:p w:rsidR="27CF3A4B" w:rsidP="27CF3A4B" w:rsidRDefault="27CF3A4B" w14:paraId="5C335888" w14:textId="121DB9BE">
      <w:pPr>
        <w:pStyle w:val="Normal"/>
        <w:jc w:val="center"/>
        <w:rPr>
          <w:b w:val="1"/>
          <w:bCs w:val="1"/>
          <w:u w:val="single"/>
        </w:rPr>
      </w:pPr>
    </w:p>
    <w:p w:rsidR="27CF3A4B" w:rsidP="27CF3A4B" w:rsidRDefault="27CF3A4B" w14:paraId="51A782D4" w14:textId="70C25A81">
      <w:pPr>
        <w:pStyle w:val="Normal"/>
        <w:jc w:val="left"/>
        <w:rPr>
          <w:b w:val="1"/>
          <w:bCs w:val="1"/>
          <w:u w:val="single"/>
        </w:rPr>
      </w:pPr>
      <w:r w:rsidR="27CF3A4B">
        <w:rPr>
          <w:b w:val="0"/>
          <w:bCs w:val="0"/>
          <w:u w:val="none"/>
        </w:rPr>
        <w:t xml:space="preserve">Alexander’s relationship with </w:t>
      </w:r>
      <w:proofErr w:type="spellStart"/>
      <w:r w:rsidR="27CF3A4B">
        <w:rPr>
          <w:b w:val="0"/>
          <w:bCs w:val="0"/>
          <w:u w:val="none"/>
        </w:rPr>
        <w:t>Bagoas</w:t>
      </w:r>
      <w:proofErr w:type="spellEnd"/>
      <w:r w:rsidR="27CF3A4B">
        <w:rPr>
          <w:b w:val="0"/>
          <w:bCs w:val="0"/>
          <w:u w:val="none"/>
        </w:rPr>
        <w:t xml:space="preserve"> is presented from different perspectives by the ancient sources, yet there are overarching themes and clear similarities between the three sources I will be discussing. I will be focusing primarily on Curtius Rufus and Plutarch as there are interesting comparisons to be made here that can be discussed with a political and moral perspective.</w:t>
      </w:r>
    </w:p>
    <w:p w:rsidR="27CF3A4B" w:rsidP="27CF3A4B" w:rsidRDefault="27CF3A4B" w14:paraId="152AD6D1" w14:textId="402C9001">
      <w:pPr>
        <w:pStyle w:val="Normal"/>
        <w:jc w:val="left"/>
        <w:rPr>
          <w:b w:val="0"/>
          <w:bCs w:val="0"/>
          <w:u w:val="none"/>
        </w:rPr>
      </w:pPr>
    </w:p>
    <w:p w:rsidR="27CF3A4B" w:rsidP="27CF3A4B" w:rsidRDefault="27CF3A4B" w14:paraId="415483B5" w14:textId="01A3D0F6">
      <w:pPr>
        <w:pStyle w:val="Normal"/>
        <w:jc w:val="left"/>
        <w:rPr>
          <w:b w:val="0"/>
          <w:bCs w:val="0"/>
          <w:u w:val="none"/>
        </w:rPr>
      </w:pPr>
      <w:r w:rsidR="27CF3A4B">
        <w:rPr>
          <w:b w:val="0"/>
          <w:bCs w:val="0"/>
          <w:u w:val="none"/>
        </w:rPr>
        <w:t xml:space="preserve">The first obvious similarity between the three sources is that </w:t>
      </w:r>
      <w:proofErr w:type="spellStart"/>
      <w:r w:rsidR="27CF3A4B">
        <w:rPr>
          <w:b w:val="0"/>
          <w:bCs w:val="0"/>
          <w:u w:val="none"/>
        </w:rPr>
        <w:t>Bagoas</w:t>
      </w:r>
      <w:proofErr w:type="spellEnd"/>
      <w:r w:rsidR="27CF3A4B">
        <w:rPr>
          <w:b w:val="0"/>
          <w:bCs w:val="0"/>
          <w:u w:val="none"/>
        </w:rPr>
        <w:t xml:space="preserve"> and Alexander had a sexual relationship. Plutarch and </w:t>
      </w:r>
      <w:proofErr w:type="spellStart"/>
      <w:r w:rsidR="27CF3A4B">
        <w:rPr>
          <w:b w:val="0"/>
          <w:bCs w:val="0"/>
          <w:u w:val="none"/>
        </w:rPr>
        <w:t>Athenaeus</w:t>
      </w:r>
      <w:proofErr w:type="spellEnd"/>
      <w:r w:rsidR="27CF3A4B">
        <w:rPr>
          <w:b w:val="0"/>
          <w:bCs w:val="0"/>
          <w:u w:val="none"/>
        </w:rPr>
        <w:t xml:space="preserve"> (quoting </w:t>
      </w:r>
      <w:proofErr w:type="spellStart"/>
      <w:r w:rsidR="27CF3A4B">
        <w:rPr>
          <w:b w:val="0"/>
          <w:bCs w:val="0"/>
          <w:u w:val="none"/>
        </w:rPr>
        <w:t>Dicaearchus</w:t>
      </w:r>
      <w:proofErr w:type="spellEnd"/>
      <w:r w:rsidR="27CF3A4B">
        <w:rPr>
          <w:b w:val="0"/>
          <w:bCs w:val="0"/>
          <w:u w:val="none"/>
        </w:rPr>
        <w:t xml:space="preserve">) both tell us that at the festival of </w:t>
      </w:r>
      <w:r w:rsidR="27CF3A4B">
        <w:rPr>
          <w:b w:val="0"/>
          <w:bCs w:val="0"/>
          <w:u w:val="none"/>
        </w:rPr>
        <w:t>Gedrosia</w:t>
      </w:r>
      <w:r w:rsidR="27CF3A4B">
        <w:rPr>
          <w:b w:val="0"/>
          <w:bCs w:val="0"/>
          <w:u w:val="none"/>
        </w:rPr>
        <w:t xml:space="preserve">, Alexander kissed </w:t>
      </w:r>
      <w:proofErr w:type="spellStart"/>
      <w:r w:rsidR="27CF3A4B">
        <w:rPr>
          <w:b w:val="0"/>
          <w:bCs w:val="0"/>
          <w:u w:val="none"/>
        </w:rPr>
        <w:t>Bagoas</w:t>
      </w:r>
      <w:proofErr w:type="spellEnd"/>
      <w:r w:rsidR="27CF3A4B">
        <w:rPr>
          <w:b w:val="0"/>
          <w:bCs w:val="0"/>
          <w:u w:val="none"/>
        </w:rPr>
        <w:t xml:space="preserve"> in front of the Macedonians.</w:t>
      </w:r>
      <w:r w:rsidRPr="42B5795C">
        <w:rPr>
          <w:rStyle w:val="FootnoteReference"/>
          <w:b w:val="0"/>
          <w:bCs w:val="0"/>
          <w:u w:val="none"/>
        </w:rPr>
        <w:footnoteReference w:id="17077"/>
      </w:r>
      <w:r w:rsidR="27CF3A4B">
        <w:rPr>
          <w:b w:val="0"/>
          <w:bCs w:val="0"/>
          <w:u w:val="none"/>
        </w:rPr>
        <w:t xml:space="preserve"> Plutarch specifically says </w:t>
      </w:r>
      <w:r w:rsidR="27CF3A4B">
        <w:rPr>
          <w:b w:val="0"/>
          <w:bCs w:val="0"/>
          <w:u w:val="none"/>
        </w:rPr>
        <w:t>‘</w:t>
      </w:r>
      <w:r w:rsidR="27CF3A4B">
        <w:rPr>
          <w:b w:val="0"/>
          <w:bCs w:val="0"/>
          <w:u w:val="none"/>
        </w:rPr>
        <w:t xml:space="preserve">Being well heated with wine, and that his favourite, </w:t>
      </w:r>
      <w:proofErr w:type="spellStart"/>
      <w:r w:rsidR="27CF3A4B">
        <w:rPr>
          <w:b w:val="0"/>
          <w:bCs w:val="0"/>
          <w:u w:val="none"/>
        </w:rPr>
        <w:t>Bagoas</w:t>
      </w:r>
      <w:proofErr w:type="spellEnd"/>
      <w:r w:rsidR="27CF3A4B">
        <w:rPr>
          <w:b w:val="0"/>
          <w:bCs w:val="0"/>
          <w:u w:val="none"/>
        </w:rPr>
        <w:t>, won the prize for song and dance...[</w:t>
      </w:r>
      <w:proofErr w:type="spellStart"/>
      <w:r w:rsidR="27CF3A4B">
        <w:rPr>
          <w:b w:val="0"/>
          <w:bCs w:val="0"/>
          <w:u w:val="none"/>
        </w:rPr>
        <w:t>Bagoas</w:t>
      </w:r>
      <w:proofErr w:type="spellEnd"/>
      <w:r w:rsidR="27CF3A4B">
        <w:rPr>
          <w:b w:val="0"/>
          <w:bCs w:val="0"/>
          <w:u w:val="none"/>
        </w:rPr>
        <w:t xml:space="preserve">] took his seat by Alexander’s side, at the sight of which the Macedonians clapped their hands and loudly bade the King kiss the victor, until at </w:t>
      </w:r>
      <w:proofErr w:type="gramStart"/>
      <w:r w:rsidR="27CF3A4B">
        <w:rPr>
          <w:b w:val="0"/>
          <w:bCs w:val="0"/>
          <w:u w:val="none"/>
        </w:rPr>
        <w:t>last</w:t>
      </w:r>
      <w:proofErr w:type="gramEnd"/>
      <w:r w:rsidR="27CF3A4B">
        <w:rPr>
          <w:b w:val="0"/>
          <w:bCs w:val="0"/>
          <w:u w:val="none"/>
        </w:rPr>
        <w:t xml:space="preserve"> he threw his arms about him and kissed him tenderly.</w:t>
      </w:r>
      <w:r w:rsidR="27CF3A4B">
        <w:rPr>
          <w:b w:val="0"/>
          <w:bCs w:val="0"/>
          <w:u w:val="none"/>
        </w:rPr>
        <w:t>’</w:t>
      </w:r>
      <w:r w:rsidRPr="27CF3A4B">
        <w:rPr>
          <w:rStyle w:val="FootnoteReference"/>
          <w:b w:val="0"/>
          <w:bCs w:val="0"/>
          <w:u w:val="none"/>
        </w:rPr>
        <w:footnoteReference w:id="2553"/>
      </w:r>
      <w:r w:rsidR="27CF3A4B">
        <w:rPr>
          <w:b w:val="0"/>
          <w:bCs w:val="0"/>
          <w:u w:val="none"/>
        </w:rPr>
        <w:t xml:space="preserve"> Two key thing we can learn from this paragraph is that Alexander’s relationship with </w:t>
      </w:r>
      <w:proofErr w:type="spellStart"/>
      <w:r w:rsidR="27CF3A4B">
        <w:rPr>
          <w:b w:val="0"/>
          <w:bCs w:val="0"/>
          <w:u w:val="none"/>
        </w:rPr>
        <w:t>Bagoas</w:t>
      </w:r>
      <w:proofErr w:type="spellEnd"/>
      <w:r w:rsidR="27CF3A4B">
        <w:rPr>
          <w:b w:val="0"/>
          <w:bCs w:val="0"/>
          <w:u w:val="none"/>
        </w:rPr>
        <w:t xml:space="preserve"> was publicly encouraged by the Macedonian’s and that </w:t>
      </w:r>
      <w:proofErr w:type="spellStart"/>
      <w:r w:rsidR="27CF3A4B">
        <w:rPr>
          <w:b w:val="0"/>
          <w:bCs w:val="0"/>
          <w:u w:val="none"/>
        </w:rPr>
        <w:t>Bagoas</w:t>
      </w:r>
      <w:proofErr w:type="spellEnd"/>
      <w:r w:rsidR="27CF3A4B">
        <w:rPr>
          <w:b w:val="0"/>
          <w:bCs w:val="0"/>
          <w:u w:val="none"/>
        </w:rPr>
        <w:t xml:space="preserve"> was honoured enough within the Macedonian camp to have a seat by Alexander’s side. Curtius Rufus also cements the sexual and romantic relationship between Alexander and </w:t>
      </w:r>
      <w:proofErr w:type="spellStart"/>
      <w:r w:rsidR="27CF3A4B">
        <w:rPr>
          <w:b w:val="0"/>
          <w:bCs w:val="0"/>
          <w:u w:val="none"/>
        </w:rPr>
        <w:t>Bagoas</w:t>
      </w:r>
      <w:proofErr w:type="spellEnd"/>
      <w:r w:rsidR="27CF3A4B">
        <w:rPr>
          <w:b w:val="0"/>
          <w:bCs w:val="0"/>
          <w:u w:val="none"/>
        </w:rPr>
        <w:t xml:space="preserve"> by saying ‘[he] was afterwards to be loved by Alexander.’</w:t>
      </w:r>
      <w:r w:rsidRPr="27CF3A4B">
        <w:rPr>
          <w:rStyle w:val="FootnoteReference"/>
          <w:b w:val="0"/>
          <w:bCs w:val="0"/>
          <w:u w:val="none"/>
        </w:rPr>
        <w:footnoteReference w:id="29388"/>
      </w:r>
    </w:p>
    <w:p w:rsidR="27CF3A4B" w:rsidP="27CF3A4B" w:rsidRDefault="27CF3A4B" w14:paraId="1D83B302" w14:textId="628607B2">
      <w:pPr>
        <w:pStyle w:val="Normal"/>
        <w:jc w:val="left"/>
        <w:rPr>
          <w:b w:val="0"/>
          <w:bCs w:val="0"/>
          <w:u w:val="none"/>
        </w:rPr>
      </w:pPr>
    </w:p>
    <w:p w:rsidR="27CF3A4B" w:rsidP="27CF3A4B" w:rsidRDefault="27CF3A4B" w14:paraId="26731CA7" w14:textId="7E4D675A">
      <w:pPr>
        <w:pStyle w:val="Normal"/>
        <w:jc w:val="left"/>
        <w:rPr>
          <w:b w:val="0"/>
          <w:bCs w:val="0"/>
          <w:u w:val="none"/>
        </w:rPr>
      </w:pPr>
      <w:r w:rsidR="27CF3A4B">
        <w:rPr>
          <w:b w:val="0"/>
          <w:bCs w:val="0"/>
          <w:u w:val="none"/>
        </w:rPr>
        <w:t xml:space="preserve">The primary difference between the sources is that Curtius Rufus describes how </w:t>
      </w:r>
      <w:r w:rsidR="27CF3A4B">
        <w:rPr>
          <w:b w:val="0"/>
          <w:bCs w:val="0"/>
          <w:u w:val="none"/>
        </w:rPr>
        <w:t>Bagoas</w:t>
      </w:r>
      <w:r w:rsidR="27CF3A4B">
        <w:rPr>
          <w:b w:val="0"/>
          <w:bCs w:val="0"/>
          <w:u w:val="none"/>
        </w:rPr>
        <w:t xml:space="preserve"> had a negative influence over Alexander and used his sexuality to sway Alexander’s views and actions whereas Plutarch does not paint </w:t>
      </w:r>
      <w:r w:rsidR="27CF3A4B">
        <w:rPr>
          <w:b w:val="0"/>
          <w:bCs w:val="0"/>
          <w:u w:val="none"/>
        </w:rPr>
        <w:t>Bagoas</w:t>
      </w:r>
      <w:r w:rsidR="27CF3A4B">
        <w:rPr>
          <w:b w:val="0"/>
          <w:bCs w:val="0"/>
          <w:u w:val="none"/>
        </w:rPr>
        <w:t xml:space="preserve"> in this negative light. For example, he tells us that </w:t>
      </w:r>
      <w:r w:rsidR="27CF3A4B">
        <w:rPr>
          <w:b w:val="0"/>
          <w:bCs w:val="0"/>
          <w:u w:val="none"/>
        </w:rPr>
        <w:t>‘</w:t>
      </w:r>
      <w:r w:rsidR="27CF3A4B">
        <w:rPr>
          <w:b w:val="0"/>
          <w:bCs w:val="0"/>
          <w:u w:val="none"/>
        </w:rPr>
        <w:t>the eunuch exercised the power which he had gained by shame and disgrace against the life of an eminent and guiltless man.</w:t>
      </w:r>
      <w:r w:rsidR="27CF3A4B">
        <w:rPr>
          <w:b w:val="0"/>
          <w:bCs w:val="0"/>
          <w:u w:val="none"/>
        </w:rPr>
        <w:t>’</w:t>
      </w:r>
      <w:r w:rsidRPr="27CF3A4B">
        <w:rPr>
          <w:rStyle w:val="FootnoteReference"/>
          <w:b w:val="0"/>
          <w:bCs w:val="0"/>
          <w:u w:val="none"/>
        </w:rPr>
        <w:footnoteReference w:id="23555"/>
      </w:r>
      <w:r w:rsidR="27CF3A4B">
        <w:rPr>
          <w:b w:val="0"/>
          <w:bCs w:val="0"/>
          <w:u w:val="none"/>
        </w:rPr>
        <w:t xml:space="preserve"> The context for this statement is that </w:t>
      </w:r>
      <w:r w:rsidR="27CF3A4B">
        <w:rPr>
          <w:b w:val="0"/>
          <w:bCs w:val="0"/>
          <w:u w:val="none"/>
        </w:rPr>
        <w:t>Bagoas</w:t>
      </w:r>
      <w:r w:rsidR="27CF3A4B">
        <w:rPr>
          <w:b w:val="0"/>
          <w:bCs w:val="0"/>
          <w:u w:val="none"/>
        </w:rPr>
        <w:t xml:space="preserve"> was spurned by the satrap </w:t>
      </w:r>
      <w:r w:rsidR="27CF3A4B">
        <w:rPr>
          <w:b w:val="0"/>
          <w:bCs w:val="0"/>
          <w:u w:val="none"/>
        </w:rPr>
        <w:t>Orsines</w:t>
      </w:r>
      <w:r w:rsidR="27CF3A4B">
        <w:rPr>
          <w:b w:val="0"/>
          <w:bCs w:val="0"/>
          <w:u w:val="none"/>
        </w:rPr>
        <w:t xml:space="preserve"> and was not given a gift by him, unlike all of Alexander’s other friends. </w:t>
      </w:r>
      <w:r w:rsidR="27CF3A4B">
        <w:rPr>
          <w:b w:val="0"/>
          <w:bCs w:val="0"/>
          <w:u w:val="none"/>
        </w:rPr>
        <w:t>Orsines</w:t>
      </w:r>
      <w:r w:rsidR="27CF3A4B">
        <w:rPr>
          <w:b w:val="0"/>
          <w:bCs w:val="0"/>
          <w:u w:val="none"/>
        </w:rPr>
        <w:t xml:space="preserve">’ reasoning for this was that </w:t>
      </w:r>
      <w:r w:rsidR="27CF3A4B">
        <w:rPr>
          <w:b w:val="0"/>
          <w:bCs w:val="0"/>
          <w:u w:val="none"/>
        </w:rPr>
        <w:t>‘</w:t>
      </w:r>
      <w:r w:rsidR="27CF3A4B">
        <w:rPr>
          <w:b w:val="0"/>
          <w:bCs w:val="0"/>
          <w:u w:val="none"/>
        </w:rPr>
        <w:t>[</w:t>
      </w:r>
      <w:r w:rsidR="27CF3A4B">
        <w:rPr>
          <w:b w:val="0"/>
          <w:bCs w:val="0"/>
          <w:u w:val="none"/>
        </w:rPr>
        <w:t>Orsines</w:t>
      </w:r>
      <w:r w:rsidR="27CF3A4B">
        <w:rPr>
          <w:b w:val="0"/>
          <w:bCs w:val="0"/>
          <w:u w:val="none"/>
        </w:rPr>
        <w:t>] was honouring the friends of the king, not his harlots.</w:t>
      </w:r>
      <w:r w:rsidR="27CF3A4B">
        <w:rPr>
          <w:b w:val="0"/>
          <w:bCs w:val="0"/>
          <w:u w:val="none"/>
        </w:rPr>
        <w:t>’</w:t>
      </w:r>
      <w:r w:rsidRPr="27CF3A4B">
        <w:rPr>
          <w:rStyle w:val="FootnoteReference"/>
          <w:b w:val="0"/>
          <w:bCs w:val="0"/>
          <w:u w:val="none"/>
        </w:rPr>
        <w:footnoteReference w:id="5195"/>
      </w:r>
      <w:r w:rsidR="27CF3A4B">
        <w:rPr>
          <w:b w:val="0"/>
          <w:bCs w:val="0"/>
          <w:u w:val="none"/>
        </w:rPr>
        <w:t xml:space="preserve"> This negative description of </w:t>
      </w:r>
      <w:r w:rsidR="27CF3A4B">
        <w:rPr>
          <w:b w:val="0"/>
          <w:bCs w:val="0"/>
          <w:u w:val="none"/>
        </w:rPr>
        <w:t>Bagoas</w:t>
      </w:r>
      <w:r w:rsidR="27CF3A4B">
        <w:rPr>
          <w:b w:val="0"/>
          <w:bCs w:val="0"/>
          <w:u w:val="none"/>
        </w:rPr>
        <w:t xml:space="preserve">’ relationship with Alexander is unique to Curtius Rufus’ writings and one possible reason for this is that Curtius Rufus was writing during the reign of Augustus and his moral reforms may have influenced the opinions on eunuchs at the time. </w:t>
      </w:r>
    </w:p>
    <w:p w:rsidR="27CF3A4B" w:rsidP="27CF3A4B" w:rsidRDefault="27CF3A4B" w14:paraId="368CAEA0" w14:textId="7FFAD759">
      <w:pPr>
        <w:pStyle w:val="Normal"/>
        <w:jc w:val="left"/>
        <w:rPr>
          <w:b w:val="0"/>
          <w:bCs w:val="0"/>
          <w:u w:val="none"/>
        </w:rPr>
      </w:pPr>
    </w:p>
    <w:p w:rsidR="27CF3A4B" w:rsidP="27CF3A4B" w:rsidRDefault="27CF3A4B" w14:paraId="694FB4AF" w14:textId="1F8E399D">
      <w:pPr>
        <w:pStyle w:val="Normal"/>
        <w:jc w:val="left"/>
        <w:rPr>
          <w:b w:val="0"/>
          <w:bCs w:val="0"/>
          <w:u w:val="none"/>
        </w:rPr>
      </w:pPr>
      <w:r w:rsidR="27CF3A4B">
        <w:rPr>
          <w:b w:val="0"/>
          <w:bCs w:val="0"/>
          <w:u w:val="none"/>
        </w:rPr>
        <w:t xml:space="preserve">In conclusion, while Plutarch, </w:t>
      </w:r>
      <w:proofErr w:type="spellStart"/>
      <w:r w:rsidR="27CF3A4B">
        <w:rPr>
          <w:b w:val="0"/>
          <w:bCs w:val="0"/>
          <w:u w:val="none"/>
        </w:rPr>
        <w:t>Athenaeus</w:t>
      </w:r>
      <w:proofErr w:type="spellEnd"/>
      <w:r w:rsidR="27CF3A4B">
        <w:rPr>
          <w:b w:val="0"/>
          <w:bCs w:val="0"/>
          <w:u w:val="none"/>
        </w:rPr>
        <w:t xml:space="preserve"> and Curtius Rufus all agree on the sexual and romantic relationship with </w:t>
      </w:r>
      <w:proofErr w:type="spellStart"/>
      <w:r w:rsidR="27CF3A4B">
        <w:rPr>
          <w:b w:val="0"/>
          <w:bCs w:val="0"/>
          <w:u w:val="none"/>
        </w:rPr>
        <w:t>Bagoas</w:t>
      </w:r>
      <w:proofErr w:type="spellEnd"/>
      <w:r w:rsidR="27CF3A4B">
        <w:rPr>
          <w:b w:val="0"/>
          <w:bCs w:val="0"/>
          <w:u w:val="none"/>
        </w:rPr>
        <w:t xml:space="preserve">, </w:t>
      </w:r>
      <w:r w:rsidR="27CF3A4B">
        <w:rPr>
          <w:b w:val="0"/>
          <w:bCs w:val="0"/>
          <w:u w:val="none"/>
        </w:rPr>
        <w:t>Curtius Rufus goes into more detail on the nature of the relationship and paints it in a negative light.</w:t>
      </w:r>
    </w:p>
    <w:p w:rsidR="27CF3A4B" w:rsidP="27CF3A4B" w:rsidRDefault="27CF3A4B" w14:paraId="709E7F7F" w14:textId="6243183E">
      <w:pPr>
        <w:pStyle w:val="Normal"/>
        <w:jc w:val="center"/>
        <w:rPr>
          <w:b w:val="1"/>
          <w:bCs w:val="1"/>
          <w:u w:val="single"/>
        </w:rPr>
      </w:pPr>
    </w:p>
    <w:p w:rsidR="27CF3A4B" w:rsidP="27CF3A4B" w:rsidRDefault="27CF3A4B" w14:paraId="081194C0" w14:textId="446DABD0">
      <w:pPr>
        <w:pStyle w:val="Normal"/>
        <w:jc w:val="center"/>
        <w:rPr>
          <w:b w:val="1"/>
          <w:bCs w:val="1"/>
          <w:u w:val="single"/>
        </w:rPr>
      </w:pPr>
    </w:p>
    <w:p w:rsidR="27CF3A4B" w:rsidP="27CF3A4B" w:rsidRDefault="27CF3A4B" w14:paraId="066062D4" w14:textId="23F111AE">
      <w:pPr>
        <w:pStyle w:val="Normal"/>
        <w:jc w:val="left"/>
        <w:rPr>
          <w:b w:val="1"/>
          <w:bCs w:val="1"/>
          <w:color w:val="auto"/>
          <w:u w:val="single"/>
        </w:rPr>
      </w:pPr>
    </w:p>
    <w:p w:rsidR="27CF3A4B" w:rsidP="27CF3A4B" w:rsidRDefault="27CF3A4B" w14:paraId="09E21560" w14:textId="66136E53">
      <w:pPr>
        <w:pStyle w:val="Normal"/>
        <w:jc w:val="left"/>
        <w:rPr>
          <w:b w:val="1"/>
          <w:bCs w:val="1"/>
          <w:color w:val="auto"/>
          <w:u w:val="single"/>
        </w:rPr>
      </w:pPr>
    </w:p>
    <w:p w:rsidR="1EB4BC8A" w:rsidP="27CF3A4B" w:rsidRDefault="1EB4BC8A" w14:paraId="1C7FA8B0" w14:textId="77746674">
      <w:pPr>
        <w:pStyle w:val="Normal"/>
        <w:jc w:val="left"/>
        <w:rPr>
          <w:b w:val="1"/>
          <w:bCs w:val="1"/>
          <w:color w:val="auto"/>
          <w:u w:val="single"/>
        </w:rPr>
      </w:pPr>
      <w:r w:rsidRPr="27CF3A4B" w:rsidR="27CF3A4B">
        <w:rPr>
          <w:b w:val="1"/>
          <w:bCs w:val="1"/>
          <w:color w:val="auto"/>
          <w:u w:val="single"/>
        </w:rPr>
        <w:t>Bibliography</w:t>
      </w:r>
    </w:p>
    <w:p w:rsidR="1EB4BC8A" w:rsidP="27CF3A4B" w:rsidRDefault="1EB4BC8A" w14:paraId="3600F595" w14:textId="23974B9A">
      <w:pPr>
        <w:pStyle w:val="Normal"/>
        <w:jc w:val="left"/>
        <w:rPr>
          <w:b w:val="0"/>
          <w:bCs w:val="0"/>
          <w:i w:val="1"/>
          <w:iCs w:val="1"/>
          <w:color w:val="auto"/>
          <w:u w:val="none"/>
        </w:rPr>
      </w:pPr>
      <w:proofErr w:type="spellStart"/>
      <w:r w:rsidRPr="27CF3A4B" w:rsidR="27CF3A4B">
        <w:rPr>
          <w:b w:val="0"/>
          <w:bCs w:val="0"/>
          <w:color w:val="auto"/>
          <w:u w:val="none"/>
        </w:rPr>
        <w:t>Athenaeus</w:t>
      </w:r>
      <w:proofErr w:type="spellEnd"/>
      <w:r w:rsidRPr="27CF3A4B" w:rsidR="27CF3A4B">
        <w:rPr>
          <w:b w:val="0"/>
          <w:bCs w:val="0"/>
          <w:color w:val="auto"/>
          <w:u w:val="none"/>
        </w:rPr>
        <w:t xml:space="preserve"> 603b IN Ogden, D. </w:t>
      </w:r>
      <w:r w:rsidRPr="27CF3A4B" w:rsidR="27CF3A4B">
        <w:rPr>
          <w:b w:val="0"/>
          <w:bCs w:val="0"/>
          <w:i w:val="1"/>
          <w:iCs w:val="1"/>
          <w:color w:val="auto"/>
          <w:u w:val="none"/>
        </w:rPr>
        <w:t xml:space="preserve">Alexander </w:t>
      </w:r>
      <w:proofErr w:type="gramStart"/>
      <w:r w:rsidRPr="27CF3A4B" w:rsidR="27CF3A4B">
        <w:rPr>
          <w:b w:val="0"/>
          <w:bCs w:val="0"/>
          <w:i w:val="1"/>
          <w:iCs w:val="1"/>
          <w:color w:val="auto"/>
          <w:u w:val="none"/>
        </w:rPr>
        <w:t>The</w:t>
      </w:r>
      <w:proofErr w:type="gramEnd"/>
      <w:r w:rsidRPr="27CF3A4B" w:rsidR="27CF3A4B">
        <w:rPr>
          <w:b w:val="0"/>
          <w:bCs w:val="0"/>
          <w:i w:val="1"/>
          <w:iCs w:val="1"/>
          <w:color w:val="auto"/>
          <w:u w:val="none"/>
        </w:rPr>
        <w:t xml:space="preserve"> Great: Myth, Genesis and Sexuality. </w:t>
      </w:r>
      <w:r w:rsidRPr="27CF3A4B" w:rsidR="27CF3A4B">
        <w:rPr>
          <w:b w:val="0"/>
          <w:bCs w:val="0"/>
          <w:i w:val="0"/>
          <w:iCs w:val="0"/>
          <w:color w:val="auto"/>
          <w:u w:val="none"/>
        </w:rPr>
        <w:t>UK: Liverpool University Press.</w:t>
      </w:r>
    </w:p>
    <w:p w:rsidR="27CF3A4B" w:rsidP="27CF3A4B" w:rsidRDefault="27CF3A4B" w14:paraId="7A956BBF" w14:textId="6285B260">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27CF3A4B" w:rsidR="27CF3A4B">
        <w:rPr>
          <w:rFonts w:ascii="Calibri" w:hAnsi="Calibri" w:eastAsia="Calibri" w:cs="Calibri"/>
          <w:noProof w:val="0"/>
          <w:color w:val="auto"/>
          <w:sz w:val="22"/>
          <w:szCs w:val="22"/>
          <w:lang w:val="en-GB"/>
        </w:rPr>
        <w:t xml:space="preserve">Quintus Curtius. </w:t>
      </w:r>
      <w:r w:rsidRPr="27CF3A4B" w:rsidR="27CF3A4B">
        <w:rPr>
          <w:rFonts w:ascii="Calibri" w:hAnsi="Calibri" w:eastAsia="Calibri" w:cs="Calibri"/>
          <w:i w:val="1"/>
          <w:iCs w:val="1"/>
          <w:noProof w:val="0"/>
          <w:color w:val="auto"/>
          <w:sz w:val="22"/>
          <w:szCs w:val="22"/>
          <w:lang w:val="en-GB"/>
        </w:rPr>
        <w:t xml:space="preserve">History of Alexander, Volume II: Books 6-10. </w:t>
      </w:r>
      <w:r w:rsidRPr="27CF3A4B" w:rsidR="27CF3A4B">
        <w:rPr>
          <w:rFonts w:ascii="Calibri" w:hAnsi="Calibri" w:eastAsia="Calibri" w:cs="Calibri"/>
          <w:noProof w:val="0"/>
          <w:color w:val="auto"/>
          <w:sz w:val="22"/>
          <w:szCs w:val="22"/>
          <w:lang w:val="en-GB"/>
        </w:rPr>
        <w:t xml:space="preserve">J. C. Rolfe (trans). 1946. Loeb Classical Library 369. Cambridge, MA: Harvard University Press. </w:t>
      </w:r>
    </w:p>
    <w:p w:rsidR="1EB4BC8A" w:rsidP="27CF3A4B" w:rsidRDefault="1EB4BC8A" w14:paraId="16F9BB3D" w14:textId="15F99851">
      <w:pPr>
        <w:pStyle w:val="Normal"/>
        <w:jc w:val="left"/>
        <w:rPr>
          <w:b w:val="0"/>
          <w:bCs w:val="0"/>
          <w:i w:val="1"/>
          <w:iCs w:val="1"/>
          <w:color w:val="auto"/>
          <w:u w:val="none"/>
        </w:rPr>
      </w:pPr>
      <w:r w:rsidRPr="27CF3A4B" w:rsidR="27CF3A4B">
        <w:rPr>
          <w:b w:val="0"/>
          <w:bCs w:val="0"/>
          <w:color w:val="auto"/>
          <w:u w:val="none"/>
        </w:rPr>
        <w:t>Plutarch</w:t>
      </w:r>
      <w:r w:rsidRPr="27CF3A4B" w:rsidR="27CF3A4B">
        <w:rPr>
          <w:b w:val="0"/>
          <w:bCs w:val="0"/>
          <w:color w:val="auto"/>
          <w:u w:val="none"/>
        </w:rPr>
        <w:t xml:space="preserve">. </w:t>
      </w:r>
      <w:r w:rsidRPr="27CF3A4B" w:rsidR="27CF3A4B">
        <w:rPr>
          <w:b w:val="0"/>
          <w:bCs w:val="0"/>
          <w:i w:val="1"/>
          <w:iCs w:val="1"/>
          <w:color w:val="auto"/>
          <w:u w:val="none"/>
        </w:rPr>
        <w:t xml:space="preserve">Lives. Vol. 7. Alexander. </w:t>
      </w:r>
      <w:r w:rsidRPr="27CF3A4B" w:rsidR="27CF3A4B">
        <w:rPr>
          <w:b w:val="0"/>
          <w:bCs w:val="0"/>
          <w:i w:val="0"/>
          <w:iCs w:val="0"/>
          <w:color w:val="auto"/>
          <w:u w:val="none"/>
        </w:rPr>
        <w:t xml:space="preserve">  Bernadette Perrin (trans). 1919. Loeb Classical Library. Cambridge, MA: Harvard University Press. </w:t>
      </w:r>
    </w:p>
    <w:p w:rsidR="1EB4BC8A" w:rsidP="27CF3A4B" w:rsidRDefault="1EB4BC8A" w14:paraId="443A27A5" w14:textId="01F8C581">
      <w:pPr>
        <w:pStyle w:val="Normal"/>
        <w:jc w:val="left"/>
        <w:rPr>
          <w:b w:val="0"/>
          <w:bCs w:val="0"/>
          <w:color w:val="auto"/>
          <w:u w:val="none"/>
        </w:rPr>
      </w:pPr>
    </w:p>
    <w:sectPr w:rsidRPr="0026118B" w:rsidR="009C321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14="http://schemas.microsoft.com/office/word/2010/wordml" xmlns:w="http://schemas.openxmlformats.org/wordprocessingml/2006/main">
  <w:footnote w:type="separator" w:id="-1">
    <w:p w:rsidR="27CF3A4B" w:rsidRDefault="27CF3A4B" w14:paraId="0EE87BCA" w14:textId="54840B54">
      <w:pPr>
        <w:spacing w:after="0" w:line="240" w:lineRule="auto"/>
      </w:pPr>
      <w:r>
        <w:separator/>
      </w:r>
    </w:p>
  </w:footnote>
  <w:footnote w:type="continuationSeparator" w:id="0">
    <w:p w:rsidR="27CF3A4B" w:rsidRDefault="27CF3A4B" w14:paraId="186C1E64" w14:textId="4DC45D26">
      <w:pPr>
        <w:spacing w:after="0" w:line="240" w:lineRule="auto"/>
      </w:pPr>
      <w:r>
        <w:continuationSeparator/>
      </w:r>
    </w:p>
  </w:footnote>
  <w:footnote w:id="2553">
    <w:p w:rsidR="27CF3A4B" w:rsidP="27CF3A4B" w:rsidRDefault="27CF3A4B" w14:paraId="34BE74B3" w14:textId="060F4306">
      <w:pPr>
        <w:pStyle w:val="FootnoteText"/>
        <w:bidi w:val="0"/>
      </w:pPr>
      <w:r w:rsidRPr="27CF3A4B">
        <w:rPr>
          <w:rStyle w:val="FootnoteReference"/>
        </w:rPr>
        <w:footnoteRef/>
      </w:r>
      <w:r w:rsidR="27CF3A4B">
        <w:rPr/>
        <w:t xml:space="preserve"> Plutarch. 67.3.</w:t>
      </w:r>
    </w:p>
  </w:footnote>
  <w:footnote w:id="23555">
    <w:p w:rsidR="27CF3A4B" w:rsidP="27CF3A4B" w:rsidRDefault="27CF3A4B" w14:paraId="6FADA443" w14:textId="4C684B46">
      <w:pPr>
        <w:pStyle w:val="FootnoteText"/>
        <w:bidi w:val="0"/>
      </w:pPr>
      <w:r w:rsidRPr="27CF3A4B">
        <w:rPr>
          <w:rStyle w:val="FootnoteReference"/>
        </w:rPr>
        <w:footnoteRef/>
      </w:r>
      <w:r w:rsidR="27CF3A4B">
        <w:rPr/>
        <w:t xml:space="preserve"> Curtius Rufus. 10.1.27.</w:t>
      </w:r>
    </w:p>
  </w:footnote>
  <w:footnote w:id="29388">
    <w:p w:rsidR="27CF3A4B" w:rsidP="27CF3A4B" w:rsidRDefault="27CF3A4B" w14:paraId="02FAB32E" w14:textId="062870A2">
      <w:pPr>
        <w:pStyle w:val="FootnoteText"/>
        <w:bidi w:val="0"/>
      </w:pPr>
      <w:r w:rsidRPr="27CF3A4B">
        <w:rPr>
          <w:rStyle w:val="FootnoteReference"/>
        </w:rPr>
        <w:footnoteRef/>
      </w:r>
      <w:r w:rsidR="27CF3A4B">
        <w:rPr/>
        <w:t xml:space="preserve"> Curtius Rufus. 6.5.23.</w:t>
      </w:r>
    </w:p>
  </w:footnote>
  <w:footnote w:id="5195">
    <w:p w:rsidR="27CF3A4B" w:rsidP="27CF3A4B" w:rsidRDefault="27CF3A4B" w14:paraId="02C63157" w14:textId="6E4793F0">
      <w:pPr>
        <w:pStyle w:val="FootnoteText"/>
        <w:bidi w:val="0"/>
      </w:pPr>
      <w:r w:rsidRPr="27CF3A4B">
        <w:rPr>
          <w:rStyle w:val="FootnoteReference"/>
        </w:rPr>
        <w:footnoteRef/>
      </w:r>
      <w:r w:rsidR="27CF3A4B">
        <w:rPr/>
        <w:t xml:space="preserve"> Curtius Rufus. 10.1.25.</w:t>
      </w:r>
    </w:p>
  </w:footnote>
  <w:footnote w:id="17077">
    <w:p w:rsidR="42B5795C" w:rsidP="42B5795C" w:rsidRDefault="42B5795C" w14:paraId="68F4B656" w14:textId="5F6C3AAE">
      <w:pPr>
        <w:pStyle w:val="FootnoteText"/>
        <w:bidi w:val="0"/>
      </w:pPr>
      <w:r w:rsidRPr="42B5795C">
        <w:rPr>
          <w:rStyle w:val="FootnoteReference"/>
        </w:rPr>
        <w:footnoteRef/>
      </w:r>
      <w:r w:rsidR="42B5795C">
        <w:rPr/>
        <w:t xml:space="preserve"> Athenaeus. 603b. Plutarch. 67.3.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18B"/>
    <w:rsid w:val="0026118B"/>
    <w:rsid w:val="009C321A"/>
    <w:rsid w:val="1EB4BC8A"/>
    <w:rsid w:val="27CF3A4B"/>
    <w:rsid w:val="42B57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24C36"/>
  <w15:chartTrackingRefBased/>
  <w15:docId w15:val="{99F494EF-39BF-4E85-BC27-75159843440E}"/>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word/footnotes.xml" Id="R1eb3e79a026048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Vaughan (1803069)</dc:creator>
  <keywords/>
  <dc:description/>
  <lastModifiedBy>Alexander Naylor (1700041)</lastModifiedBy>
  <revision>4</revision>
  <dcterms:created xsi:type="dcterms:W3CDTF">2020-01-07T09:42:00.0000000Z</dcterms:created>
  <dcterms:modified xsi:type="dcterms:W3CDTF">2020-01-13T16:34:15.7478368Z</dcterms:modified>
</coreProperties>
</file>