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2C090" w14:textId="22AB004A" w:rsidR="005A7F81" w:rsidRDefault="005A7F81"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0" w:name="_Toc230154446"/>
      <w:r w:rsidRPr="005A7F81">
        <w:rPr>
          <w:rFonts w:ascii="Segoe UI" w:eastAsia="Times New Roman" w:hAnsi="Segoe UI" w:cs="Segoe UI"/>
          <w:b/>
          <w:bCs/>
          <w:kern w:val="0"/>
          <w:sz w:val="36"/>
          <w:szCs w:val="36"/>
          <w:lang w:eastAsia="en-GB"/>
          <w14:ligatures w14:val="none"/>
        </w:rPr>
        <w:t>Informal Learning, Experiential Development, and Professional Identity</w:t>
      </w:r>
      <w:bookmarkEnd w:id="0"/>
    </w:p>
    <w:sdt>
      <w:sdtPr>
        <w:id w:val="115148371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4C0E52A" w14:textId="41D1A26E" w:rsidR="00532014" w:rsidRDefault="00532014">
          <w:pPr>
            <w:pStyle w:val="TOCHeading"/>
          </w:pPr>
          <w:r>
            <w:t>Table of Contents</w:t>
          </w:r>
        </w:p>
        <w:p w14:paraId="035800C7" w14:textId="38579A08" w:rsidR="00532014" w:rsidRDefault="00532014">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30154446" w:history="1">
            <w:r w:rsidRPr="00D64CE3">
              <w:rPr>
                <w:rStyle w:val="Hyperlink"/>
                <w:rFonts w:ascii="Segoe UI" w:eastAsia="Times New Roman" w:hAnsi="Segoe UI" w:cs="Segoe UI"/>
                <w:noProof/>
                <w:kern w:val="0"/>
                <w:lang w:eastAsia="en-GB"/>
                <w14:ligatures w14:val="none"/>
              </w:rPr>
              <w:t>Informal Learning, Experiential Development, and Professional Identity</w:t>
            </w:r>
            <w:r>
              <w:rPr>
                <w:noProof/>
                <w:webHidden/>
              </w:rPr>
              <w:tab/>
            </w:r>
            <w:r>
              <w:rPr>
                <w:noProof/>
                <w:webHidden/>
              </w:rPr>
              <w:fldChar w:fldCharType="begin"/>
            </w:r>
            <w:r>
              <w:rPr>
                <w:noProof/>
                <w:webHidden/>
              </w:rPr>
              <w:instrText xml:space="preserve"> PAGEREF _Toc230154446 \h </w:instrText>
            </w:r>
            <w:r>
              <w:rPr>
                <w:noProof/>
                <w:webHidden/>
              </w:rPr>
            </w:r>
            <w:r>
              <w:rPr>
                <w:noProof/>
                <w:webHidden/>
              </w:rPr>
              <w:fldChar w:fldCharType="separate"/>
            </w:r>
            <w:r>
              <w:rPr>
                <w:noProof/>
                <w:webHidden/>
              </w:rPr>
              <w:t>1</w:t>
            </w:r>
            <w:r>
              <w:rPr>
                <w:noProof/>
                <w:webHidden/>
              </w:rPr>
              <w:fldChar w:fldCharType="end"/>
            </w:r>
          </w:hyperlink>
        </w:p>
        <w:p w14:paraId="62229534" w14:textId="54CD93D3" w:rsidR="00532014" w:rsidRDefault="00532014">
          <w:pPr>
            <w:pStyle w:val="TOC3"/>
            <w:tabs>
              <w:tab w:val="right" w:leader="dot" w:pos="9016"/>
            </w:tabs>
            <w:rPr>
              <w:rFonts w:eastAsiaTheme="minorEastAsia"/>
              <w:noProof/>
              <w:sz w:val="24"/>
              <w:szCs w:val="24"/>
              <w:lang w:eastAsia="en-GB"/>
            </w:rPr>
          </w:pPr>
          <w:hyperlink w:anchor="_Toc230154447" w:history="1">
            <w:r w:rsidRPr="00D64CE3">
              <w:rPr>
                <w:rStyle w:val="Hyperlink"/>
                <w:rFonts w:ascii="Segoe UI" w:eastAsia="Times New Roman" w:hAnsi="Segoe UI" w:cs="Segoe UI"/>
                <w:b/>
                <w:bCs/>
                <w:noProof/>
                <w:kern w:val="0"/>
                <w:lang w:eastAsia="en-GB"/>
                <w14:ligatures w14:val="none"/>
              </w:rPr>
              <w:t>Introduction</w:t>
            </w:r>
            <w:r>
              <w:rPr>
                <w:noProof/>
                <w:webHidden/>
              </w:rPr>
              <w:tab/>
            </w:r>
            <w:r>
              <w:rPr>
                <w:noProof/>
                <w:webHidden/>
              </w:rPr>
              <w:fldChar w:fldCharType="begin"/>
            </w:r>
            <w:r>
              <w:rPr>
                <w:noProof/>
                <w:webHidden/>
              </w:rPr>
              <w:instrText xml:space="preserve"> PAGEREF _Toc230154447 \h </w:instrText>
            </w:r>
            <w:r>
              <w:rPr>
                <w:noProof/>
                <w:webHidden/>
              </w:rPr>
            </w:r>
            <w:r>
              <w:rPr>
                <w:noProof/>
                <w:webHidden/>
              </w:rPr>
              <w:fldChar w:fldCharType="separate"/>
            </w:r>
            <w:r>
              <w:rPr>
                <w:noProof/>
                <w:webHidden/>
              </w:rPr>
              <w:t>2</w:t>
            </w:r>
            <w:r>
              <w:rPr>
                <w:noProof/>
                <w:webHidden/>
              </w:rPr>
              <w:fldChar w:fldCharType="end"/>
            </w:r>
          </w:hyperlink>
        </w:p>
        <w:p w14:paraId="63C2CD98" w14:textId="1DC44267" w:rsidR="00532014" w:rsidRDefault="00532014">
          <w:pPr>
            <w:pStyle w:val="TOC3"/>
            <w:tabs>
              <w:tab w:val="right" w:leader="dot" w:pos="9016"/>
            </w:tabs>
            <w:rPr>
              <w:rFonts w:eastAsiaTheme="minorEastAsia"/>
              <w:noProof/>
              <w:sz w:val="24"/>
              <w:szCs w:val="24"/>
              <w:lang w:eastAsia="en-GB"/>
            </w:rPr>
          </w:pPr>
          <w:hyperlink w:anchor="_Toc230154448" w:history="1">
            <w:r w:rsidRPr="00D64CE3">
              <w:rPr>
                <w:rStyle w:val="Hyperlink"/>
                <w:rFonts w:ascii="Segoe UI" w:eastAsia="Times New Roman" w:hAnsi="Segoe UI" w:cs="Segoe UI"/>
                <w:b/>
                <w:bCs/>
                <w:noProof/>
                <w:kern w:val="0"/>
                <w:lang w:eastAsia="en-GB"/>
                <w14:ligatures w14:val="none"/>
              </w:rPr>
              <w:t>Informal Learning and Self-Directed Development</w:t>
            </w:r>
            <w:r>
              <w:rPr>
                <w:noProof/>
                <w:webHidden/>
              </w:rPr>
              <w:tab/>
            </w:r>
            <w:r>
              <w:rPr>
                <w:noProof/>
                <w:webHidden/>
              </w:rPr>
              <w:fldChar w:fldCharType="begin"/>
            </w:r>
            <w:r>
              <w:rPr>
                <w:noProof/>
                <w:webHidden/>
              </w:rPr>
              <w:instrText xml:space="preserve"> PAGEREF _Toc230154448 \h </w:instrText>
            </w:r>
            <w:r>
              <w:rPr>
                <w:noProof/>
                <w:webHidden/>
              </w:rPr>
            </w:r>
            <w:r>
              <w:rPr>
                <w:noProof/>
                <w:webHidden/>
              </w:rPr>
              <w:fldChar w:fldCharType="separate"/>
            </w:r>
            <w:r>
              <w:rPr>
                <w:noProof/>
                <w:webHidden/>
              </w:rPr>
              <w:t>2</w:t>
            </w:r>
            <w:r>
              <w:rPr>
                <w:noProof/>
                <w:webHidden/>
              </w:rPr>
              <w:fldChar w:fldCharType="end"/>
            </w:r>
          </w:hyperlink>
        </w:p>
        <w:p w14:paraId="43563B07" w14:textId="2539785D" w:rsidR="00532014" w:rsidRDefault="00532014">
          <w:pPr>
            <w:pStyle w:val="TOC3"/>
            <w:tabs>
              <w:tab w:val="right" w:leader="dot" w:pos="9016"/>
            </w:tabs>
            <w:rPr>
              <w:rFonts w:eastAsiaTheme="minorEastAsia"/>
              <w:noProof/>
              <w:sz w:val="24"/>
              <w:szCs w:val="24"/>
              <w:lang w:eastAsia="en-GB"/>
            </w:rPr>
          </w:pPr>
          <w:hyperlink w:anchor="_Toc230154449" w:history="1">
            <w:r w:rsidRPr="00D64CE3">
              <w:rPr>
                <w:rStyle w:val="Hyperlink"/>
                <w:rFonts w:ascii="Segoe UI" w:eastAsia="Times New Roman" w:hAnsi="Segoe UI" w:cs="Segoe UI"/>
                <w:b/>
                <w:bCs/>
                <w:noProof/>
                <w:kern w:val="0"/>
                <w:lang w:eastAsia="en-GB"/>
                <w14:ligatures w14:val="none"/>
              </w:rPr>
              <w:t>Experiential Learning in Complex Environments</w:t>
            </w:r>
            <w:r>
              <w:rPr>
                <w:noProof/>
                <w:webHidden/>
              </w:rPr>
              <w:tab/>
            </w:r>
            <w:r>
              <w:rPr>
                <w:noProof/>
                <w:webHidden/>
              </w:rPr>
              <w:fldChar w:fldCharType="begin"/>
            </w:r>
            <w:r>
              <w:rPr>
                <w:noProof/>
                <w:webHidden/>
              </w:rPr>
              <w:instrText xml:space="preserve"> PAGEREF _Toc230154449 \h </w:instrText>
            </w:r>
            <w:r>
              <w:rPr>
                <w:noProof/>
                <w:webHidden/>
              </w:rPr>
            </w:r>
            <w:r>
              <w:rPr>
                <w:noProof/>
                <w:webHidden/>
              </w:rPr>
              <w:fldChar w:fldCharType="separate"/>
            </w:r>
            <w:r>
              <w:rPr>
                <w:noProof/>
                <w:webHidden/>
              </w:rPr>
              <w:t>3</w:t>
            </w:r>
            <w:r>
              <w:rPr>
                <w:noProof/>
                <w:webHidden/>
              </w:rPr>
              <w:fldChar w:fldCharType="end"/>
            </w:r>
          </w:hyperlink>
        </w:p>
        <w:p w14:paraId="5E234A37" w14:textId="1962375B" w:rsidR="00532014" w:rsidRDefault="00532014">
          <w:pPr>
            <w:pStyle w:val="TOC3"/>
            <w:tabs>
              <w:tab w:val="right" w:leader="dot" w:pos="9016"/>
            </w:tabs>
            <w:rPr>
              <w:rFonts w:eastAsiaTheme="minorEastAsia"/>
              <w:noProof/>
              <w:sz w:val="24"/>
              <w:szCs w:val="24"/>
              <w:lang w:eastAsia="en-GB"/>
            </w:rPr>
          </w:pPr>
          <w:hyperlink w:anchor="_Toc230154450" w:history="1">
            <w:r w:rsidRPr="00D64CE3">
              <w:rPr>
                <w:rStyle w:val="Hyperlink"/>
                <w:rFonts w:ascii="Segoe UI" w:eastAsia="Times New Roman" w:hAnsi="Segoe UI" w:cs="Segoe UI"/>
                <w:b/>
                <w:bCs/>
                <w:noProof/>
                <w:kern w:val="0"/>
                <w:lang w:eastAsia="en-GB"/>
                <w14:ligatures w14:val="none"/>
              </w:rPr>
              <w:t>Professional Identity and Evolving Capability</w:t>
            </w:r>
            <w:r>
              <w:rPr>
                <w:noProof/>
                <w:webHidden/>
              </w:rPr>
              <w:tab/>
            </w:r>
            <w:r>
              <w:rPr>
                <w:noProof/>
                <w:webHidden/>
              </w:rPr>
              <w:fldChar w:fldCharType="begin"/>
            </w:r>
            <w:r>
              <w:rPr>
                <w:noProof/>
                <w:webHidden/>
              </w:rPr>
              <w:instrText xml:space="preserve"> PAGEREF _Toc230154450 \h </w:instrText>
            </w:r>
            <w:r>
              <w:rPr>
                <w:noProof/>
                <w:webHidden/>
              </w:rPr>
            </w:r>
            <w:r>
              <w:rPr>
                <w:noProof/>
                <w:webHidden/>
              </w:rPr>
              <w:fldChar w:fldCharType="separate"/>
            </w:r>
            <w:r>
              <w:rPr>
                <w:noProof/>
                <w:webHidden/>
              </w:rPr>
              <w:t>4</w:t>
            </w:r>
            <w:r>
              <w:rPr>
                <w:noProof/>
                <w:webHidden/>
              </w:rPr>
              <w:fldChar w:fldCharType="end"/>
            </w:r>
          </w:hyperlink>
        </w:p>
        <w:p w14:paraId="0AE3158C" w14:textId="59FA5ABA" w:rsidR="00532014" w:rsidRDefault="00532014">
          <w:pPr>
            <w:pStyle w:val="TOC2"/>
            <w:tabs>
              <w:tab w:val="right" w:leader="dot" w:pos="9016"/>
            </w:tabs>
            <w:rPr>
              <w:rFonts w:eastAsiaTheme="minorEastAsia"/>
              <w:b w:val="0"/>
              <w:bCs w:val="0"/>
              <w:noProof/>
              <w:sz w:val="24"/>
              <w:szCs w:val="24"/>
              <w:lang w:eastAsia="en-GB"/>
            </w:rPr>
          </w:pPr>
          <w:hyperlink w:anchor="_Toc230154451" w:history="1">
            <w:r w:rsidRPr="00D64CE3">
              <w:rPr>
                <w:rStyle w:val="Hyperlink"/>
                <w:rFonts w:ascii="Segoe UI" w:eastAsia="Times New Roman" w:hAnsi="Segoe UI" w:cs="Segoe UI"/>
                <w:noProof/>
                <w:kern w:val="0"/>
                <w:lang w:eastAsia="en-GB"/>
                <w14:ligatures w14:val="none"/>
              </w:rPr>
              <w:t>Tacit Knowledge, Professional Judgement, and Learning Through Complexity</w:t>
            </w:r>
            <w:r>
              <w:rPr>
                <w:noProof/>
                <w:webHidden/>
              </w:rPr>
              <w:tab/>
            </w:r>
            <w:r>
              <w:rPr>
                <w:noProof/>
                <w:webHidden/>
              </w:rPr>
              <w:fldChar w:fldCharType="begin"/>
            </w:r>
            <w:r>
              <w:rPr>
                <w:noProof/>
                <w:webHidden/>
              </w:rPr>
              <w:instrText xml:space="preserve"> PAGEREF _Toc230154451 \h </w:instrText>
            </w:r>
            <w:r>
              <w:rPr>
                <w:noProof/>
                <w:webHidden/>
              </w:rPr>
            </w:r>
            <w:r>
              <w:rPr>
                <w:noProof/>
                <w:webHidden/>
              </w:rPr>
              <w:fldChar w:fldCharType="separate"/>
            </w:r>
            <w:r>
              <w:rPr>
                <w:noProof/>
                <w:webHidden/>
              </w:rPr>
              <w:t>5</w:t>
            </w:r>
            <w:r>
              <w:rPr>
                <w:noProof/>
                <w:webHidden/>
              </w:rPr>
              <w:fldChar w:fldCharType="end"/>
            </w:r>
          </w:hyperlink>
        </w:p>
        <w:p w14:paraId="44BE4F1C" w14:textId="2848BFD0" w:rsidR="00532014" w:rsidRDefault="00532014">
          <w:pPr>
            <w:pStyle w:val="TOC3"/>
            <w:tabs>
              <w:tab w:val="right" w:leader="dot" w:pos="9016"/>
            </w:tabs>
            <w:rPr>
              <w:rFonts w:eastAsiaTheme="minorEastAsia"/>
              <w:noProof/>
              <w:sz w:val="24"/>
              <w:szCs w:val="24"/>
              <w:lang w:eastAsia="en-GB"/>
            </w:rPr>
          </w:pPr>
          <w:hyperlink w:anchor="_Toc230154452" w:history="1">
            <w:r w:rsidRPr="00D64CE3">
              <w:rPr>
                <w:rStyle w:val="Hyperlink"/>
                <w:rFonts w:ascii="Segoe UI" w:eastAsia="Times New Roman" w:hAnsi="Segoe UI" w:cs="Segoe UI"/>
                <w:b/>
                <w:bCs/>
                <w:noProof/>
                <w:kern w:val="0"/>
                <w:lang w:eastAsia="en-GB"/>
                <w14:ligatures w14:val="none"/>
              </w:rPr>
              <w:t>Introduction</w:t>
            </w:r>
            <w:r>
              <w:rPr>
                <w:noProof/>
                <w:webHidden/>
              </w:rPr>
              <w:tab/>
            </w:r>
            <w:r>
              <w:rPr>
                <w:noProof/>
                <w:webHidden/>
              </w:rPr>
              <w:fldChar w:fldCharType="begin"/>
            </w:r>
            <w:r>
              <w:rPr>
                <w:noProof/>
                <w:webHidden/>
              </w:rPr>
              <w:instrText xml:space="preserve"> PAGEREF _Toc230154452 \h </w:instrText>
            </w:r>
            <w:r>
              <w:rPr>
                <w:noProof/>
                <w:webHidden/>
              </w:rPr>
            </w:r>
            <w:r>
              <w:rPr>
                <w:noProof/>
                <w:webHidden/>
              </w:rPr>
              <w:fldChar w:fldCharType="separate"/>
            </w:r>
            <w:r>
              <w:rPr>
                <w:noProof/>
                <w:webHidden/>
              </w:rPr>
              <w:t>5</w:t>
            </w:r>
            <w:r>
              <w:rPr>
                <w:noProof/>
                <w:webHidden/>
              </w:rPr>
              <w:fldChar w:fldCharType="end"/>
            </w:r>
          </w:hyperlink>
        </w:p>
        <w:p w14:paraId="53EDC84D" w14:textId="57B46336" w:rsidR="00532014" w:rsidRDefault="00532014">
          <w:pPr>
            <w:pStyle w:val="TOC3"/>
            <w:tabs>
              <w:tab w:val="right" w:leader="dot" w:pos="9016"/>
            </w:tabs>
            <w:rPr>
              <w:rFonts w:eastAsiaTheme="minorEastAsia"/>
              <w:noProof/>
              <w:sz w:val="24"/>
              <w:szCs w:val="24"/>
              <w:lang w:eastAsia="en-GB"/>
            </w:rPr>
          </w:pPr>
          <w:hyperlink w:anchor="_Toc230154453" w:history="1">
            <w:r w:rsidRPr="00D64CE3">
              <w:rPr>
                <w:rStyle w:val="Hyperlink"/>
                <w:rFonts w:ascii="Segoe UI" w:eastAsia="Times New Roman" w:hAnsi="Segoe UI" w:cs="Segoe UI"/>
                <w:b/>
                <w:bCs/>
                <w:noProof/>
                <w:kern w:val="0"/>
                <w:lang w:eastAsia="en-GB"/>
                <w14:ligatures w14:val="none"/>
              </w:rPr>
              <w:t>Tacit Knowledge and Professional Expertise</w:t>
            </w:r>
            <w:r>
              <w:rPr>
                <w:noProof/>
                <w:webHidden/>
              </w:rPr>
              <w:tab/>
            </w:r>
            <w:r>
              <w:rPr>
                <w:noProof/>
                <w:webHidden/>
              </w:rPr>
              <w:fldChar w:fldCharType="begin"/>
            </w:r>
            <w:r>
              <w:rPr>
                <w:noProof/>
                <w:webHidden/>
              </w:rPr>
              <w:instrText xml:space="preserve"> PAGEREF _Toc230154453 \h </w:instrText>
            </w:r>
            <w:r>
              <w:rPr>
                <w:noProof/>
                <w:webHidden/>
              </w:rPr>
            </w:r>
            <w:r>
              <w:rPr>
                <w:noProof/>
                <w:webHidden/>
              </w:rPr>
              <w:fldChar w:fldCharType="separate"/>
            </w:r>
            <w:r>
              <w:rPr>
                <w:noProof/>
                <w:webHidden/>
              </w:rPr>
              <w:t>6</w:t>
            </w:r>
            <w:r>
              <w:rPr>
                <w:noProof/>
                <w:webHidden/>
              </w:rPr>
              <w:fldChar w:fldCharType="end"/>
            </w:r>
          </w:hyperlink>
        </w:p>
        <w:p w14:paraId="642A17B9" w14:textId="782C74A6" w:rsidR="00532014" w:rsidRDefault="00532014">
          <w:pPr>
            <w:pStyle w:val="TOC3"/>
            <w:tabs>
              <w:tab w:val="right" w:leader="dot" w:pos="9016"/>
            </w:tabs>
            <w:rPr>
              <w:rFonts w:eastAsiaTheme="minorEastAsia"/>
              <w:noProof/>
              <w:sz w:val="24"/>
              <w:szCs w:val="24"/>
              <w:lang w:eastAsia="en-GB"/>
            </w:rPr>
          </w:pPr>
          <w:hyperlink w:anchor="_Toc230154454" w:history="1">
            <w:r w:rsidRPr="00D64CE3">
              <w:rPr>
                <w:rStyle w:val="Hyperlink"/>
                <w:rFonts w:ascii="Segoe UI" w:eastAsia="Times New Roman" w:hAnsi="Segoe UI" w:cs="Segoe UI"/>
                <w:b/>
                <w:bCs/>
                <w:noProof/>
                <w:kern w:val="0"/>
                <w:lang w:eastAsia="en-GB"/>
                <w14:ligatures w14:val="none"/>
              </w:rPr>
              <w:t>Complexity, Organisational Politics, and Reflective Judgement</w:t>
            </w:r>
            <w:r>
              <w:rPr>
                <w:noProof/>
                <w:webHidden/>
              </w:rPr>
              <w:tab/>
            </w:r>
            <w:r>
              <w:rPr>
                <w:noProof/>
                <w:webHidden/>
              </w:rPr>
              <w:fldChar w:fldCharType="begin"/>
            </w:r>
            <w:r>
              <w:rPr>
                <w:noProof/>
                <w:webHidden/>
              </w:rPr>
              <w:instrText xml:space="preserve"> PAGEREF _Toc230154454 \h </w:instrText>
            </w:r>
            <w:r>
              <w:rPr>
                <w:noProof/>
                <w:webHidden/>
              </w:rPr>
            </w:r>
            <w:r>
              <w:rPr>
                <w:noProof/>
                <w:webHidden/>
              </w:rPr>
              <w:fldChar w:fldCharType="separate"/>
            </w:r>
            <w:r>
              <w:rPr>
                <w:noProof/>
                <w:webHidden/>
              </w:rPr>
              <w:t>7</w:t>
            </w:r>
            <w:r>
              <w:rPr>
                <w:noProof/>
                <w:webHidden/>
              </w:rPr>
              <w:fldChar w:fldCharType="end"/>
            </w:r>
          </w:hyperlink>
        </w:p>
        <w:p w14:paraId="3DDD07AC" w14:textId="50B07555" w:rsidR="00532014" w:rsidRDefault="00532014">
          <w:pPr>
            <w:pStyle w:val="TOC3"/>
            <w:tabs>
              <w:tab w:val="right" w:leader="dot" w:pos="9016"/>
            </w:tabs>
            <w:rPr>
              <w:rFonts w:eastAsiaTheme="minorEastAsia"/>
              <w:noProof/>
              <w:sz w:val="24"/>
              <w:szCs w:val="24"/>
              <w:lang w:eastAsia="en-GB"/>
            </w:rPr>
          </w:pPr>
          <w:hyperlink w:anchor="_Toc230154455" w:history="1">
            <w:r w:rsidRPr="00D64CE3">
              <w:rPr>
                <w:rStyle w:val="Hyperlink"/>
                <w:rFonts w:ascii="Segoe UI" w:eastAsia="Times New Roman" w:hAnsi="Segoe UI" w:cs="Segoe UI"/>
                <w:b/>
                <w:bCs/>
                <w:noProof/>
                <w:kern w:val="0"/>
                <w:lang w:eastAsia="en-GB"/>
                <w14:ligatures w14:val="none"/>
              </w:rPr>
              <w:t>Learning Through Constraint and Ambiguity</w:t>
            </w:r>
            <w:r>
              <w:rPr>
                <w:noProof/>
                <w:webHidden/>
              </w:rPr>
              <w:tab/>
            </w:r>
            <w:r>
              <w:rPr>
                <w:noProof/>
                <w:webHidden/>
              </w:rPr>
              <w:fldChar w:fldCharType="begin"/>
            </w:r>
            <w:r>
              <w:rPr>
                <w:noProof/>
                <w:webHidden/>
              </w:rPr>
              <w:instrText xml:space="preserve"> PAGEREF _Toc230154455 \h </w:instrText>
            </w:r>
            <w:r>
              <w:rPr>
                <w:noProof/>
                <w:webHidden/>
              </w:rPr>
            </w:r>
            <w:r>
              <w:rPr>
                <w:noProof/>
                <w:webHidden/>
              </w:rPr>
              <w:fldChar w:fldCharType="separate"/>
            </w:r>
            <w:r>
              <w:rPr>
                <w:noProof/>
                <w:webHidden/>
              </w:rPr>
              <w:t>8</w:t>
            </w:r>
            <w:r>
              <w:rPr>
                <w:noProof/>
                <w:webHidden/>
              </w:rPr>
              <w:fldChar w:fldCharType="end"/>
            </w:r>
          </w:hyperlink>
        </w:p>
        <w:p w14:paraId="637C27CD" w14:textId="2E877E48" w:rsidR="00532014" w:rsidRDefault="00532014">
          <w:pPr>
            <w:pStyle w:val="TOC3"/>
            <w:tabs>
              <w:tab w:val="right" w:leader="dot" w:pos="9016"/>
            </w:tabs>
            <w:rPr>
              <w:rFonts w:eastAsiaTheme="minorEastAsia"/>
              <w:noProof/>
              <w:sz w:val="24"/>
              <w:szCs w:val="24"/>
              <w:lang w:eastAsia="en-GB"/>
            </w:rPr>
          </w:pPr>
          <w:hyperlink w:anchor="_Toc230154456" w:history="1">
            <w:r w:rsidRPr="00D64CE3">
              <w:rPr>
                <w:rStyle w:val="Hyperlink"/>
                <w:rFonts w:ascii="Segoe UI" w:eastAsia="Times New Roman" w:hAnsi="Segoe UI" w:cs="Segoe UI"/>
                <w:b/>
                <w:bCs/>
                <w:noProof/>
                <w:kern w:val="0"/>
                <w:lang w:eastAsia="en-GB"/>
                <w14:ligatures w14:val="none"/>
              </w:rPr>
              <w:t>The Evolution of Professional Judgement</w:t>
            </w:r>
            <w:r>
              <w:rPr>
                <w:noProof/>
                <w:webHidden/>
              </w:rPr>
              <w:tab/>
            </w:r>
            <w:r>
              <w:rPr>
                <w:noProof/>
                <w:webHidden/>
              </w:rPr>
              <w:fldChar w:fldCharType="begin"/>
            </w:r>
            <w:r>
              <w:rPr>
                <w:noProof/>
                <w:webHidden/>
              </w:rPr>
              <w:instrText xml:space="preserve"> PAGEREF _Toc230154456 \h </w:instrText>
            </w:r>
            <w:r>
              <w:rPr>
                <w:noProof/>
                <w:webHidden/>
              </w:rPr>
            </w:r>
            <w:r>
              <w:rPr>
                <w:noProof/>
                <w:webHidden/>
              </w:rPr>
              <w:fldChar w:fldCharType="separate"/>
            </w:r>
            <w:r>
              <w:rPr>
                <w:noProof/>
                <w:webHidden/>
              </w:rPr>
              <w:t>9</w:t>
            </w:r>
            <w:r>
              <w:rPr>
                <w:noProof/>
                <w:webHidden/>
              </w:rPr>
              <w:fldChar w:fldCharType="end"/>
            </w:r>
          </w:hyperlink>
        </w:p>
        <w:p w14:paraId="2D0FC6E7" w14:textId="03D3F64F" w:rsidR="00532014" w:rsidRDefault="00532014">
          <w:pPr>
            <w:pStyle w:val="TOC2"/>
            <w:tabs>
              <w:tab w:val="right" w:leader="dot" w:pos="9016"/>
            </w:tabs>
            <w:rPr>
              <w:rFonts w:eastAsiaTheme="minorEastAsia"/>
              <w:b w:val="0"/>
              <w:bCs w:val="0"/>
              <w:noProof/>
              <w:sz w:val="24"/>
              <w:szCs w:val="24"/>
              <w:lang w:eastAsia="en-GB"/>
            </w:rPr>
          </w:pPr>
          <w:hyperlink w:anchor="_Toc230154457" w:history="1">
            <w:r w:rsidRPr="00D64CE3">
              <w:rPr>
                <w:rStyle w:val="Hyperlink"/>
                <w:rFonts w:ascii="Segoe UI" w:eastAsia="Times New Roman" w:hAnsi="Segoe UI" w:cs="Segoe UI"/>
                <w:noProof/>
                <w:kern w:val="0"/>
                <w:lang w:eastAsia="en-GB"/>
                <w14:ligatures w14:val="none"/>
              </w:rPr>
              <w:t>Transdisciplinary Knowledge, Codification, and Professional Learning in Complex Systems</w:t>
            </w:r>
            <w:r>
              <w:rPr>
                <w:noProof/>
                <w:webHidden/>
              </w:rPr>
              <w:tab/>
            </w:r>
            <w:r>
              <w:rPr>
                <w:noProof/>
                <w:webHidden/>
              </w:rPr>
              <w:fldChar w:fldCharType="begin"/>
            </w:r>
            <w:r>
              <w:rPr>
                <w:noProof/>
                <w:webHidden/>
              </w:rPr>
              <w:instrText xml:space="preserve"> PAGEREF _Toc230154457 \h </w:instrText>
            </w:r>
            <w:r>
              <w:rPr>
                <w:noProof/>
                <w:webHidden/>
              </w:rPr>
            </w:r>
            <w:r>
              <w:rPr>
                <w:noProof/>
                <w:webHidden/>
              </w:rPr>
              <w:fldChar w:fldCharType="separate"/>
            </w:r>
            <w:r>
              <w:rPr>
                <w:noProof/>
                <w:webHidden/>
              </w:rPr>
              <w:t>9</w:t>
            </w:r>
            <w:r>
              <w:rPr>
                <w:noProof/>
                <w:webHidden/>
              </w:rPr>
              <w:fldChar w:fldCharType="end"/>
            </w:r>
          </w:hyperlink>
        </w:p>
        <w:p w14:paraId="514E672E" w14:textId="1FC0354E" w:rsidR="00532014" w:rsidRDefault="00532014">
          <w:pPr>
            <w:pStyle w:val="TOC3"/>
            <w:tabs>
              <w:tab w:val="right" w:leader="dot" w:pos="9016"/>
            </w:tabs>
            <w:rPr>
              <w:rFonts w:eastAsiaTheme="minorEastAsia"/>
              <w:noProof/>
              <w:sz w:val="24"/>
              <w:szCs w:val="24"/>
              <w:lang w:eastAsia="en-GB"/>
            </w:rPr>
          </w:pPr>
          <w:hyperlink w:anchor="_Toc230154458" w:history="1">
            <w:r w:rsidRPr="00D64CE3">
              <w:rPr>
                <w:rStyle w:val="Hyperlink"/>
                <w:rFonts w:ascii="Segoe UI" w:eastAsia="Times New Roman" w:hAnsi="Segoe UI" w:cs="Segoe UI"/>
                <w:b/>
                <w:bCs/>
                <w:noProof/>
                <w:kern w:val="0"/>
                <w:lang w:eastAsia="en-GB"/>
                <w14:ligatures w14:val="none"/>
              </w:rPr>
              <w:t>From Disciplinary Knowledge to Transdisciplinary Practice</w:t>
            </w:r>
            <w:r>
              <w:rPr>
                <w:noProof/>
                <w:webHidden/>
              </w:rPr>
              <w:tab/>
            </w:r>
            <w:r>
              <w:rPr>
                <w:noProof/>
                <w:webHidden/>
              </w:rPr>
              <w:fldChar w:fldCharType="begin"/>
            </w:r>
            <w:r>
              <w:rPr>
                <w:noProof/>
                <w:webHidden/>
              </w:rPr>
              <w:instrText xml:space="preserve"> PAGEREF _Toc230154458 \h </w:instrText>
            </w:r>
            <w:r>
              <w:rPr>
                <w:noProof/>
                <w:webHidden/>
              </w:rPr>
            </w:r>
            <w:r>
              <w:rPr>
                <w:noProof/>
                <w:webHidden/>
              </w:rPr>
              <w:fldChar w:fldCharType="separate"/>
            </w:r>
            <w:r>
              <w:rPr>
                <w:noProof/>
                <w:webHidden/>
              </w:rPr>
              <w:t>10</w:t>
            </w:r>
            <w:r>
              <w:rPr>
                <w:noProof/>
                <w:webHidden/>
              </w:rPr>
              <w:fldChar w:fldCharType="end"/>
            </w:r>
          </w:hyperlink>
        </w:p>
        <w:p w14:paraId="47D932B1" w14:textId="75FD609B" w:rsidR="00532014" w:rsidRDefault="00532014">
          <w:pPr>
            <w:pStyle w:val="TOC3"/>
            <w:tabs>
              <w:tab w:val="right" w:leader="dot" w:pos="9016"/>
            </w:tabs>
            <w:rPr>
              <w:rFonts w:eastAsiaTheme="minorEastAsia"/>
              <w:noProof/>
              <w:sz w:val="24"/>
              <w:szCs w:val="24"/>
              <w:lang w:eastAsia="en-GB"/>
            </w:rPr>
          </w:pPr>
          <w:hyperlink w:anchor="_Toc230154459" w:history="1">
            <w:r w:rsidRPr="00D64CE3">
              <w:rPr>
                <w:rStyle w:val="Hyperlink"/>
                <w:rFonts w:ascii="Segoe UI" w:eastAsia="Times New Roman" w:hAnsi="Segoe UI" w:cs="Segoe UI"/>
                <w:b/>
                <w:bCs/>
                <w:noProof/>
                <w:kern w:val="0"/>
                <w:lang w:eastAsia="en-GB"/>
                <w14:ligatures w14:val="none"/>
              </w:rPr>
              <w:t>Codification of Knowledge and Organisational Learning</w:t>
            </w:r>
            <w:r>
              <w:rPr>
                <w:noProof/>
                <w:webHidden/>
              </w:rPr>
              <w:tab/>
            </w:r>
            <w:r>
              <w:rPr>
                <w:noProof/>
                <w:webHidden/>
              </w:rPr>
              <w:fldChar w:fldCharType="begin"/>
            </w:r>
            <w:r>
              <w:rPr>
                <w:noProof/>
                <w:webHidden/>
              </w:rPr>
              <w:instrText xml:space="preserve"> PAGEREF _Toc230154459 \h </w:instrText>
            </w:r>
            <w:r>
              <w:rPr>
                <w:noProof/>
                <w:webHidden/>
              </w:rPr>
            </w:r>
            <w:r>
              <w:rPr>
                <w:noProof/>
                <w:webHidden/>
              </w:rPr>
              <w:fldChar w:fldCharType="separate"/>
            </w:r>
            <w:r>
              <w:rPr>
                <w:noProof/>
                <w:webHidden/>
              </w:rPr>
              <w:t>11</w:t>
            </w:r>
            <w:r>
              <w:rPr>
                <w:noProof/>
                <w:webHidden/>
              </w:rPr>
              <w:fldChar w:fldCharType="end"/>
            </w:r>
          </w:hyperlink>
        </w:p>
        <w:p w14:paraId="727A881D" w14:textId="2965BFFB" w:rsidR="00532014" w:rsidRDefault="00532014">
          <w:pPr>
            <w:pStyle w:val="TOC3"/>
            <w:tabs>
              <w:tab w:val="right" w:leader="dot" w:pos="9016"/>
            </w:tabs>
            <w:rPr>
              <w:rFonts w:eastAsiaTheme="minorEastAsia"/>
              <w:noProof/>
              <w:sz w:val="24"/>
              <w:szCs w:val="24"/>
              <w:lang w:eastAsia="en-GB"/>
            </w:rPr>
          </w:pPr>
          <w:hyperlink w:anchor="_Toc230154460" w:history="1">
            <w:r w:rsidRPr="00D64CE3">
              <w:rPr>
                <w:rStyle w:val="Hyperlink"/>
                <w:rFonts w:ascii="Segoe UI" w:eastAsia="Times New Roman" w:hAnsi="Segoe UI" w:cs="Segoe UI"/>
                <w:b/>
                <w:bCs/>
                <w:noProof/>
                <w:kern w:val="0"/>
                <w:lang w:eastAsia="en-GB"/>
                <w14:ligatures w14:val="none"/>
              </w:rPr>
              <w:t>Systems Thinking and Learning in Complex Environments</w:t>
            </w:r>
            <w:r>
              <w:rPr>
                <w:noProof/>
                <w:webHidden/>
              </w:rPr>
              <w:tab/>
            </w:r>
            <w:r>
              <w:rPr>
                <w:noProof/>
                <w:webHidden/>
              </w:rPr>
              <w:fldChar w:fldCharType="begin"/>
            </w:r>
            <w:r>
              <w:rPr>
                <w:noProof/>
                <w:webHidden/>
              </w:rPr>
              <w:instrText xml:space="preserve"> PAGEREF _Toc230154460 \h </w:instrText>
            </w:r>
            <w:r>
              <w:rPr>
                <w:noProof/>
                <w:webHidden/>
              </w:rPr>
            </w:r>
            <w:r>
              <w:rPr>
                <w:noProof/>
                <w:webHidden/>
              </w:rPr>
              <w:fldChar w:fldCharType="separate"/>
            </w:r>
            <w:r>
              <w:rPr>
                <w:noProof/>
                <w:webHidden/>
              </w:rPr>
              <w:t>12</w:t>
            </w:r>
            <w:r>
              <w:rPr>
                <w:noProof/>
                <w:webHidden/>
              </w:rPr>
              <w:fldChar w:fldCharType="end"/>
            </w:r>
          </w:hyperlink>
        </w:p>
        <w:p w14:paraId="61C4BC3D" w14:textId="15EAF848" w:rsidR="00532014" w:rsidRDefault="00532014">
          <w:pPr>
            <w:pStyle w:val="TOC1"/>
            <w:tabs>
              <w:tab w:val="right" w:leader="dot" w:pos="9016"/>
            </w:tabs>
            <w:rPr>
              <w:rFonts w:eastAsiaTheme="minorEastAsia"/>
              <w:b w:val="0"/>
              <w:bCs w:val="0"/>
              <w:i w:val="0"/>
              <w:iCs w:val="0"/>
              <w:noProof/>
              <w:lang w:eastAsia="en-GB"/>
            </w:rPr>
          </w:pPr>
          <w:hyperlink w:anchor="_Toc230154461" w:history="1">
            <w:r w:rsidRPr="00D64CE3">
              <w:rPr>
                <w:rStyle w:val="Hyperlink"/>
                <w:rFonts w:ascii="Segoe UI" w:eastAsia="Times New Roman" w:hAnsi="Segoe UI" w:cs="Segoe UI"/>
                <w:noProof/>
                <w:lang w:eastAsia="en-GB"/>
              </w:rPr>
              <w:t>Conclusion (Professional Learning and Emerging Doctoral Identity)</w:t>
            </w:r>
            <w:r>
              <w:rPr>
                <w:noProof/>
                <w:webHidden/>
              </w:rPr>
              <w:tab/>
            </w:r>
            <w:r>
              <w:rPr>
                <w:noProof/>
                <w:webHidden/>
              </w:rPr>
              <w:fldChar w:fldCharType="begin"/>
            </w:r>
            <w:r>
              <w:rPr>
                <w:noProof/>
                <w:webHidden/>
              </w:rPr>
              <w:instrText xml:space="preserve"> PAGEREF _Toc230154461 \h </w:instrText>
            </w:r>
            <w:r>
              <w:rPr>
                <w:noProof/>
                <w:webHidden/>
              </w:rPr>
            </w:r>
            <w:r>
              <w:rPr>
                <w:noProof/>
                <w:webHidden/>
              </w:rPr>
              <w:fldChar w:fldCharType="separate"/>
            </w:r>
            <w:r>
              <w:rPr>
                <w:noProof/>
                <w:webHidden/>
              </w:rPr>
              <w:t>14</w:t>
            </w:r>
            <w:r>
              <w:rPr>
                <w:noProof/>
                <w:webHidden/>
              </w:rPr>
              <w:fldChar w:fldCharType="end"/>
            </w:r>
          </w:hyperlink>
        </w:p>
        <w:p w14:paraId="53766C2A" w14:textId="28FDB4ED" w:rsidR="00532014" w:rsidRDefault="00532014">
          <w:pPr>
            <w:pStyle w:val="TOC1"/>
            <w:tabs>
              <w:tab w:val="right" w:leader="dot" w:pos="9016"/>
            </w:tabs>
            <w:rPr>
              <w:rFonts w:eastAsiaTheme="minorEastAsia"/>
              <w:b w:val="0"/>
              <w:bCs w:val="0"/>
              <w:i w:val="0"/>
              <w:iCs w:val="0"/>
              <w:noProof/>
              <w:lang w:eastAsia="en-GB"/>
            </w:rPr>
          </w:pPr>
          <w:hyperlink w:anchor="_Toc230154462" w:history="1">
            <w:r w:rsidRPr="00D64CE3">
              <w:rPr>
                <w:rStyle w:val="Hyperlink"/>
                <w:rFonts w:ascii="Segoe UI" w:eastAsia="Times New Roman" w:hAnsi="Segoe UI" w:cs="Segoe UI"/>
                <w:noProof/>
                <w:lang w:eastAsia="en-GB"/>
              </w:rPr>
              <w:t>References</w:t>
            </w:r>
            <w:r>
              <w:rPr>
                <w:noProof/>
                <w:webHidden/>
              </w:rPr>
              <w:tab/>
            </w:r>
            <w:r>
              <w:rPr>
                <w:noProof/>
                <w:webHidden/>
              </w:rPr>
              <w:fldChar w:fldCharType="begin"/>
            </w:r>
            <w:r>
              <w:rPr>
                <w:noProof/>
                <w:webHidden/>
              </w:rPr>
              <w:instrText xml:space="preserve"> PAGEREF _Toc230154462 \h </w:instrText>
            </w:r>
            <w:r>
              <w:rPr>
                <w:noProof/>
                <w:webHidden/>
              </w:rPr>
            </w:r>
            <w:r>
              <w:rPr>
                <w:noProof/>
                <w:webHidden/>
              </w:rPr>
              <w:fldChar w:fldCharType="separate"/>
            </w:r>
            <w:r>
              <w:rPr>
                <w:noProof/>
                <w:webHidden/>
              </w:rPr>
              <w:t>14</w:t>
            </w:r>
            <w:r>
              <w:rPr>
                <w:noProof/>
                <w:webHidden/>
              </w:rPr>
              <w:fldChar w:fldCharType="end"/>
            </w:r>
          </w:hyperlink>
        </w:p>
        <w:p w14:paraId="27247724" w14:textId="012078B4" w:rsidR="00532014" w:rsidRDefault="00532014">
          <w:r>
            <w:rPr>
              <w:b/>
              <w:bCs/>
              <w:noProof/>
            </w:rPr>
            <w:fldChar w:fldCharType="end"/>
          </w:r>
        </w:p>
      </w:sdtContent>
    </w:sdt>
    <w:p w14:paraId="181ED9EA"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6DC60266"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03925ED5"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5F03F27A"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51BC325C"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23CD3247" w14:textId="77777777" w:rsidR="00532014" w:rsidRDefault="00532014"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p>
    <w:p w14:paraId="179D3EAD" w14:textId="77777777" w:rsidR="00532014" w:rsidRDefault="00532014" w:rsidP="005A7F81">
      <w:pPr>
        <w:spacing w:before="100" w:beforeAutospacing="1" w:after="100" w:afterAutospacing="1" w:line="240" w:lineRule="auto"/>
        <w:outlineLvl w:val="2"/>
        <w:rPr>
          <w:rFonts w:ascii="Segoe UI" w:eastAsia="Times New Roman" w:hAnsi="Segoe UI" w:cs="Segoe UI"/>
          <w:b/>
          <w:bCs/>
          <w:kern w:val="0"/>
          <w:sz w:val="36"/>
          <w:szCs w:val="36"/>
          <w:lang w:eastAsia="en-GB"/>
          <w14:ligatures w14:val="none"/>
        </w:rPr>
      </w:pPr>
    </w:p>
    <w:p w14:paraId="102212F5" w14:textId="4D282195"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 w:name="_Toc230154447"/>
      <w:r w:rsidRPr="005A7F81">
        <w:rPr>
          <w:rFonts w:ascii="Segoe UI" w:eastAsia="Times New Roman" w:hAnsi="Segoe UI" w:cs="Segoe UI"/>
          <w:b/>
          <w:bCs/>
          <w:kern w:val="0"/>
          <w:sz w:val="27"/>
          <w:szCs w:val="27"/>
          <w:lang w:eastAsia="en-GB"/>
          <w14:ligatures w14:val="none"/>
        </w:rPr>
        <w:t>Introduction</w:t>
      </w:r>
      <w:bookmarkEnd w:id="1"/>
    </w:p>
    <w:p w14:paraId="063DEECA"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professional learning journey has evolved through a combination of formal education, informal workplace learning, self-directed inquiry, and reflective professional practice. Although formal qualifications in Digital Media Development, Digital Media, and Software Engineering provided disciplinary foundations, much of my professional expertise developed outside formal educational settings. Through work within software engineering, Agile delivery, digital transformation, and business analysis roles at the Driver and Vehicle Standards Agency (DVSA), I increasingly learned through experience, experimentation, collaboration, and engagement with complex organisational environments.</w:t>
      </w:r>
    </w:p>
    <w:p w14:paraId="0D8F1CE9" w14:textId="3E95B9ED"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review critically explores how informal learning shaped my professional identity and capability development. It examines how experiential and self-directed learning contributed to the development of technical, analytical, and socio-technical expertise within constrained and rapidly evolving public-sector environments. The discussion draws on theoretical frameworks including experiential learning, heutagogy, reflective practice, and Communities of Practice to analyse how learning occurred in practice rather than solely through formal instruction.</w:t>
      </w:r>
    </w:p>
    <w:p w14:paraId="4654C8CF"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2" w:name="_Toc230154448"/>
      <w:r w:rsidRPr="005A7F81">
        <w:rPr>
          <w:rFonts w:ascii="Segoe UI" w:eastAsia="Times New Roman" w:hAnsi="Segoe UI" w:cs="Segoe UI"/>
          <w:b/>
          <w:bCs/>
          <w:kern w:val="0"/>
          <w:sz w:val="27"/>
          <w:szCs w:val="27"/>
          <w:lang w:eastAsia="en-GB"/>
          <w14:ligatures w14:val="none"/>
        </w:rPr>
        <w:t>Informal Learning and Self-Directed Development</w:t>
      </w:r>
      <w:bookmarkEnd w:id="2"/>
    </w:p>
    <w:p w14:paraId="3DA88B32" w14:textId="659B8AC8"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 substantial proportion of my professional learning developed informally through experimentation and self-directed inquiry. Before entering professional software engineering and business analysis roles, I independently learned video editing, graphic design, multimedia production, and elements of programming. Rather than relying solely on structured teaching, I frequently used YouTube tutorials, online forums, experimentation, research exploration, and trial-and-error approaches to develop new skills.</w:t>
      </w:r>
    </w:p>
    <w:p w14:paraId="05F0E52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pattern of learning continued throughout my career. When encountering unfamiliar technologies, systems, or organisational challenges, I often engaged in deep exploratory learning processes that involved following interconnected “research rabbit holes.” Learning therefore emerged iteratively and adaptively rather than through linear educational structures.</w:t>
      </w:r>
    </w:p>
    <w:p w14:paraId="05945A99"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This approach strongly reflects </w:t>
      </w:r>
      <w:proofErr w:type="spellStart"/>
      <w:r w:rsidRPr="005A7F81">
        <w:rPr>
          <w:rFonts w:ascii="Segoe UI" w:eastAsia="Times New Roman" w:hAnsi="Segoe UI" w:cs="Segoe UI"/>
          <w:kern w:val="0"/>
          <w:lang w:eastAsia="en-GB"/>
          <w14:ligatures w14:val="none"/>
        </w:rPr>
        <w:t>heutagogical</w:t>
      </w:r>
      <w:proofErr w:type="spellEnd"/>
      <w:r w:rsidRPr="005A7F81">
        <w:rPr>
          <w:rFonts w:ascii="Segoe UI" w:eastAsia="Times New Roman" w:hAnsi="Segoe UI" w:cs="Segoe UI"/>
          <w:kern w:val="0"/>
          <w:lang w:eastAsia="en-GB"/>
          <w14:ligatures w14:val="none"/>
        </w:rPr>
        <w:t xml:space="preserve"> learning theory. Hase and Kenyon (2000) argue that heutagogy emphasises self-determined learning, learner autonomy, capability development, and adaptive knowledge construction. Unlike traditional pedagogy, where learning is externally directed, heutagogy positions the learner as an active architect of their own learning process. My professional </w:t>
      </w:r>
      <w:r w:rsidRPr="005A7F81">
        <w:rPr>
          <w:rFonts w:ascii="Segoe UI" w:eastAsia="Times New Roman" w:hAnsi="Segoe UI" w:cs="Segoe UI"/>
          <w:kern w:val="0"/>
          <w:lang w:eastAsia="en-GB"/>
          <w14:ligatures w14:val="none"/>
        </w:rPr>
        <w:lastRenderedPageBreak/>
        <w:t>development strongly aligns with this model because learning frequently emerged through autonomous inquiry in response to practical organisational or technical problems.</w:t>
      </w:r>
    </w:p>
    <w:p w14:paraId="276446F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For example, while working within software delivery environments at DVLA and DVSA, technical learning frequently occurred through direct engagement with delivery problems rather than formal training programmes. Understanding technologies such as React, Ruby on Rails, Angular, AWS, APIs, Agile tooling, and cloud-based delivery practices often required self-initiated exploration alongside collaborative workplace learning.</w:t>
      </w:r>
    </w:p>
    <w:p w14:paraId="4D046CF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5A7F81">
        <w:rPr>
          <w:rFonts w:ascii="Segoe UI" w:eastAsia="Times New Roman" w:hAnsi="Segoe UI" w:cs="Segoe UI"/>
          <w:kern w:val="0"/>
          <w:lang w:eastAsia="en-GB"/>
          <w14:ligatures w14:val="none"/>
        </w:rPr>
        <w:t>Manuti</w:t>
      </w:r>
      <w:proofErr w:type="spellEnd"/>
      <w:r w:rsidRPr="005A7F81">
        <w:rPr>
          <w:rFonts w:ascii="Segoe UI" w:eastAsia="Times New Roman" w:hAnsi="Segoe UI" w:cs="Segoe UI"/>
          <w:kern w:val="0"/>
          <w:lang w:eastAsia="en-GB"/>
          <w14:ligatures w14:val="none"/>
        </w:rPr>
        <w:t xml:space="preserve"> et al. (2015) argue that workplace learning increasingly occurs informally through participation in work activities, collaborative interaction, and problem-solving rather than formal instruction alone. This perspective strongly reflects my experiences within Agile and digital transformation environments. Formal education provided theoretical foundations, but many critical capabilities such as stakeholder engagement, organisational analysis, facilitation, and delivery prioritisation developed through professional practice itself.</w:t>
      </w:r>
    </w:p>
    <w:p w14:paraId="12652240" w14:textId="79FCBDC8"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Within DVSA, informal learning became especially important because delivery environments were characterised by ambiguity, complexity, political sensitivity, and changing stakeholder demands. In many situations, no predefined procedural solution existed. Learning therefore depended upon adapting existing knowledge to new contexts while continuously reflecting upon outcomes and organisational dynamics.</w:t>
      </w:r>
    </w:p>
    <w:p w14:paraId="4CDFB489"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3" w:name="_Toc230154449"/>
      <w:r w:rsidRPr="005A7F81">
        <w:rPr>
          <w:rFonts w:ascii="Segoe UI" w:eastAsia="Times New Roman" w:hAnsi="Segoe UI" w:cs="Segoe UI"/>
          <w:b/>
          <w:bCs/>
          <w:kern w:val="0"/>
          <w:sz w:val="27"/>
          <w:szCs w:val="27"/>
          <w:lang w:eastAsia="en-GB"/>
          <w14:ligatures w14:val="none"/>
        </w:rPr>
        <w:t>Experiential Learning in Complex Environments</w:t>
      </w:r>
      <w:bookmarkEnd w:id="3"/>
    </w:p>
    <w:p w14:paraId="3D1DC9F4"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Experiential learning became central to my professional development. Kolb (1984) argues that learning occurs through cycles of concrete experience, reflective observation, conceptualisation, and experimentation. My career strongly reflects this cyclical process because professional capability developed progressively through engagement with increasingly complex organisational challenges.</w:t>
      </w:r>
    </w:p>
    <w:p w14:paraId="3AD97BD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significant area of learning involved understanding how Agile delivery operates within real organisational environments. Initially, formal Agile methodologies appeared highly structured and theoretically coherent. However, workplace practice quickly revealed significant tensions between Agile theory and organisational reality. Government transformation projects frequently involved governance constraints, operational pressures, regulatory obligations, stakeholder politics, and legacy systems that complicated straightforward Agile implementation.</w:t>
      </w:r>
    </w:p>
    <w:p w14:paraId="4470DE04"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As a result, my understanding of Agile evolved beyond technical methodology towards a broader understanding of organisational adaptability, communication, </w:t>
      </w:r>
      <w:r w:rsidRPr="005A7F81">
        <w:rPr>
          <w:rFonts w:ascii="Segoe UI" w:eastAsia="Times New Roman" w:hAnsi="Segoe UI" w:cs="Segoe UI"/>
          <w:kern w:val="0"/>
          <w:lang w:eastAsia="en-GB"/>
          <w14:ligatures w14:val="none"/>
        </w:rPr>
        <w:lastRenderedPageBreak/>
        <w:t>negotiation, and systems thinking. Learning increasingly emerged not from applying frameworks mechanically but from critically adapting them to contextual realities.</w:t>
      </w:r>
    </w:p>
    <w:p w14:paraId="39022369"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experiential learning process became particularly evident during my involvement in the MOT Authorisation Seminar Discovery project at DVSA. The project explored replacing face-to-face educational seminars for prospective MOT garages with a digital remote-learning solution. Initially, the proposal appeared aligned with organisational efficiency goals and digital transformation priorities. However, after conducting a VMOST analysis, I recognised that aspects of the proposed solution conflicted with DVSA’s broader 2030 strategic vision.</w:t>
      </w:r>
    </w:p>
    <w:p w14:paraId="2215327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existing face-to-face process enabled important forms of interaction, tacit learning, relational trust-building, and contextual discussion that risked being lost within a purely digital delivery model. Replacing interactive engagement with static video-style learning could potentially undermine organisational learning quality despite improving efficiency.</w:t>
      </w:r>
    </w:p>
    <w:p w14:paraId="223D9F0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experience significantly shaped my understanding of organisational transformation and digital modernisation. It demonstrated that technological solutions may unintentionally weaken human learning processes if broader organisational dynamics are not considered carefully.</w:t>
      </w:r>
    </w:p>
    <w:p w14:paraId="31099D7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Schön (1983) argues that professional practice within complex environments requires reflection-in-action, where practitioners continuously interpret and adapt while operating within uncertain situations. This framework strongly reflects my experiences during the MOT project. Rather than simply implementing the assumed solution, reflective analysis enabled me to question whether the proposal genuinely addressed organisational and user needs.</w:t>
      </w:r>
    </w:p>
    <w:p w14:paraId="18C7BBCF" w14:textId="5E6AEB79"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project also reinforced the importance of understanding the distinction between user needs and assumed solutions. Over time, I observed that stakeholders frequently focus prematurely on preferred solutions before fully analysing underlying organisational problems. Consequently, an important part of my professional learning involved recognising and challenging “solution-first” thinking.</w:t>
      </w:r>
    </w:p>
    <w:p w14:paraId="417CC56C"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4" w:name="_Toc230154450"/>
      <w:r w:rsidRPr="005A7F81">
        <w:rPr>
          <w:rFonts w:ascii="Segoe UI" w:eastAsia="Times New Roman" w:hAnsi="Segoe UI" w:cs="Segoe UI"/>
          <w:b/>
          <w:bCs/>
          <w:kern w:val="0"/>
          <w:sz w:val="27"/>
          <w:szCs w:val="27"/>
          <w:lang w:eastAsia="en-GB"/>
          <w14:ligatures w14:val="none"/>
        </w:rPr>
        <w:t>Professional Identity and Evolving Capability</w:t>
      </w:r>
      <w:bookmarkEnd w:id="4"/>
    </w:p>
    <w:p w14:paraId="6AAE962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professional identity has evolved significantly throughout my career. Initially, I primarily viewed myself as a digital media practitioner focused on creative production, multimedia editing, and technical implementation. This phase involved extensive work with tools such as Adobe Photoshop, Premiere Pro, After Effects, Audition, Final Cut, and multimedia design systems.</w:t>
      </w:r>
    </w:p>
    <w:p w14:paraId="46C4234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Later, formal education and workplace experience shifted my focus towards software engineering and technical systems development. During this stage, professional identity centred around coding, software delivery, databases, APIs, frontend frameworks, and cloud-based technologies.</w:t>
      </w:r>
    </w:p>
    <w:p w14:paraId="6D8B0A7A"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However, my current role within DVSA has further transformed my professional identity beyond purely technical capability. Increasingly, I see myself as:</w:t>
      </w:r>
    </w:p>
    <w:p w14:paraId="0A1DCB6E" w14:textId="77777777" w:rsidR="005A7F81" w:rsidRPr="005A7F81" w:rsidRDefault="005A7F81" w:rsidP="005A7F81">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 systems thinker, </w:t>
      </w:r>
    </w:p>
    <w:p w14:paraId="3411FE06" w14:textId="77777777" w:rsidR="005A7F81" w:rsidRPr="005A7F81" w:rsidRDefault="005A7F81" w:rsidP="005A7F81">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facilitator, </w:t>
      </w:r>
    </w:p>
    <w:p w14:paraId="314AF576" w14:textId="77777777" w:rsidR="005A7F81" w:rsidRPr="005A7F81" w:rsidRDefault="005A7F81" w:rsidP="005A7F81">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strategic analyst, </w:t>
      </w:r>
    </w:p>
    <w:p w14:paraId="23B77C12" w14:textId="77777777" w:rsidR="005A7F81" w:rsidRPr="005A7F81" w:rsidRDefault="005A7F81" w:rsidP="005A7F81">
      <w:pPr>
        <w:numPr>
          <w:ilvl w:val="0"/>
          <w:numId w:val="27"/>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bridge between business and technology. </w:t>
      </w:r>
    </w:p>
    <w:p w14:paraId="511F8DF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evolution reflects movement from disciplinary technical expertise towards transdisciplinary socio-technical practice. Rather than focusing solely on software implementation, my work increasingly involves organisational learning, stakeholder negotiation, systems analysis, delivery strategy, and balancing technical feasibility with operational and policy considerations.</w:t>
      </w:r>
    </w:p>
    <w:p w14:paraId="429604E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Wenger (2000) argues that professional learning occurs socially through participation within Communities of Practice. My experiences strongly support this perspective because professional capability frequently developed through collaboration with multidisciplinary teams including developers, policy advisors, operational leads, service designers, user researchers, enforcement officers, and senior stakeholders.</w:t>
      </w:r>
    </w:p>
    <w:p w14:paraId="10464F3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Participation within Agile delivery teams therefore functioned not only as delivery work but also as a continuous learning environment where knowledge was collectively developed and refined.</w:t>
      </w:r>
    </w:p>
    <w:p w14:paraId="745A714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Ultimately, this phase of my professional learning reflects a transition from technical implementation towards reflective and systems-oriented professional practice. Informal learning, experiential reflection, and collaborative engagement became central mechanisms through which professional identity and expertise evolved.</w:t>
      </w:r>
    </w:p>
    <w:p w14:paraId="5F1C1E3A" w14:textId="77777777" w:rsidR="005A7F81" w:rsidRPr="005A7F81" w:rsidRDefault="005A7F81" w:rsidP="005A7F8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5" w:name="_Toc230154451"/>
      <w:r w:rsidRPr="005A7F81">
        <w:rPr>
          <w:rFonts w:ascii="Segoe UI" w:eastAsia="Times New Roman" w:hAnsi="Segoe UI" w:cs="Segoe UI"/>
          <w:b/>
          <w:bCs/>
          <w:kern w:val="0"/>
          <w:sz w:val="36"/>
          <w:szCs w:val="36"/>
          <w:lang w:eastAsia="en-GB"/>
          <w14:ligatures w14:val="none"/>
        </w:rPr>
        <w:t>Tacit Knowledge, Professional Judgement, and Learning Through Complexity</w:t>
      </w:r>
      <w:bookmarkEnd w:id="5"/>
    </w:p>
    <w:p w14:paraId="54C06DB0"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6" w:name="_Toc230154452"/>
      <w:r w:rsidRPr="005A7F81">
        <w:rPr>
          <w:rFonts w:ascii="Segoe UI" w:eastAsia="Times New Roman" w:hAnsi="Segoe UI" w:cs="Segoe UI"/>
          <w:b/>
          <w:bCs/>
          <w:kern w:val="0"/>
          <w:sz w:val="27"/>
          <w:szCs w:val="27"/>
          <w:lang w:eastAsia="en-GB"/>
          <w14:ligatures w14:val="none"/>
        </w:rPr>
        <w:t>Introduction</w:t>
      </w:r>
      <w:bookmarkEnd w:id="6"/>
    </w:p>
    <w:p w14:paraId="753CD1E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As my professional experience developed across software engineering, Agile delivery, and business analysis within the Driver and Vehicle Standards Agency (DVSA), I increasingly recognised that effective professional practice depends not only on explicit technical knowledge but also on tacit knowledge, professional judgement, </w:t>
      </w:r>
      <w:r w:rsidRPr="005A7F81">
        <w:rPr>
          <w:rFonts w:ascii="Segoe UI" w:eastAsia="Times New Roman" w:hAnsi="Segoe UI" w:cs="Segoe UI"/>
          <w:kern w:val="0"/>
          <w:lang w:eastAsia="en-GB"/>
          <w14:ligatures w14:val="none"/>
        </w:rPr>
        <w:lastRenderedPageBreak/>
        <w:t>and the ability to operate within complex organisational environments. While formal methodologies, frameworks, and documented procedures remain important, many critical decisions within practice rely upon experiential understanding, contextual interpretation, and intuitive judgement developed over time.</w:t>
      </w:r>
    </w:p>
    <w:p w14:paraId="445EFF6F" w14:textId="71B68AAD"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section critically examines how tacit knowledge and reflective professional judgement evolved throughout my career. It explores how complexity, ambiguity, stakeholder behaviour, organisational politics, and systems-level thinking shaped my professional learning. Drawing upon theories of tacit knowledge, reflective practice, organisational learning, and systems thinking, this discussion analyses how expertise developed within constrained and politically sensitive public-sector environments.</w:t>
      </w:r>
    </w:p>
    <w:p w14:paraId="0B7A0F0F"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7" w:name="_Toc230154453"/>
      <w:r w:rsidRPr="005A7F81">
        <w:rPr>
          <w:rFonts w:ascii="Segoe UI" w:eastAsia="Times New Roman" w:hAnsi="Segoe UI" w:cs="Segoe UI"/>
          <w:b/>
          <w:bCs/>
          <w:kern w:val="0"/>
          <w:sz w:val="27"/>
          <w:szCs w:val="27"/>
          <w:lang w:eastAsia="en-GB"/>
          <w14:ligatures w14:val="none"/>
        </w:rPr>
        <w:t>Tacit Knowledge and Professional Expertise</w:t>
      </w:r>
      <w:bookmarkEnd w:id="7"/>
    </w:p>
    <w:p w14:paraId="64A05BB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Polanyi (1966) famously argued that “we know more than we can tell,” highlighting that important forms of knowledge often remain difficult to codify explicitly. This concept strongly reflects my own professional development. Over time, many aspects of my decision-making became instinctive and experience-driven rather than fully procedural.</w:t>
      </w:r>
    </w:p>
    <w:p w14:paraId="76EC185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example involves recognising early warning signs that a project may be failing. Through repeated exposure to transformation projects and stakeholder engagement activities, I developed an ability to identify organisational tensions before they became fully visible within formal reporting structures. For instance, stakeholder fragmentation frequently acts as an indicator of deeper delivery risk. When different stakeholder groups begin interpreting project objectives inconsistently or conflicting narratives emerge about priorities and outcomes, this often signals underlying strategic misalignment.</w:t>
      </w:r>
    </w:p>
    <w:p w14:paraId="5A6F4BD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Another recurring pattern I learned to recognise is when teams become overly focused on implementing a preferred solution without fully understanding the underlying organisational problem. I observed this behaviour repeatedly across projects where stakeholders arrived with predetermined assumptions about what needed to be built rather than critically exploring user needs or operational realities.</w:t>
      </w:r>
    </w:p>
    <w:p w14:paraId="7ABCC5B9"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These forms of judgement were not acquired through formal instruction. Instead, they developed gradually through experience, reflective observation, stakeholder interaction, and repeated engagement with complex organisational systems.</w:t>
      </w:r>
    </w:p>
    <w:p w14:paraId="36FA55E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Fernandez et al. (2020) argue that tacit knowledge is essential within professional environments because many forms of expertise depend upon contextual interpretation, interpersonal understanding, and experiential insight rather than explicit procedural rules alone. This perspective strongly reflects my experiences within government transformation work, where political, operational, and relational </w:t>
      </w:r>
      <w:r w:rsidRPr="005A7F81">
        <w:rPr>
          <w:rFonts w:ascii="Segoe UI" w:eastAsia="Times New Roman" w:hAnsi="Segoe UI" w:cs="Segoe UI"/>
          <w:kern w:val="0"/>
          <w:lang w:eastAsia="en-GB"/>
          <w14:ligatures w14:val="none"/>
        </w:rPr>
        <w:lastRenderedPageBreak/>
        <w:t>dynamics frequently shape delivery outcomes as much as technical implementation itself.</w:t>
      </w:r>
    </w:p>
    <w:p w14:paraId="3CBD3C0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Over time, tacit knowledge increasingly influenced how I interpreted stakeholder behaviour. For example, I learned to recognise situations where stakeholders believed strongly in a particular solution while simultaneously resisting evidence emerging from data analysis or user research. In such situations, the challenge often becomes less technical and more relational and political. Effective practice therefore requires balancing analytical evidence with organisational diplomacy and communication.</w:t>
      </w:r>
    </w:p>
    <w:p w14:paraId="2C59A6AD" w14:textId="16A8E219" w:rsidR="005A7F81" w:rsidRPr="005A7F81" w:rsidRDefault="005A7F81" w:rsidP="006B331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evolution reflects a broader transition from technical practitioner towards reflective socio-technical professional. Initially, my focus was primarily on implementation and delivery. However, professional maturity increasingly involved understanding hidden organisational dynamics, systems interactions, and human behaviour.</w:t>
      </w:r>
    </w:p>
    <w:p w14:paraId="065C04E1"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8" w:name="_Toc230154454"/>
      <w:r w:rsidRPr="005A7F81">
        <w:rPr>
          <w:rFonts w:ascii="Segoe UI" w:eastAsia="Times New Roman" w:hAnsi="Segoe UI" w:cs="Segoe UI"/>
          <w:b/>
          <w:bCs/>
          <w:kern w:val="0"/>
          <w:sz w:val="27"/>
          <w:szCs w:val="27"/>
          <w:lang w:eastAsia="en-GB"/>
          <w14:ligatures w14:val="none"/>
        </w:rPr>
        <w:t>Complexity, Organisational Politics, and Reflective Judgement</w:t>
      </w:r>
      <w:bookmarkEnd w:id="8"/>
    </w:p>
    <w:p w14:paraId="1333F0E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Complexity became one of the defining characteristics of my professional learning environment. Unlike controlled academic environments where problems are often clearly structured, public-sector transformation projects frequently involve ambiguity, conflicting priorities, shifting requirements, regulatory constraints, and political sensitivities.</w:t>
      </w:r>
    </w:p>
    <w:p w14:paraId="4AAD742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 particularly significant example was my involvement in the Vehicle Leadership Target Operating Model (TOM) initiative within DVSA. This project involved reviewing and redesigning operational leadership structures. Technically, the project focused on improving organisational efficiency, delivery structures, and leadership processes. However, one of the most significant challenges was the lack of trust between operational staff and management.</w:t>
      </w:r>
    </w:p>
    <w:p w14:paraId="7B4D084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Employees were sceptical about leadership intentions and organisational change initiatives. As a result, even technically rational proposals encountered resistance because transformation was interpreted through the lens of existing organisational tensions and distrust.</w:t>
      </w:r>
    </w:p>
    <w:p w14:paraId="55427F87"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project significantly deepened my understanding of organisational politics and socio-technical complexity. Formal business analysis techniques such as process mapping, gap analysis, and stakeholder modelling remained useful, but they were insufficient on their own. Successful engagement required emotional intelligence, listening skills, trust-building, and sensitivity to organisational culture.</w:t>
      </w:r>
    </w:p>
    <w:p w14:paraId="732336AE"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Schön’s (1983) concept of the reflective practitioner strongly resonates with these experiences. Schön argues that professionals working in uncertain and complex environments cannot rely solely on technical rationality because real-world practice frequently involves “messy” situations where problems themselves are not clearly defined. Practitioners must therefore engage in reflection-in-action while continuously interpreting evolving contexts.</w:t>
      </w:r>
    </w:p>
    <w:p w14:paraId="28F5ACD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Within the TOM initiative, reflective practice became essential because organisational resistance could not simply be solved procedurally. Understanding why staff mistrusted management required deeper reflection on organisational history, culture, communication patterns, and leadership legitimacy.</w:t>
      </w:r>
    </w:p>
    <w:p w14:paraId="73F4A91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experience also reinforced the importance of systems thinking within professional practice. Senge (1990) argues that organisations should be understood as interconnected systems characterised by feedback loops, interdependencies, and relational complexity. This perspective increasingly shaped how I approached organisational analysis. Rather than viewing problems as isolated delivery issues, I began interpreting them as symptoms of broader systemic relationships.</w:t>
      </w:r>
    </w:p>
    <w:p w14:paraId="7EC3664C" w14:textId="7897DA53" w:rsidR="005A7F81" w:rsidRPr="005A7F81" w:rsidRDefault="005A7F81" w:rsidP="006B331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For example, operational resistance within the TOM initiative was not simply a communication issue. It reflected wider concerns about organisational identity, trust, historical experience, leadership culture, and perceived exclusion from decision-making processes. Systems thinking therefore enabled a more holistic interpretation of organisational dynamics.</w:t>
      </w:r>
    </w:p>
    <w:p w14:paraId="29387ABB"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9" w:name="_Toc230154455"/>
      <w:r w:rsidRPr="005A7F81">
        <w:rPr>
          <w:rFonts w:ascii="Segoe UI" w:eastAsia="Times New Roman" w:hAnsi="Segoe UI" w:cs="Segoe UI"/>
          <w:b/>
          <w:bCs/>
          <w:kern w:val="0"/>
          <w:sz w:val="27"/>
          <w:szCs w:val="27"/>
          <w:lang w:eastAsia="en-GB"/>
          <w14:ligatures w14:val="none"/>
        </w:rPr>
        <w:t>Learning Through Constraint and Ambiguity</w:t>
      </w:r>
      <w:bookmarkEnd w:id="9"/>
    </w:p>
    <w:p w14:paraId="76C91AD7"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Many of my most significant learning experiences occurred within constrained and ambiguous environments where certainty was limited and professional judgement became critical. Government transformation work frequently operates within:</w:t>
      </w:r>
    </w:p>
    <w:p w14:paraId="1C17B22E" w14:textId="77777777" w:rsidR="005A7F81" w:rsidRPr="005A7F81" w:rsidRDefault="005A7F81" w:rsidP="005A7F81">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policy constraints, </w:t>
      </w:r>
    </w:p>
    <w:p w14:paraId="541B3CCA" w14:textId="77777777" w:rsidR="005A7F81" w:rsidRPr="005A7F81" w:rsidRDefault="005A7F81" w:rsidP="005A7F81">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legal frameworks, </w:t>
      </w:r>
    </w:p>
    <w:p w14:paraId="33F8066C" w14:textId="77777777" w:rsidR="005A7F81" w:rsidRPr="005A7F81" w:rsidRDefault="005A7F81" w:rsidP="005A7F81">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procurement limitations, </w:t>
      </w:r>
    </w:p>
    <w:p w14:paraId="4D1B2C6F" w14:textId="77777777" w:rsidR="005A7F81" w:rsidRPr="005A7F81" w:rsidRDefault="005A7F81" w:rsidP="005A7F81">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dependencies, </w:t>
      </w:r>
    </w:p>
    <w:p w14:paraId="268477F1" w14:textId="77777777" w:rsidR="005A7F81" w:rsidRPr="005A7F81" w:rsidRDefault="005A7F81" w:rsidP="005A7F81">
      <w:pPr>
        <w:numPr>
          <w:ilvl w:val="0"/>
          <w:numId w:val="29"/>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political pressures. </w:t>
      </w:r>
    </w:p>
    <w:p w14:paraId="42FA155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particularly important project was the digitisation of Police and Criminal Evidence Act (PACE) interview recording systems within DVSA Enforcement. Existing interview processes relied upon CD-based recording systems that experienced regular technical failures. The project aimed to implement a compliant digital solution while ensuring alignment with legal and policy requirements.</w:t>
      </w:r>
    </w:p>
    <w:p w14:paraId="0F10AA2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This environment involved multiple stakeholder groups including police representatives, enforcement investigators, procurement teams, counter-fraud specialists, policy advisors, and technical delivery teams. Each group brought different priorities, assumptions, and operational concerns.</w:t>
      </w:r>
    </w:p>
    <w:p w14:paraId="0D5D73D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role involved facilitating shared understanding between these groups while translating operational and legal requirements into structured business analysis outputs. This required balancing compliance obligations with technical feasibility and operational practicality.</w:t>
      </w:r>
    </w:p>
    <w:p w14:paraId="5530C8E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Wenger and Snyder (2000) argue that organisational learning often occurs through collaborative Communities of Practice where professionals collectively negotiate meaning and develop shared understanding. This perspective strongly reflects my experiences within multidisciplinary delivery teams. Many important insights emerged informally through collaborative workshops, sprint discussions, discovery sessions, and stakeholder conversations rather than formal governance structures.</w:t>
      </w:r>
    </w:p>
    <w:p w14:paraId="04F8A3E3" w14:textId="2AA5D47F" w:rsidR="005A7F81" w:rsidRPr="005A7F81" w:rsidRDefault="005A7F81" w:rsidP="006B331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Learning within these environments therefore became relational and participatory. Expertise developed not only through individual analysis but through interaction with diverse professional perspectives across policy, operations, enforcement, technology, and governance domains.</w:t>
      </w:r>
    </w:p>
    <w:p w14:paraId="51B3F815"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0" w:name="_Toc230154456"/>
      <w:r w:rsidRPr="005A7F81">
        <w:rPr>
          <w:rFonts w:ascii="Segoe UI" w:eastAsia="Times New Roman" w:hAnsi="Segoe UI" w:cs="Segoe UI"/>
          <w:b/>
          <w:bCs/>
          <w:kern w:val="0"/>
          <w:sz w:val="27"/>
          <w:szCs w:val="27"/>
          <w:lang w:eastAsia="en-GB"/>
          <w14:ligatures w14:val="none"/>
        </w:rPr>
        <w:t>The Evolution of Professional Judgement</w:t>
      </w:r>
      <w:bookmarkEnd w:id="10"/>
    </w:p>
    <w:p w14:paraId="0041157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my career progressed, I increasingly relied upon professional judgement rather than purely procedural analysis. Initially, professional confidence often depended heavily upon formal frameworks and methodologies. However, experience gradually demonstrated that frameworks alone rarely resolve complex organisational problems.</w:t>
      </w:r>
    </w:p>
    <w:p w14:paraId="5BE08BC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For example, methodologies such as SWOT, CATWOE, VMOST, Business Activity Modelling, and </w:t>
      </w:r>
      <w:proofErr w:type="spellStart"/>
      <w:r w:rsidRPr="005A7F81">
        <w:rPr>
          <w:rFonts w:ascii="Segoe UI" w:eastAsia="Times New Roman" w:hAnsi="Segoe UI" w:cs="Segoe UI"/>
          <w:kern w:val="0"/>
          <w:lang w:eastAsia="en-GB"/>
          <w14:ligatures w14:val="none"/>
        </w:rPr>
        <w:t>MoSCoW</w:t>
      </w:r>
      <w:proofErr w:type="spellEnd"/>
      <w:r w:rsidRPr="005A7F81">
        <w:rPr>
          <w:rFonts w:ascii="Segoe UI" w:eastAsia="Times New Roman" w:hAnsi="Segoe UI" w:cs="Segoe UI"/>
          <w:kern w:val="0"/>
          <w:lang w:eastAsia="en-GB"/>
          <w14:ligatures w14:val="none"/>
        </w:rPr>
        <w:t xml:space="preserve"> prioritisation provided useful analytical structure, but effective practice ultimately depended upon interpreting context appropriately. Two projects using identical methodologies could require entirely different engagement approaches depending on stakeholder relationships, organisational history, and political dynamics.</w:t>
      </w:r>
    </w:p>
    <w:p w14:paraId="505E670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reflects the development of what Eraut (2004) describes as professional knowledge-in-action, where expertise becomes embedded within situational judgement and contextual interpretation. Increasingly, I learned that effective professional practice involves balancing analytical rigour with adaptive judgement.</w:t>
      </w:r>
    </w:p>
    <w:p w14:paraId="76F5DF63"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Consequently, my professional learning evolved beyond technical competency towards reflective socio-technical capability. I increasingly understood my role not </w:t>
      </w:r>
      <w:r w:rsidRPr="005A7F81">
        <w:rPr>
          <w:rFonts w:ascii="Segoe UI" w:eastAsia="Times New Roman" w:hAnsi="Segoe UI" w:cs="Segoe UI"/>
          <w:kern w:val="0"/>
          <w:lang w:eastAsia="en-GB"/>
          <w14:ligatures w14:val="none"/>
        </w:rPr>
        <w:lastRenderedPageBreak/>
        <w:t>merely as producing documentation or managing requirements but as facilitating organisational understanding, navigating ambiguity, and supporting informed decision-making within complex systems.</w:t>
      </w:r>
    </w:p>
    <w:p w14:paraId="0C314964" w14:textId="5FC82DD9" w:rsidR="005A7F81" w:rsidRPr="006B3311" w:rsidRDefault="005A7F81" w:rsidP="006B3311">
      <w:pPr>
        <w:spacing w:before="100" w:beforeAutospacing="1" w:after="100" w:afterAutospacing="1" w:line="240" w:lineRule="auto"/>
        <w:outlineLvl w:val="1"/>
        <w:rPr>
          <w:rFonts w:ascii="Segoe UI" w:eastAsia="Times New Roman" w:hAnsi="Segoe UI" w:cs="Segoe UI"/>
          <w:b/>
          <w:bCs/>
          <w:kern w:val="0"/>
          <w:sz w:val="36"/>
          <w:szCs w:val="36"/>
          <w:lang w:eastAsia="en-GB"/>
          <w14:ligatures w14:val="none"/>
        </w:rPr>
      </w:pPr>
      <w:bookmarkStart w:id="11" w:name="_Toc230154457"/>
      <w:r w:rsidRPr="005A7F81">
        <w:rPr>
          <w:rFonts w:ascii="Segoe UI" w:eastAsia="Times New Roman" w:hAnsi="Segoe UI" w:cs="Segoe UI"/>
          <w:b/>
          <w:bCs/>
          <w:kern w:val="0"/>
          <w:sz w:val="36"/>
          <w:szCs w:val="36"/>
          <w:lang w:eastAsia="en-GB"/>
          <w14:ligatures w14:val="none"/>
        </w:rPr>
        <w:t>Transdisciplinary Knowledge, Codification, and Professional Learning in Complex Systems</w:t>
      </w:r>
      <w:bookmarkEnd w:id="11"/>
    </w:p>
    <w:p w14:paraId="5E973243" w14:textId="73E31B6D" w:rsidR="005A7F81" w:rsidRPr="005A7F81" w:rsidRDefault="005A7F81" w:rsidP="00974194">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my professional career progressed from digital media into software engineering, Agile delivery, and business analysis within government transformation environments, my understanding of professional knowledge evolved significantly. Early in my career, knowledge was primarily viewed as technical and disciplinary. However, through experience within complex public-sector projects, I increasingly recognised that effective professional practice depends upon integrating multiple forms of knowledge across technical, organisational, operational, legal, and social domains.</w:t>
      </w:r>
      <w:r w:rsidR="00974194">
        <w:rPr>
          <w:rFonts w:ascii="Segoe UI" w:eastAsia="Times New Roman" w:hAnsi="Segoe UI" w:cs="Segoe UI"/>
          <w:kern w:val="0"/>
          <w:lang w:eastAsia="en-GB"/>
          <w14:ligatures w14:val="none"/>
        </w:rPr>
        <w:t xml:space="preserve"> </w:t>
      </w:r>
      <w:r w:rsidRPr="005A7F81">
        <w:rPr>
          <w:rFonts w:ascii="Segoe UI" w:eastAsia="Times New Roman" w:hAnsi="Segoe UI" w:cs="Segoe UI"/>
          <w:kern w:val="0"/>
          <w:lang w:eastAsia="en-GB"/>
          <w14:ligatures w14:val="none"/>
        </w:rPr>
        <w:t xml:space="preserve">This section critically examines how my professional learning developed through engagement with disciplinary and transdisciplinary knowledge systems. </w:t>
      </w:r>
    </w:p>
    <w:p w14:paraId="69702B8C"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2" w:name="_Toc230154458"/>
      <w:r w:rsidRPr="005A7F81">
        <w:rPr>
          <w:rFonts w:ascii="Segoe UI" w:eastAsia="Times New Roman" w:hAnsi="Segoe UI" w:cs="Segoe UI"/>
          <w:b/>
          <w:bCs/>
          <w:kern w:val="0"/>
          <w:sz w:val="27"/>
          <w:szCs w:val="27"/>
          <w:lang w:eastAsia="en-GB"/>
          <w14:ligatures w14:val="none"/>
        </w:rPr>
        <w:t>From Disciplinary Knowledge to Transdisciplinary Practice</w:t>
      </w:r>
      <w:bookmarkEnd w:id="12"/>
    </w:p>
    <w:p w14:paraId="0F4399B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early professional identity was rooted primarily within disciplinary technical knowledge. Initial work within digital media focused heavily on creative production, multimedia editing, visual communication, and software-based content creation. This included extensive use of Adobe Photoshop, Premiere Pro, After Effects, Audition, and multimedia production systems. Learning during this phase was strongly technical and practice-based, centred around digital creativity and production workflows.</w:t>
      </w:r>
    </w:p>
    <w:p w14:paraId="2F6BCA2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Later, my MSc in Software Engineering and subsequent professional software development roles expanded my disciplinary expertise into programming, cloud technologies, databases, frontend frameworks, APIs, Agile delivery, and software architecture. Technical knowledge became increasingly structured and codified through programming languages, development methodologies, testing practices, and engineering standards.</w:t>
      </w:r>
    </w:p>
    <w:p w14:paraId="553641F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However, my transition into business analysis and transformation work within DVSA fundamentally changed how I understood professional knowledge itself. Increasingly, organisational problems could not be understood through technical expertise alone. Projects required simultaneous understanding of:</w:t>
      </w:r>
    </w:p>
    <w:p w14:paraId="1D8E2CE7"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policy, </w:t>
      </w:r>
    </w:p>
    <w:p w14:paraId="725D50EA"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governance, </w:t>
      </w:r>
    </w:p>
    <w:p w14:paraId="00F6074A"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delivery, </w:t>
      </w:r>
    </w:p>
    <w:p w14:paraId="7982531C"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organisational behaviour, </w:t>
      </w:r>
    </w:p>
    <w:p w14:paraId="17BB3FFA"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 xml:space="preserve">stakeholder relationships, </w:t>
      </w:r>
    </w:p>
    <w:p w14:paraId="059220EE"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systems integration, </w:t>
      </w:r>
    </w:p>
    <w:p w14:paraId="52060C66"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legal compliance, </w:t>
      </w:r>
    </w:p>
    <w:p w14:paraId="4D1678E6" w14:textId="77777777" w:rsidR="005A7F81" w:rsidRPr="005A7F81" w:rsidRDefault="005A7F81" w:rsidP="005A7F81">
      <w:pPr>
        <w:numPr>
          <w:ilvl w:val="0"/>
          <w:numId w:val="31"/>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digital transformation. </w:t>
      </w:r>
    </w:p>
    <w:p w14:paraId="7228F335"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a result, my professional practice became increasingly transdisciplinary rather than purely technical.</w:t>
      </w:r>
    </w:p>
    <w:p w14:paraId="2807286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Nicolescu (2002) argues that </w:t>
      </w:r>
      <w:proofErr w:type="spellStart"/>
      <w:r w:rsidRPr="005A7F81">
        <w:rPr>
          <w:rFonts w:ascii="Segoe UI" w:eastAsia="Times New Roman" w:hAnsi="Segoe UI" w:cs="Segoe UI"/>
          <w:kern w:val="0"/>
          <w:lang w:eastAsia="en-GB"/>
          <w14:ligatures w14:val="none"/>
        </w:rPr>
        <w:t>transdisciplinarity</w:t>
      </w:r>
      <w:proofErr w:type="spellEnd"/>
      <w:r w:rsidRPr="005A7F81">
        <w:rPr>
          <w:rFonts w:ascii="Segoe UI" w:eastAsia="Times New Roman" w:hAnsi="Segoe UI" w:cs="Segoe UI"/>
          <w:kern w:val="0"/>
          <w:lang w:eastAsia="en-GB"/>
          <w14:ligatures w14:val="none"/>
        </w:rPr>
        <w:t xml:space="preserve"> involves integrating knowledge across disciplines to address complex real-world problems that cannot be solved through isolated disciplinary thinking alone. This perspective strongly reflects my experiences within public-sector transformation work. Government delivery environments rarely involve purely technical problems. Instead, technological systems operate within broader social, legal, operational, and political ecosystems.</w:t>
      </w:r>
    </w:p>
    <w:p w14:paraId="35A68DE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One important example was the Interconnection of National Registries (INR) project, which aimed to reconnect DVSA systems with European operator data systems following Brexit-related disconnection from the European Register of Road Undertakings (ERRU). The project required integration between international regulatory systems, operational enforcement processes, digital infrastructure, and legal compliance frameworks.</w:t>
      </w:r>
    </w:p>
    <w:p w14:paraId="519F9D0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My role involved gathering requirements, collaborating with contractors and stakeholders, translating operational needs into technical specifications, and supporting the development of proxy communication systems between UK and EU systems. This experience reinforced the understanding that technical delivery cannot be separated from operational, regulatory, and organisational contexts.</w:t>
      </w:r>
    </w:p>
    <w:p w14:paraId="73571C62"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project also highlighted how professional learning increasingly occurs at the intersection of multiple knowledge domains. Effective contribution required not only technical understanding but also awareness of:</w:t>
      </w:r>
    </w:p>
    <w:p w14:paraId="6FE8C074" w14:textId="77777777" w:rsidR="005A7F81" w:rsidRPr="005A7F81" w:rsidRDefault="005A7F81" w:rsidP="005A7F81">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international regulatory systems, </w:t>
      </w:r>
    </w:p>
    <w:p w14:paraId="4F2C0EB6" w14:textId="77777777" w:rsidR="005A7F81" w:rsidRPr="005A7F81" w:rsidRDefault="005A7F81" w:rsidP="005A7F81">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enforcement practices, </w:t>
      </w:r>
    </w:p>
    <w:p w14:paraId="683D3D99" w14:textId="77777777" w:rsidR="005A7F81" w:rsidRPr="005A7F81" w:rsidRDefault="005A7F81" w:rsidP="005A7F81">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stakeholder coordination, </w:t>
      </w:r>
    </w:p>
    <w:p w14:paraId="1070FC7D" w14:textId="77777777" w:rsidR="005A7F81" w:rsidRPr="005A7F81" w:rsidRDefault="005A7F81" w:rsidP="005A7F81">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governance constraints, </w:t>
      </w:r>
    </w:p>
    <w:p w14:paraId="5992FC15" w14:textId="77777777" w:rsidR="005A7F81" w:rsidRPr="005A7F81" w:rsidRDefault="005A7F81" w:rsidP="005A7F81">
      <w:pPr>
        <w:numPr>
          <w:ilvl w:val="0"/>
          <w:numId w:val="32"/>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organisational strategy. </w:t>
      </w:r>
    </w:p>
    <w:p w14:paraId="3038BE5B" w14:textId="18834E55" w:rsidR="005A7F81" w:rsidRPr="005A7F81" w:rsidRDefault="005A7F81" w:rsidP="00974194">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represented a significant shift from disciplinary expertise towards socio-technical systems thinking.</w:t>
      </w:r>
    </w:p>
    <w:p w14:paraId="0BEB7D5B"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3" w:name="_Toc230154459"/>
      <w:r w:rsidRPr="005A7F81">
        <w:rPr>
          <w:rFonts w:ascii="Segoe UI" w:eastAsia="Times New Roman" w:hAnsi="Segoe UI" w:cs="Segoe UI"/>
          <w:b/>
          <w:bCs/>
          <w:kern w:val="0"/>
          <w:sz w:val="27"/>
          <w:szCs w:val="27"/>
          <w:lang w:eastAsia="en-GB"/>
          <w14:ligatures w14:val="none"/>
        </w:rPr>
        <w:t>Codification of Knowledge and Organisational Learning</w:t>
      </w:r>
      <w:bookmarkEnd w:id="13"/>
    </w:p>
    <w:p w14:paraId="6434CCCB"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As my professional responsibilities evolved, I became increasingly involved in the codification of organisational knowledge. Codification refers to the process of transforming knowledge into structured, shareable, and transferable forms such as documents, frameworks, models, workflows, requirements, and process maps.</w:t>
      </w:r>
    </w:p>
    <w:p w14:paraId="58A1858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Within business analysis and transformation work, codification became central to organisational learning and delivery coordination. Activities such as:</w:t>
      </w:r>
    </w:p>
    <w:p w14:paraId="478D4B16" w14:textId="77777777" w:rsidR="005A7F81" w:rsidRPr="005A7F81" w:rsidRDefault="005A7F81" w:rsidP="005A7F81">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requirements gathering, </w:t>
      </w:r>
    </w:p>
    <w:p w14:paraId="1286752B" w14:textId="77777777" w:rsidR="005A7F81" w:rsidRPr="005A7F81" w:rsidRDefault="005A7F81" w:rsidP="005A7F81">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process mapping, </w:t>
      </w:r>
    </w:p>
    <w:p w14:paraId="4B49B4DB" w14:textId="77777777" w:rsidR="005A7F81" w:rsidRPr="005A7F81" w:rsidRDefault="005A7F81" w:rsidP="005A7F81">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backlog refinement, </w:t>
      </w:r>
    </w:p>
    <w:p w14:paraId="65AC2546" w14:textId="77777777" w:rsidR="005A7F81" w:rsidRPr="005A7F81" w:rsidRDefault="005A7F81" w:rsidP="005A7F81">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workshop facilitation, </w:t>
      </w:r>
    </w:p>
    <w:p w14:paraId="181EE7F7" w14:textId="77777777" w:rsidR="005A7F81" w:rsidRPr="005A7F81" w:rsidRDefault="005A7F81" w:rsidP="005A7F81">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policy interpretation, </w:t>
      </w:r>
    </w:p>
    <w:p w14:paraId="74B5BA08" w14:textId="77777777" w:rsidR="005A7F81" w:rsidRPr="005A7F81" w:rsidRDefault="005A7F81" w:rsidP="005A7F81">
      <w:pPr>
        <w:numPr>
          <w:ilvl w:val="0"/>
          <w:numId w:val="33"/>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stakeholder modelling </w:t>
      </w:r>
    </w:p>
    <w:p w14:paraId="7AAEB3C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all involved transforming fragmented organisational understanding into structured and communicable knowledge.</w:t>
      </w:r>
    </w:p>
    <w:p w14:paraId="1B3492B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However, my experience increasingly demonstrated that codification is not neutral. While codification improves consistency, governance, and scalability, it can also oversimplify complex professional judgement and tacit expertise.</w:t>
      </w:r>
    </w:p>
    <w:p w14:paraId="4AED6F3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tension became particularly visible during the Forensic Code Accreditation discovery project supporting DVSA’s Post Collision Examination (PCE) team. The project aimed to align forensic operational practices with the Forensic Science Regulator’s Code of Practice. My role involved identifying business requirements, facilitating stakeholder workshops, analysing workflows, and translating regulatory standards into actionable organisational requirements.</w:t>
      </w:r>
    </w:p>
    <w:p w14:paraId="11CF762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challenge was not simply documenting procedures. Much of the expertise within forensic practice depended upon experiential judgement, professional interpretation, and context-sensitive decision-making that could not easily be reduced to procedural checklists.</w:t>
      </w:r>
    </w:p>
    <w:p w14:paraId="5EF59235"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Polanyi (1966) argues that tacit knowledge cannot be fully codified because important aspects of expertise remain embedded within experience and practice. This perspective strongly reflected my observations within the forensic accreditation project. While documentation and quality frameworks were necessary for compliance, they could not fully capture the nuanced judgement used by experienced practitioners during investigations and evidence analysis.</w:t>
      </w:r>
    </w:p>
    <w:p w14:paraId="0DF6F0BF"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Similarly, Wenger (2000) argues that organisational knowledge is socially constructed through participation within Communities of Practice rather than existing solely within formal documentation. My experiences strongly support this view because </w:t>
      </w:r>
      <w:r w:rsidRPr="005A7F81">
        <w:rPr>
          <w:rFonts w:ascii="Segoe UI" w:eastAsia="Times New Roman" w:hAnsi="Segoe UI" w:cs="Segoe UI"/>
          <w:kern w:val="0"/>
          <w:lang w:eastAsia="en-GB"/>
          <w14:ligatures w14:val="none"/>
        </w:rPr>
        <w:lastRenderedPageBreak/>
        <w:t>some of the most valuable organisational learning occurred informally through collaboration, mentoring, workshops, Agile ceremonies, and operational discussions rather than through static documentation alone.</w:t>
      </w:r>
    </w:p>
    <w:p w14:paraId="705B365F" w14:textId="1C66FA11" w:rsidR="005A7F81" w:rsidRPr="005A7F81" w:rsidRDefault="005A7F81" w:rsidP="00974194">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Consequently, I increasingly recognised that effective organisational learning requires balancing codified systems with opportunities for collaborative sensemaking and experiential learning.</w:t>
      </w:r>
    </w:p>
    <w:p w14:paraId="7641BFE3" w14:textId="77777777" w:rsidR="005A7F81" w:rsidRPr="005A7F81" w:rsidRDefault="005A7F81" w:rsidP="005A7F81">
      <w:pPr>
        <w:spacing w:before="100" w:beforeAutospacing="1" w:after="100" w:afterAutospacing="1" w:line="240" w:lineRule="auto"/>
        <w:outlineLvl w:val="2"/>
        <w:rPr>
          <w:rFonts w:ascii="Segoe UI" w:eastAsia="Times New Roman" w:hAnsi="Segoe UI" w:cs="Segoe UI"/>
          <w:b/>
          <w:bCs/>
          <w:kern w:val="0"/>
          <w:sz w:val="27"/>
          <w:szCs w:val="27"/>
          <w:lang w:eastAsia="en-GB"/>
          <w14:ligatures w14:val="none"/>
        </w:rPr>
      </w:pPr>
      <w:bookmarkStart w:id="14" w:name="_Toc230154460"/>
      <w:r w:rsidRPr="005A7F81">
        <w:rPr>
          <w:rFonts w:ascii="Segoe UI" w:eastAsia="Times New Roman" w:hAnsi="Segoe UI" w:cs="Segoe UI"/>
          <w:b/>
          <w:bCs/>
          <w:kern w:val="0"/>
          <w:sz w:val="27"/>
          <w:szCs w:val="27"/>
          <w:lang w:eastAsia="en-GB"/>
          <w14:ligatures w14:val="none"/>
        </w:rPr>
        <w:t>Systems Thinking and Learning in Complex Environments</w:t>
      </w:r>
      <w:bookmarkEnd w:id="14"/>
    </w:p>
    <w:p w14:paraId="536B5E86"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Systems thinking became increasingly central to how I interpreted professional practice and organisational transformation. Senge (1990) argues that organisations should be understood as interconnected systems characterised by dynamic relationships, feedback loops, and unintended consequences. This perspective significantly influenced how I approached business analysis and transformation work within DVSA.</w:t>
      </w:r>
    </w:p>
    <w:p w14:paraId="59162CA5"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Initially, my understanding of projects focused largely on delivery outputs and technical implementation. However, experience gradually demonstrated that many organisational problems are systemic rather than isolated. Technical issues often reflect broader organisational tensions involving governance, communication, trust, policy, culture, or stakeholder alignment.</w:t>
      </w:r>
    </w:p>
    <w:p w14:paraId="42BB9A58"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became particularly evident within transformation and discovery projects where stakeholder groups frequently held competing priorities and assumptions. For example, during the digitisation of PACE interview recording systems, different stakeholder groups prioritised:</w:t>
      </w:r>
    </w:p>
    <w:p w14:paraId="321D0B18" w14:textId="77777777" w:rsidR="005A7F81" w:rsidRPr="005A7F81" w:rsidRDefault="005A7F81" w:rsidP="005A7F81">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legal compliance, </w:t>
      </w:r>
    </w:p>
    <w:p w14:paraId="1F3F6B7E" w14:textId="77777777" w:rsidR="005A7F81" w:rsidRPr="005A7F81" w:rsidRDefault="005A7F81" w:rsidP="005A7F81">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operational efficiency, </w:t>
      </w:r>
    </w:p>
    <w:p w14:paraId="5F0B7718" w14:textId="77777777" w:rsidR="005A7F81" w:rsidRPr="005A7F81" w:rsidRDefault="005A7F81" w:rsidP="005A7F81">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technical reliability, </w:t>
      </w:r>
    </w:p>
    <w:p w14:paraId="55E4C802" w14:textId="77777777" w:rsidR="005A7F81" w:rsidRPr="005A7F81" w:rsidRDefault="005A7F81" w:rsidP="005A7F81">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procurement constraints, </w:t>
      </w:r>
    </w:p>
    <w:p w14:paraId="44D9CAF8" w14:textId="77777777" w:rsidR="005A7F81" w:rsidRPr="005A7F81" w:rsidRDefault="005A7F81" w:rsidP="005A7F81">
      <w:pPr>
        <w:numPr>
          <w:ilvl w:val="0"/>
          <w:numId w:val="34"/>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and user experience differently. </w:t>
      </w:r>
    </w:p>
    <w:p w14:paraId="724C688D"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As a result, effective analysis required understanding relationships between systems rather than treating issues independently.</w:t>
      </w:r>
    </w:p>
    <w:p w14:paraId="7853EEF7"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complexity of these environments also reinforced the importance of reflective and adaptive learning. Government projects frequently operate under conditions of uncertainty where:</w:t>
      </w:r>
    </w:p>
    <w:p w14:paraId="470382C6" w14:textId="77777777" w:rsidR="005A7F81" w:rsidRPr="005A7F81" w:rsidRDefault="005A7F81" w:rsidP="005A7F81">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requirements evolve, </w:t>
      </w:r>
    </w:p>
    <w:p w14:paraId="6CBCC84F" w14:textId="77777777" w:rsidR="005A7F81" w:rsidRPr="005A7F81" w:rsidRDefault="005A7F81" w:rsidP="005A7F81">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political priorities shift, </w:t>
      </w:r>
    </w:p>
    <w:p w14:paraId="215D6B7F" w14:textId="77777777" w:rsidR="005A7F81" w:rsidRPr="005A7F81" w:rsidRDefault="005A7F81" w:rsidP="005A7F81">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stakeholder expectations change, </w:t>
      </w:r>
    </w:p>
    <w:p w14:paraId="17F1B717" w14:textId="77777777" w:rsidR="005A7F81" w:rsidRPr="005A7F81" w:rsidRDefault="005A7F81" w:rsidP="005A7F81">
      <w:pPr>
        <w:numPr>
          <w:ilvl w:val="0"/>
          <w:numId w:val="35"/>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 xml:space="preserve">and operational realities challenge planned delivery assumptions. </w:t>
      </w:r>
    </w:p>
    <w:p w14:paraId="2F099991"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Jeong et al. (2018) argue that informal learning often emerges most strongly within uncertain and rapidly changing professional environments. This perspective strongly reflects my own learning experiences. Many of my most significant professional insights emerged not during stable delivery periods but during moments of ambiguity, conflict, organisational tension, or strategic uncertainty.</w:t>
      </w:r>
    </w:p>
    <w:p w14:paraId="3F5DF5B8" w14:textId="01C655DA"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Learning therefore became increasingly iterative and reflective. Rather than viewing expertise as possessing definitive answers, I increasingly understood professional capability as the ability to navigate complexity, facilitate shared understanding, and adapt knowledge appropriately within evolving contexts.</w:t>
      </w:r>
    </w:p>
    <w:p w14:paraId="12A86418" w14:textId="53288C1D" w:rsidR="005A7F81" w:rsidRPr="00E9676D" w:rsidRDefault="00E9676D" w:rsidP="00E9676D">
      <w:pPr>
        <w:pStyle w:val="Heading1"/>
        <w:rPr>
          <w:rFonts w:ascii="Segoe UI" w:eastAsia="Times New Roman" w:hAnsi="Segoe UI" w:cs="Segoe UI"/>
          <w:b/>
          <w:bCs/>
          <w:sz w:val="36"/>
          <w:szCs w:val="36"/>
          <w:lang w:eastAsia="en-GB"/>
        </w:rPr>
      </w:pPr>
      <w:bookmarkStart w:id="15" w:name="_Toc230154461"/>
      <w:r w:rsidRPr="00E9676D">
        <w:rPr>
          <w:rFonts w:ascii="Segoe UI" w:eastAsia="Times New Roman" w:hAnsi="Segoe UI" w:cs="Segoe UI"/>
          <w:b/>
          <w:bCs/>
          <w:color w:val="000000" w:themeColor="text1"/>
          <w:sz w:val="36"/>
          <w:szCs w:val="36"/>
          <w:lang w:eastAsia="en-GB"/>
        </w:rPr>
        <w:t>Conclusion (</w:t>
      </w:r>
      <w:r w:rsidR="005A7F81" w:rsidRPr="00E9676D">
        <w:rPr>
          <w:rFonts w:ascii="Segoe UI" w:eastAsia="Times New Roman" w:hAnsi="Segoe UI" w:cs="Segoe UI"/>
          <w:b/>
          <w:bCs/>
          <w:color w:val="000000" w:themeColor="text1"/>
          <w:sz w:val="36"/>
          <w:szCs w:val="36"/>
          <w:lang w:eastAsia="en-GB"/>
        </w:rPr>
        <w:t>Professional Learning and Emerging Doctoral Identity</w:t>
      </w:r>
      <w:r w:rsidRPr="00E9676D">
        <w:rPr>
          <w:rFonts w:ascii="Segoe UI" w:eastAsia="Times New Roman" w:hAnsi="Segoe UI" w:cs="Segoe UI"/>
          <w:b/>
          <w:bCs/>
          <w:color w:val="000000" w:themeColor="text1"/>
          <w:sz w:val="36"/>
          <w:szCs w:val="36"/>
          <w:lang w:eastAsia="en-GB"/>
        </w:rPr>
        <w:t>)</w:t>
      </w:r>
      <w:bookmarkEnd w:id="15"/>
    </w:p>
    <w:p w14:paraId="6114B4CC"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Reflecting upon my professional journey, I increasingly see my learning as moving towards an integrated socio-technical and systems-oriented professional identity. My practice no longer sits exclusively within software engineering, business analysis, or digital transformation individually. Instead, it exists at the intersection of organisational learning, systems thinking, technology, governance, and professional practice.</w:t>
      </w:r>
    </w:p>
    <w:p w14:paraId="7268EC45" w14:textId="60105364"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This evolution also connects strongly to my emerging doctoral interests. Increasingly, I am interested in workplace research, organisational learning, systems thinking, and how professional knowledge develops within complex public-sector transformation environments. Many of the tensions I experienced throughout projects - particularly around tacit knowledge, codification, organisational trust, and digital transformation - raise important questions for future inquiry.</w:t>
      </w:r>
    </w:p>
    <w:p w14:paraId="3E3CFE10" w14:textId="77777777" w:rsidR="005A7F81" w:rsidRPr="005A7F81" w:rsidRDefault="005A7F81" w:rsidP="005A7F81">
      <w:p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The integration of formal learning, informal learning, reflective practice, tacit knowledge, and transdisciplinary systems thinking has therefore become central to both my professional identity and future academic direction.</w:t>
      </w:r>
    </w:p>
    <w:p w14:paraId="44EB9456" w14:textId="77777777" w:rsidR="005A7F81" w:rsidRPr="00E9676D" w:rsidRDefault="005A7F81" w:rsidP="00E9676D">
      <w:pPr>
        <w:pStyle w:val="Heading1"/>
        <w:rPr>
          <w:rFonts w:ascii="Segoe UI" w:eastAsia="Times New Roman" w:hAnsi="Segoe UI" w:cs="Segoe UI"/>
          <w:sz w:val="36"/>
          <w:szCs w:val="36"/>
          <w:lang w:eastAsia="en-GB"/>
        </w:rPr>
      </w:pPr>
      <w:bookmarkStart w:id="16" w:name="_Toc230154462"/>
      <w:r w:rsidRPr="00E9676D">
        <w:rPr>
          <w:rFonts w:ascii="Segoe UI" w:eastAsia="Times New Roman" w:hAnsi="Segoe UI" w:cs="Segoe UI"/>
          <w:sz w:val="36"/>
          <w:szCs w:val="36"/>
          <w:lang w:eastAsia="en-GB"/>
        </w:rPr>
        <w:t>References</w:t>
      </w:r>
      <w:bookmarkEnd w:id="16"/>
    </w:p>
    <w:p w14:paraId="1CA68FFF" w14:textId="77777777" w:rsidR="005A7F81" w:rsidRPr="005A7F81" w:rsidRDefault="005A7F81" w:rsidP="005A7F81">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Jeong, S., Han, S.J., Lee, J., </w:t>
      </w:r>
      <w:proofErr w:type="spellStart"/>
      <w:r w:rsidRPr="005A7F81">
        <w:rPr>
          <w:rFonts w:ascii="Segoe UI" w:eastAsia="Times New Roman" w:hAnsi="Segoe UI" w:cs="Segoe UI"/>
          <w:kern w:val="0"/>
          <w:lang w:eastAsia="en-GB"/>
          <w14:ligatures w14:val="none"/>
        </w:rPr>
        <w:t>Sunalai</w:t>
      </w:r>
      <w:proofErr w:type="spellEnd"/>
      <w:r w:rsidRPr="005A7F81">
        <w:rPr>
          <w:rFonts w:ascii="Segoe UI" w:eastAsia="Times New Roman" w:hAnsi="Segoe UI" w:cs="Segoe UI"/>
          <w:kern w:val="0"/>
          <w:lang w:eastAsia="en-GB"/>
          <w14:ligatures w14:val="none"/>
        </w:rPr>
        <w:t xml:space="preserve">, S. and Yoon, S.W. (2018) ‘Integrative Literature Review on Informal Learning: Antecedents, Conceptualizations, and Future Directions’, </w:t>
      </w:r>
      <w:r w:rsidRPr="005A7F81">
        <w:rPr>
          <w:rFonts w:ascii="Segoe UI" w:eastAsia="Times New Roman" w:hAnsi="Segoe UI" w:cs="Segoe UI"/>
          <w:i/>
          <w:iCs/>
          <w:kern w:val="0"/>
          <w:lang w:eastAsia="en-GB"/>
          <w14:ligatures w14:val="none"/>
        </w:rPr>
        <w:t>Human Resource Development Review</w:t>
      </w:r>
      <w:r w:rsidRPr="005A7F81">
        <w:rPr>
          <w:rFonts w:ascii="Segoe UI" w:eastAsia="Times New Roman" w:hAnsi="Segoe UI" w:cs="Segoe UI"/>
          <w:kern w:val="0"/>
          <w:lang w:eastAsia="en-GB"/>
          <w14:ligatures w14:val="none"/>
        </w:rPr>
        <w:t xml:space="preserve">, 17(2), pp. 128–152. </w:t>
      </w:r>
    </w:p>
    <w:p w14:paraId="3CEEDA91" w14:textId="77777777" w:rsidR="005A7F81" w:rsidRPr="005A7F81" w:rsidRDefault="005A7F81" w:rsidP="005A7F81">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Nicolescu, B. (2002) </w:t>
      </w:r>
      <w:r w:rsidRPr="005A7F81">
        <w:rPr>
          <w:rFonts w:ascii="Segoe UI" w:eastAsia="Times New Roman" w:hAnsi="Segoe UI" w:cs="Segoe UI"/>
          <w:i/>
          <w:iCs/>
          <w:kern w:val="0"/>
          <w:lang w:eastAsia="en-GB"/>
          <w14:ligatures w14:val="none"/>
        </w:rPr>
        <w:t xml:space="preserve">Manifesto of </w:t>
      </w:r>
      <w:proofErr w:type="spellStart"/>
      <w:r w:rsidRPr="005A7F81">
        <w:rPr>
          <w:rFonts w:ascii="Segoe UI" w:eastAsia="Times New Roman" w:hAnsi="Segoe UI" w:cs="Segoe UI"/>
          <w:i/>
          <w:iCs/>
          <w:kern w:val="0"/>
          <w:lang w:eastAsia="en-GB"/>
          <w14:ligatures w14:val="none"/>
        </w:rPr>
        <w:t>Transdisciplinarity</w:t>
      </w:r>
      <w:proofErr w:type="spellEnd"/>
      <w:r w:rsidRPr="005A7F81">
        <w:rPr>
          <w:rFonts w:ascii="Segoe UI" w:eastAsia="Times New Roman" w:hAnsi="Segoe UI" w:cs="Segoe UI"/>
          <w:kern w:val="0"/>
          <w:lang w:eastAsia="en-GB"/>
          <w14:ligatures w14:val="none"/>
        </w:rPr>
        <w:t xml:space="preserve">. New York: SUNY Press. </w:t>
      </w:r>
    </w:p>
    <w:p w14:paraId="3243B79B" w14:textId="77777777" w:rsidR="005A7F81" w:rsidRPr="005A7F81" w:rsidRDefault="005A7F81" w:rsidP="005A7F81">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Polanyi, M. (1966) </w:t>
      </w:r>
      <w:r w:rsidRPr="005A7F81">
        <w:rPr>
          <w:rFonts w:ascii="Segoe UI" w:eastAsia="Times New Roman" w:hAnsi="Segoe UI" w:cs="Segoe UI"/>
          <w:i/>
          <w:iCs/>
          <w:kern w:val="0"/>
          <w:lang w:eastAsia="en-GB"/>
          <w14:ligatures w14:val="none"/>
        </w:rPr>
        <w:t>The Tacit Dimension</w:t>
      </w:r>
      <w:r w:rsidRPr="005A7F81">
        <w:rPr>
          <w:rFonts w:ascii="Segoe UI" w:eastAsia="Times New Roman" w:hAnsi="Segoe UI" w:cs="Segoe UI"/>
          <w:kern w:val="0"/>
          <w:lang w:eastAsia="en-GB"/>
          <w14:ligatures w14:val="none"/>
        </w:rPr>
        <w:t xml:space="preserve">. London: Routledge. </w:t>
      </w:r>
    </w:p>
    <w:p w14:paraId="6AE7815C" w14:textId="77777777" w:rsidR="005A7F81" w:rsidRPr="005A7F81" w:rsidRDefault="005A7F81" w:rsidP="005A7F81">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lastRenderedPageBreak/>
        <w:t xml:space="preserve">Senge, P. (1990) </w:t>
      </w:r>
      <w:r w:rsidRPr="005A7F81">
        <w:rPr>
          <w:rFonts w:ascii="Segoe UI" w:eastAsia="Times New Roman" w:hAnsi="Segoe UI" w:cs="Segoe UI"/>
          <w:i/>
          <w:iCs/>
          <w:kern w:val="0"/>
          <w:lang w:eastAsia="en-GB"/>
          <w14:ligatures w14:val="none"/>
        </w:rPr>
        <w:t>The Fifth Discipline: The Art and Practice of the Learning Organization</w:t>
      </w:r>
      <w:r w:rsidRPr="005A7F81">
        <w:rPr>
          <w:rFonts w:ascii="Segoe UI" w:eastAsia="Times New Roman" w:hAnsi="Segoe UI" w:cs="Segoe UI"/>
          <w:kern w:val="0"/>
          <w:lang w:eastAsia="en-GB"/>
          <w14:ligatures w14:val="none"/>
        </w:rPr>
        <w:t xml:space="preserve">. New York: Doubleday. </w:t>
      </w:r>
    </w:p>
    <w:p w14:paraId="4E5A8E46" w14:textId="77777777" w:rsidR="005A7F81" w:rsidRPr="005A7F81" w:rsidRDefault="005A7F81" w:rsidP="005A7F81">
      <w:pPr>
        <w:numPr>
          <w:ilvl w:val="0"/>
          <w:numId w:val="36"/>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Wenger, E. (2000) ‘Communities of Practice and Social Learning Systems’, </w:t>
      </w:r>
      <w:r w:rsidRPr="005A7F81">
        <w:rPr>
          <w:rFonts w:ascii="Segoe UI" w:eastAsia="Times New Roman" w:hAnsi="Segoe UI" w:cs="Segoe UI"/>
          <w:i/>
          <w:iCs/>
          <w:kern w:val="0"/>
          <w:lang w:eastAsia="en-GB"/>
          <w14:ligatures w14:val="none"/>
        </w:rPr>
        <w:t>Organization</w:t>
      </w:r>
      <w:r w:rsidRPr="005A7F81">
        <w:rPr>
          <w:rFonts w:ascii="Segoe UI" w:eastAsia="Times New Roman" w:hAnsi="Segoe UI" w:cs="Segoe UI"/>
          <w:kern w:val="0"/>
          <w:lang w:eastAsia="en-GB"/>
          <w14:ligatures w14:val="none"/>
        </w:rPr>
        <w:t xml:space="preserve">, 7(2), pp. 225–246. </w:t>
      </w:r>
    </w:p>
    <w:p w14:paraId="64712BA1" w14:textId="77777777" w:rsidR="005A7F81" w:rsidRPr="005A7F81" w:rsidRDefault="005A7F81" w:rsidP="005A7F81">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Eraut, M. (2004) ‘Informal Learning in the Workplace’, </w:t>
      </w:r>
      <w:r w:rsidRPr="005A7F81">
        <w:rPr>
          <w:rFonts w:ascii="Segoe UI" w:eastAsia="Times New Roman" w:hAnsi="Segoe UI" w:cs="Segoe UI"/>
          <w:i/>
          <w:iCs/>
          <w:kern w:val="0"/>
          <w:lang w:eastAsia="en-GB"/>
          <w14:ligatures w14:val="none"/>
        </w:rPr>
        <w:t>Studies in Continuing Education</w:t>
      </w:r>
      <w:r w:rsidRPr="005A7F81">
        <w:rPr>
          <w:rFonts w:ascii="Segoe UI" w:eastAsia="Times New Roman" w:hAnsi="Segoe UI" w:cs="Segoe UI"/>
          <w:kern w:val="0"/>
          <w:lang w:eastAsia="en-GB"/>
          <w14:ligatures w14:val="none"/>
        </w:rPr>
        <w:t xml:space="preserve">, 26(2), pp. 247–273. </w:t>
      </w:r>
    </w:p>
    <w:p w14:paraId="64A3B5B9" w14:textId="77777777" w:rsidR="005A7F81" w:rsidRPr="005A7F81" w:rsidRDefault="005A7F81" w:rsidP="005A7F81">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Fernandez, N., Cyr, J., Perreault, I. and Brault, I. (2020) ‘Revealing Tacit Knowledge Used by Experienced Health Professionals for Interprofessional Collaboration’, </w:t>
      </w:r>
      <w:r w:rsidRPr="005A7F81">
        <w:rPr>
          <w:rFonts w:ascii="Segoe UI" w:eastAsia="Times New Roman" w:hAnsi="Segoe UI" w:cs="Segoe UI"/>
          <w:i/>
          <w:iCs/>
          <w:kern w:val="0"/>
          <w:lang w:eastAsia="en-GB"/>
          <w14:ligatures w14:val="none"/>
        </w:rPr>
        <w:t>Journal of Interprofessional Care</w:t>
      </w:r>
      <w:r w:rsidRPr="005A7F81">
        <w:rPr>
          <w:rFonts w:ascii="Segoe UI" w:eastAsia="Times New Roman" w:hAnsi="Segoe UI" w:cs="Segoe UI"/>
          <w:kern w:val="0"/>
          <w:lang w:eastAsia="en-GB"/>
          <w14:ligatures w14:val="none"/>
        </w:rPr>
        <w:t xml:space="preserve">, 34(4), pp. 537–544. </w:t>
      </w:r>
    </w:p>
    <w:p w14:paraId="777F6C2B" w14:textId="77777777" w:rsidR="005A7F81" w:rsidRPr="005A7F81" w:rsidRDefault="005A7F81" w:rsidP="005A7F81">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Polanyi, M. (1966) </w:t>
      </w:r>
      <w:r w:rsidRPr="005A7F81">
        <w:rPr>
          <w:rFonts w:ascii="Segoe UI" w:eastAsia="Times New Roman" w:hAnsi="Segoe UI" w:cs="Segoe UI"/>
          <w:i/>
          <w:iCs/>
          <w:kern w:val="0"/>
          <w:lang w:eastAsia="en-GB"/>
          <w14:ligatures w14:val="none"/>
        </w:rPr>
        <w:t>The Tacit Dimension</w:t>
      </w:r>
      <w:r w:rsidRPr="005A7F81">
        <w:rPr>
          <w:rFonts w:ascii="Segoe UI" w:eastAsia="Times New Roman" w:hAnsi="Segoe UI" w:cs="Segoe UI"/>
          <w:kern w:val="0"/>
          <w:lang w:eastAsia="en-GB"/>
          <w14:ligatures w14:val="none"/>
        </w:rPr>
        <w:t xml:space="preserve">. London: Routledge. </w:t>
      </w:r>
    </w:p>
    <w:p w14:paraId="6E65B863" w14:textId="77777777" w:rsidR="005A7F81" w:rsidRPr="005A7F81" w:rsidRDefault="005A7F81" w:rsidP="005A7F81">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Schön, D.A. (1983) </w:t>
      </w:r>
      <w:r w:rsidRPr="005A7F81">
        <w:rPr>
          <w:rFonts w:ascii="Segoe UI" w:eastAsia="Times New Roman" w:hAnsi="Segoe UI" w:cs="Segoe UI"/>
          <w:i/>
          <w:iCs/>
          <w:kern w:val="0"/>
          <w:lang w:eastAsia="en-GB"/>
          <w14:ligatures w14:val="none"/>
        </w:rPr>
        <w:t>The Reflective Practitioner: How Professionals Think in Action</w:t>
      </w:r>
      <w:r w:rsidRPr="005A7F81">
        <w:rPr>
          <w:rFonts w:ascii="Segoe UI" w:eastAsia="Times New Roman" w:hAnsi="Segoe UI" w:cs="Segoe UI"/>
          <w:kern w:val="0"/>
          <w:lang w:eastAsia="en-GB"/>
          <w14:ligatures w14:val="none"/>
        </w:rPr>
        <w:t xml:space="preserve">. New York: Basic Books. </w:t>
      </w:r>
    </w:p>
    <w:p w14:paraId="4F5F9717" w14:textId="77777777" w:rsidR="005A7F81" w:rsidRPr="005A7F81" w:rsidRDefault="005A7F81" w:rsidP="005A7F81">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Senge, P. (1990) </w:t>
      </w:r>
      <w:r w:rsidRPr="005A7F81">
        <w:rPr>
          <w:rFonts w:ascii="Segoe UI" w:eastAsia="Times New Roman" w:hAnsi="Segoe UI" w:cs="Segoe UI"/>
          <w:i/>
          <w:iCs/>
          <w:kern w:val="0"/>
          <w:lang w:eastAsia="en-GB"/>
          <w14:ligatures w14:val="none"/>
        </w:rPr>
        <w:t>The Fifth Discipline: The Art and Practice of the Learning Organization</w:t>
      </w:r>
      <w:r w:rsidRPr="005A7F81">
        <w:rPr>
          <w:rFonts w:ascii="Segoe UI" w:eastAsia="Times New Roman" w:hAnsi="Segoe UI" w:cs="Segoe UI"/>
          <w:kern w:val="0"/>
          <w:lang w:eastAsia="en-GB"/>
          <w14:ligatures w14:val="none"/>
        </w:rPr>
        <w:t xml:space="preserve">. New York: Doubleday. </w:t>
      </w:r>
    </w:p>
    <w:p w14:paraId="21342134" w14:textId="77777777" w:rsidR="005A7F81" w:rsidRPr="005A7F81" w:rsidRDefault="005A7F81" w:rsidP="005A7F81">
      <w:pPr>
        <w:numPr>
          <w:ilvl w:val="0"/>
          <w:numId w:val="30"/>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Wenger, E.C. and Snyder, W.M. (2000) ‘Communities of Practice: The Organizational Frontier’, </w:t>
      </w:r>
      <w:r w:rsidRPr="005A7F81">
        <w:rPr>
          <w:rFonts w:ascii="Segoe UI" w:eastAsia="Times New Roman" w:hAnsi="Segoe UI" w:cs="Segoe UI"/>
          <w:i/>
          <w:iCs/>
          <w:kern w:val="0"/>
          <w:lang w:eastAsia="en-GB"/>
          <w14:ligatures w14:val="none"/>
        </w:rPr>
        <w:t>Harvard Business Review</w:t>
      </w:r>
      <w:r w:rsidRPr="005A7F81">
        <w:rPr>
          <w:rFonts w:ascii="Segoe UI" w:eastAsia="Times New Roman" w:hAnsi="Segoe UI" w:cs="Segoe UI"/>
          <w:kern w:val="0"/>
          <w:lang w:eastAsia="en-GB"/>
          <w14:ligatures w14:val="none"/>
        </w:rPr>
        <w:t xml:space="preserve">, 78(1), pp. 139–145. </w:t>
      </w:r>
    </w:p>
    <w:p w14:paraId="0EEAEED0" w14:textId="77777777" w:rsidR="005A7F81" w:rsidRPr="005A7F81" w:rsidRDefault="005A7F81" w:rsidP="005A7F81">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Hase, S. and Kenyon, C. (2000) ‘From Andragogy to Heutagogy’, </w:t>
      </w:r>
      <w:proofErr w:type="spellStart"/>
      <w:r w:rsidRPr="005A7F81">
        <w:rPr>
          <w:rFonts w:ascii="Segoe UI" w:eastAsia="Times New Roman" w:hAnsi="Segoe UI" w:cs="Segoe UI"/>
          <w:i/>
          <w:iCs/>
          <w:kern w:val="0"/>
          <w:lang w:eastAsia="en-GB"/>
          <w14:ligatures w14:val="none"/>
        </w:rPr>
        <w:t>Ultibase</w:t>
      </w:r>
      <w:proofErr w:type="spellEnd"/>
      <w:r w:rsidRPr="005A7F81">
        <w:rPr>
          <w:rFonts w:ascii="Segoe UI" w:eastAsia="Times New Roman" w:hAnsi="Segoe UI" w:cs="Segoe UI"/>
          <w:i/>
          <w:iCs/>
          <w:kern w:val="0"/>
          <w:lang w:eastAsia="en-GB"/>
          <w14:ligatures w14:val="none"/>
        </w:rPr>
        <w:t xml:space="preserve"> Articles</w:t>
      </w:r>
      <w:r w:rsidRPr="005A7F81">
        <w:rPr>
          <w:rFonts w:ascii="Segoe UI" w:eastAsia="Times New Roman" w:hAnsi="Segoe UI" w:cs="Segoe UI"/>
          <w:kern w:val="0"/>
          <w:lang w:eastAsia="en-GB"/>
          <w14:ligatures w14:val="none"/>
        </w:rPr>
        <w:t xml:space="preserve">, 5(3), pp. 1–10. </w:t>
      </w:r>
    </w:p>
    <w:p w14:paraId="65D8643F" w14:textId="77777777" w:rsidR="005A7F81" w:rsidRPr="005A7F81" w:rsidRDefault="005A7F81" w:rsidP="005A7F81">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Kolb, D.A. (1984) </w:t>
      </w:r>
      <w:r w:rsidRPr="005A7F81">
        <w:rPr>
          <w:rFonts w:ascii="Segoe UI" w:eastAsia="Times New Roman" w:hAnsi="Segoe UI" w:cs="Segoe UI"/>
          <w:i/>
          <w:iCs/>
          <w:kern w:val="0"/>
          <w:lang w:eastAsia="en-GB"/>
          <w14:ligatures w14:val="none"/>
        </w:rPr>
        <w:t>Experiential Learning: Experience as the Source of Learning and Development</w:t>
      </w:r>
      <w:r w:rsidRPr="005A7F81">
        <w:rPr>
          <w:rFonts w:ascii="Segoe UI" w:eastAsia="Times New Roman" w:hAnsi="Segoe UI" w:cs="Segoe UI"/>
          <w:kern w:val="0"/>
          <w:lang w:eastAsia="en-GB"/>
          <w14:ligatures w14:val="none"/>
        </w:rPr>
        <w:t xml:space="preserve">. Englewood Cliffs, NJ: Prentice Hall. </w:t>
      </w:r>
    </w:p>
    <w:p w14:paraId="398AB80D" w14:textId="77777777" w:rsidR="005A7F81" w:rsidRPr="005A7F81" w:rsidRDefault="005A7F81" w:rsidP="005A7F81">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proofErr w:type="spellStart"/>
      <w:r w:rsidRPr="005A7F81">
        <w:rPr>
          <w:rFonts w:ascii="Segoe UI" w:eastAsia="Times New Roman" w:hAnsi="Segoe UI" w:cs="Segoe UI"/>
          <w:kern w:val="0"/>
          <w:lang w:eastAsia="en-GB"/>
          <w14:ligatures w14:val="none"/>
        </w:rPr>
        <w:t>Manuti</w:t>
      </w:r>
      <w:proofErr w:type="spellEnd"/>
      <w:r w:rsidRPr="005A7F81">
        <w:rPr>
          <w:rFonts w:ascii="Segoe UI" w:eastAsia="Times New Roman" w:hAnsi="Segoe UI" w:cs="Segoe UI"/>
          <w:kern w:val="0"/>
          <w:lang w:eastAsia="en-GB"/>
          <w14:ligatures w14:val="none"/>
        </w:rPr>
        <w:t xml:space="preserve">, A., Pastore, S., Scardigno, A.F., Giancaspro, M.L. and Morciano, D. (2015) ‘Formal and Informal Learning in the Workplace: A Research Review’, </w:t>
      </w:r>
      <w:r w:rsidRPr="005A7F81">
        <w:rPr>
          <w:rFonts w:ascii="Segoe UI" w:eastAsia="Times New Roman" w:hAnsi="Segoe UI" w:cs="Segoe UI"/>
          <w:i/>
          <w:iCs/>
          <w:kern w:val="0"/>
          <w:lang w:eastAsia="en-GB"/>
          <w14:ligatures w14:val="none"/>
        </w:rPr>
        <w:t>International Journal of Training and Development</w:t>
      </w:r>
      <w:r w:rsidRPr="005A7F81">
        <w:rPr>
          <w:rFonts w:ascii="Segoe UI" w:eastAsia="Times New Roman" w:hAnsi="Segoe UI" w:cs="Segoe UI"/>
          <w:kern w:val="0"/>
          <w:lang w:eastAsia="en-GB"/>
          <w14:ligatures w14:val="none"/>
        </w:rPr>
        <w:t xml:space="preserve">, 19(1), pp. 1–17. </w:t>
      </w:r>
    </w:p>
    <w:p w14:paraId="19C3AB88" w14:textId="77777777" w:rsidR="005A7F81" w:rsidRPr="005A7F81" w:rsidRDefault="005A7F81" w:rsidP="005A7F81">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Schön, D.A. (1983) </w:t>
      </w:r>
      <w:r w:rsidRPr="005A7F81">
        <w:rPr>
          <w:rFonts w:ascii="Segoe UI" w:eastAsia="Times New Roman" w:hAnsi="Segoe UI" w:cs="Segoe UI"/>
          <w:i/>
          <w:iCs/>
          <w:kern w:val="0"/>
          <w:lang w:eastAsia="en-GB"/>
          <w14:ligatures w14:val="none"/>
        </w:rPr>
        <w:t>The Reflective Practitioner: How Professionals Think in Action</w:t>
      </w:r>
      <w:r w:rsidRPr="005A7F81">
        <w:rPr>
          <w:rFonts w:ascii="Segoe UI" w:eastAsia="Times New Roman" w:hAnsi="Segoe UI" w:cs="Segoe UI"/>
          <w:kern w:val="0"/>
          <w:lang w:eastAsia="en-GB"/>
          <w14:ligatures w14:val="none"/>
        </w:rPr>
        <w:t xml:space="preserve">. New York: Basic Books. </w:t>
      </w:r>
    </w:p>
    <w:p w14:paraId="02984DF6" w14:textId="77777777" w:rsidR="005A7F81" w:rsidRPr="005A7F81" w:rsidRDefault="005A7F81" w:rsidP="005A7F81">
      <w:pPr>
        <w:numPr>
          <w:ilvl w:val="0"/>
          <w:numId w:val="28"/>
        </w:numPr>
        <w:spacing w:before="100" w:beforeAutospacing="1" w:after="100" w:afterAutospacing="1" w:line="240" w:lineRule="auto"/>
        <w:rPr>
          <w:rFonts w:ascii="Segoe UI" w:eastAsia="Times New Roman" w:hAnsi="Segoe UI" w:cs="Segoe UI"/>
          <w:kern w:val="0"/>
          <w:lang w:eastAsia="en-GB"/>
          <w14:ligatures w14:val="none"/>
        </w:rPr>
      </w:pPr>
      <w:r w:rsidRPr="005A7F81">
        <w:rPr>
          <w:rFonts w:ascii="Segoe UI" w:eastAsia="Times New Roman" w:hAnsi="Segoe UI" w:cs="Segoe UI"/>
          <w:kern w:val="0"/>
          <w:lang w:eastAsia="en-GB"/>
          <w14:ligatures w14:val="none"/>
        </w:rPr>
        <w:t xml:space="preserve">Wenger, E. (2000) ‘Communities of Practice and Social Learning Systems’, </w:t>
      </w:r>
      <w:r w:rsidRPr="005A7F81">
        <w:rPr>
          <w:rFonts w:ascii="Segoe UI" w:eastAsia="Times New Roman" w:hAnsi="Segoe UI" w:cs="Segoe UI"/>
          <w:i/>
          <w:iCs/>
          <w:kern w:val="0"/>
          <w:lang w:eastAsia="en-GB"/>
          <w14:ligatures w14:val="none"/>
        </w:rPr>
        <w:t>Organization</w:t>
      </w:r>
      <w:r w:rsidRPr="005A7F81">
        <w:rPr>
          <w:rFonts w:ascii="Segoe UI" w:eastAsia="Times New Roman" w:hAnsi="Segoe UI" w:cs="Segoe UI"/>
          <w:kern w:val="0"/>
          <w:lang w:eastAsia="en-GB"/>
          <w14:ligatures w14:val="none"/>
        </w:rPr>
        <w:t>, 7(2), pp. 225–246.</w:t>
      </w:r>
    </w:p>
    <w:p w14:paraId="17C8B257" w14:textId="77777777" w:rsidR="00FF649E" w:rsidRPr="005A7F81" w:rsidRDefault="00FF649E" w:rsidP="00A329F1">
      <w:pPr>
        <w:spacing w:line="276" w:lineRule="auto"/>
        <w:rPr>
          <w:rFonts w:ascii="Segoe UI" w:hAnsi="Segoe UI" w:cs="Segoe UI"/>
        </w:rPr>
      </w:pPr>
    </w:p>
    <w:sectPr w:rsidR="00FF649E" w:rsidRPr="005A7F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E5548"/>
    <w:multiLevelType w:val="multilevel"/>
    <w:tmpl w:val="FCC4B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4F4B"/>
    <w:multiLevelType w:val="multilevel"/>
    <w:tmpl w:val="55A2A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DA79FA"/>
    <w:multiLevelType w:val="multilevel"/>
    <w:tmpl w:val="7D4C2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35707"/>
    <w:multiLevelType w:val="hybridMultilevel"/>
    <w:tmpl w:val="CD98E07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4" w15:restartNumberingAfterBreak="0">
    <w:nsid w:val="0EB859C0"/>
    <w:multiLevelType w:val="multilevel"/>
    <w:tmpl w:val="D864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07B79"/>
    <w:multiLevelType w:val="multilevel"/>
    <w:tmpl w:val="564AE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AB5DEA"/>
    <w:multiLevelType w:val="hybridMultilevel"/>
    <w:tmpl w:val="4D2A9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BB78C8"/>
    <w:multiLevelType w:val="multilevel"/>
    <w:tmpl w:val="A484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5956AA"/>
    <w:multiLevelType w:val="multilevel"/>
    <w:tmpl w:val="1C18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251060"/>
    <w:multiLevelType w:val="multilevel"/>
    <w:tmpl w:val="D7E29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0974E1"/>
    <w:multiLevelType w:val="multilevel"/>
    <w:tmpl w:val="58F8B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D14D54"/>
    <w:multiLevelType w:val="multilevel"/>
    <w:tmpl w:val="8712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E6492C"/>
    <w:multiLevelType w:val="multilevel"/>
    <w:tmpl w:val="E40AE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B36EC5"/>
    <w:multiLevelType w:val="multilevel"/>
    <w:tmpl w:val="736A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F55384"/>
    <w:multiLevelType w:val="multilevel"/>
    <w:tmpl w:val="75D29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882B8A"/>
    <w:multiLevelType w:val="multilevel"/>
    <w:tmpl w:val="FBBC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0C10FF"/>
    <w:multiLevelType w:val="multilevel"/>
    <w:tmpl w:val="4F68A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3D54EE"/>
    <w:multiLevelType w:val="multilevel"/>
    <w:tmpl w:val="068C6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5D3DC2"/>
    <w:multiLevelType w:val="multilevel"/>
    <w:tmpl w:val="0D18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9C3967"/>
    <w:multiLevelType w:val="multilevel"/>
    <w:tmpl w:val="B4EE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E3042D"/>
    <w:multiLevelType w:val="multilevel"/>
    <w:tmpl w:val="D1FA0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D54B38"/>
    <w:multiLevelType w:val="multilevel"/>
    <w:tmpl w:val="BFF22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E76D91"/>
    <w:multiLevelType w:val="multilevel"/>
    <w:tmpl w:val="3F74A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A143A5"/>
    <w:multiLevelType w:val="multilevel"/>
    <w:tmpl w:val="BA06F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2A3AFA"/>
    <w:multiLevelType w:val="multilevel"/>
    <w:tmpl w:val="8DCE9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177B24"/>
    <w:multiLevelType w:val="multilevel"/>
    <w:tmpl w:val="DAB62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B12DF2"/>
    <w:multiLevelType w:val="multilevel"/>
    <w:tmpl w:val="9A82D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A07BC0"/>
    <w:multiLevelType w:val="multilevel"/>
    <w:tmpl w:val="7D1C2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8D733B"/>
    <w:multiLevelType w:val="multilevel"/>
    <w:tmpl w:val="E0E2E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621FB9"/>
    <w:multiLevelType w:val="multilevel"/>
    <w:tmpl w:val="86AA9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831830"/>
    <w:multiLevelType w:val="multilevel"/>
    <w:tmpl w:val="182CB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AC5D36"/>
    <w:multiLevelType w:val="multilevel"/>
    <w:tmpl w:val="65D0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077333"/>
    <w:multiLevelType w:val="hybridMultilevel"/>
    <w:tmpl w:val="79F4E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4A0DAD"/>
    <w:multiLevelType w:val="multilevel"/>
    <w:tmpl w:val="97205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4F5D35"/>
    <w:multiLevelType w:val="multilevel"/>
    <w:tmpl w:val="F768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F53935"/>
    <w:multiLevelType w:val="multilevel"/>
    <w:tmpl w:val="C240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5054862">
    <w:abstractNumId w:val="3"/>
  </w:num>
  <w:num w:numId="2" w16cid:durableId="1323045212">
    <w:abstractNumId w:val="16"/>
  </w:num>
  <w:num w:numId="3" w16cid:durableId="43994248">
    <w:abstractNumId w:val="17"/>
  </w:num>
  <w:num w:numId="4" w16cid:durableId="99839046">
    <w:abstractNumId w:val="6"/>
  </w:num>
  <w:num w:numId="5" w16cid:durableId="742990362">
    <w:abstractNumId w:val="11"/>
  </w:num>
  <w:num w:numId="6" w16cid:durableId="1684438005">
    <w:abstractNumId w:val="14"/>
  </w:num>
  <w:num w:numId="7" w16cid:durableId="626161681">
    <w:abstractNumId w:val="24"/>
  </w:num>
  <w:num w:numId="8" w16cid:durableId="1484736562">
    <w:abstractNumId w:val="30"/>
  </w:num>
  <w:num w:numId="9" w16cid:durableId="820541873">
    <w:abstractNumId w:val="12"/>
  </w:num>
  <w:num w:numId="10" w16cid:durableId="1484814826">
    <w:abstractNumId w:val="18"/>
  </w:num>
  <w:num w:numId="11" w16cid:durableId="1898123735">
    <w:abstractNumId w:val="26"/>
  </w:num>
  <w:num w:numId="12" w16cid:durableId="37434339">
    <w:abstractNumId w:val="5"/>
  </w:num>
  <w:num w:numId="13" w16cid:durableId="440221742">
    <w:abstractNumId w:val="32"/>
  </w:num>
  <w:num w:numId="14" w16cid:durableId="2046101868">
    <w:abstractNumId w:val="20"/>
  </w:num>
  <w:num w:numId="15" w16cid:durableId="1716201416">
    <w:abstractNumId w:val="31"/>
  </w:num>
  <w:num w:numId="16" w16cid:durableId="1585532957">
    <w:abstractNumId w:val="29"/>
  </w:num>
  <w:num w:numId="17" w16cid:durableId="1312637475">
    <w:abstractNumId w:val="22"/>
  </w:num>
  <w:num w:numId="18" w16cid:durableId="627931191">
    <w:abstractNumId w:val="2"/>
  </w:num>
  <w:num w:numId="19" w16cid:durableId="1610161861">
    <w:abstractNumId w:val="19"/>
  </w:num>
  <w:num w:numId="20" w16cid:durableId="158424724">
    <w:abstractNumId w:val="15"/>
  </w:num>
  <w:num w:numId="21" w16cid:durableId="741560172">
    <w:abstractNumId w:val="28"/>
  </w:num>
  <w:num w:numId="22" w16cid:durableId="915355664">
    <w:abstractNumId w:val="7"/>
  </w:num>
  <w:num w:numId="23" w16cid:durableId="1871526779">
    <w:abstractNumId w:val="33"/>
  </w:num>
  <w:num w:numId="24" w16cid:durableId="1027482195">
    <w:abstractNumId w:val="10"/>
  </w:num>
  <w:num w:numId="25" w16cid:durableId="623123934">
    <w:abstractNumId w:val="35"/>
  </w:num>
  <w:num w:numId="26" w16cid:durableId="848326343">
    <w:abstractNumId w:val="34"/>
  </w:num>
  <w:num w:numId="27" w16cid:durableId="1571311639">
    <w:abstractNumId w:val="9"/>
  </w:num>
  <w:num w:numId="28" w16cid:durableId="1686129020">
    <w:abstractNumId w:val="21"/>
  </w:num>
  <w:num w:numId="29" w16cid:durableId="618872809">
    <w:abstractNumId w:val="27"/>
  </w:num>
  <w:num w:numId="30" w16cid:durableId="973952329">
    <w:abstractNumId w:val="0"/>
  </w:num>
  <w:num w:numId="31" w16cid:durableId="610163971">
    <w:abstractNumId w:val="25"/>
  </w:num>
  <w:num w:numId="32" w16cid:durableId="932740695">
    <w:abstractNumId w:val="4"/>
  </w:num>
  <w:num w:numId="33" w16cid:durableId="713578545">
    <w:abstractNumId w:val="13"/>
  </w:num>
  <w:num w:numId="34" w16cid:durableId="1621497036">
    <w:abstractNumId w:val="8"/>
  </w:num>
  <w:num w:numId="35" w16cid:durableId="1747070883">
    <w:abstractNumId w:val="1"/>
  </w:num>
  <w:num w:numId="36" w16cid:durableId="3423676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49E"/>
    <w:rsid w:val="001373E3"/>
    <w:rsid w:val="00245633"/>
    <w:rsid w:val="002A4446"/>
    <w:rsid w:val="002A6708"/>
    <w:rsid w:val="002B1F42"/>
    <w:rsid w:val="003D238F"/>
    <w:rsid w:val="004B7D85"/>
    <w:rsid w:val="004F36E3"/>
    <w:rsid w:val="00532014"/>
    <w:rsid w:val="00596983"/>
    <w:rsid w:val="005A7F81"/>
    <w:rsid w:val="006B3311"/>
    <w:rsid w:val="006C22E0"/>
    <w:rsid w:val="006F23C2"/>
    <w:rsid w:val="00732673"/>
    <w:rsid w:val="00846A53"/>
    <w:rsid w:val="00974194"/>
    <w:rsid w:val="009A1751"/>
    <w:rsid w:val="00A329F1"/>
    <w:rsid w:val="00E9676D"/>
    <w:rsid w:val="00EB664C"/>
    <w:rsid w:val="00F56A98"/>
    <w:rsid w:val="00FF6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695F1"/>
  <w15:chartTrackingRefBased/>
  <w15:docId w15:val="{24EEFEFC-8091-564A-8AB7-8EDCC7A51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64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64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64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4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4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4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4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4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4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4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64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64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4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4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4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4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4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49E"/>
    <w:rPr>
      <w:rFonts w:eastAsiaTheme="majorEastAsia" w:cstheme="majorBidi"/>
      <w:color w:val="272727" w:themeColor="text1" w:themeTint="D8"/>
    </w:rPr>
  </w:style>
  <w:style w:type="paragraph" w:styleId="Title">
    <w:name w:val="Title"/>
    <w:basedOn w:val="Normal"/>
    <w:next w:val="Normal"/>
    <w:link w:val="TitleChar"/>
    <w:uiPriority w:val="10"/>
    <w:qFormat/>
    <w:rsid w:val="00FF64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4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4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4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49E"/>
    <w:pPr>
      <w:spacing w:before="160"/>
      <w:jc w:val="center"/>
    </w:pPr>
    <w:rPr>
      <w:i/>
      <w:iCs/>
      <w:color w:val="404040" w:themeColor="text1" w:themeTint="BF"/>
    </w:rPr>
  </w:style>
  <w:style w:type="character" w:customStyle="1" w:styleId="QuoteChar">
    <w:name w:val="Quote Char"/>
    <w:basedOn w:val="DefaultParagraphFont"/>
    <w:link w:val="Quote"/>
    <w:uiPriority w:val="29"/>
    <w:rsid w:val="00FF649E"/>
    <w:rPr>
      <w:i/>
      <w:iCs/>
      <w:color w:val="404040" w:themeColor="text1" w:themeTint="BF"/>
    </w:rPr>
  </w:style>
  <w:style w:type="paragraph" w:styleId="ListParagraph">
    <w:name w:val="List Paragraph"/>
    <w:basedOn w:val="Normal"/>
    <w:uiPriority w:val="34"/>
    <w:qFormat/>
    <w:rsid w:val="00FF649E"/>
    <w:pPr>
      <w:ind w:left="720"/>
      <w:contextualSpacing/>
    </w:pPr>
  </w:style>
  <w:style w:type="character" w:styleId="IntenseEmphasis">
    <w:name w:val="Intense Emphasis"/>
    <w:basedOn w:val="DefaultParagraphFont"/>
    <w:uiPriority w:val="21"/>
    <w:qFormat/>
    <w:rsid w:val="00FF649E"/>
    <w:rPr>
      <w:i/>
      <w:iCs/>
      <w:color w:val="0F4761" w:themeColor="accent1" w:themeShade="BF"/>
    </w:rPr>
  </w:style>
  <w:style w:type="paragraph" w:styleId="IntenseQuote">
    <w:name w:val="Intense Quote"/>
    <w:basedOn w:val="Normal"/>
    <w:next w:val="Normal"/>
    <w:link w:val="IntenseQuoteChar"/>
    <w:uiPriority w:val="30"/>
    <w:qFormat/>
    <w:rsid w:val="00FF64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49E"/>
    <w:rPr>
      <w:i/>
      <w:iCs/>
      <w:color w:val="0F4761" w:themeColor="accent1" w:themeShade="BF"/>
    </w:rPr>
  </w:style>
  <w:style w:type="character" w:styleId="IntenseReference">
    <w:name w:val="Intense Reference"/>
    <w:basedOn w:val="DefaultParagraphFont"/>
    <w:uiPriority w:val="32"/>
    <w:qFormat/>
    <w:rsid w:val="00FF649E"/>
    <w:rPr>
      <w:b/>
      <w:bCs/>
      <w:smallCaps/>
      <w:color w:val="0F4761" w:themeColor="accent1" w:themeShade="BF"/>
      <w:spacing w:val="5"/>
    </w:rPr>
  </w:style>
  <w:style w:type="character" w:styleId="Strong">
    <w:name w:val="Strong"/>
    <w:basedOn w:val="DefaultParagraphFont"/>
    <w:uiPriority w:val="22"/>
    <w:qFormat/>
    <w:rsid w:val="00FF649E"/>
    <w:rPr>
      <w:b/>
      <w:bCs/>
    </w:rPr>
  </w:style>
  <w:style w:type="paragraph" w:styleId="NormalWeb">
    <w:name w:val="Normal (Web)"/>
    <w:basedOn w:val="Normal"/>
    <w:uiPriority w:val="99"/>
    <w:unhideWhenUsed/>
    <w:rsid w:val="0059698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odyText">
    <w:name w:val="Body Text"/>
    <w:basedOn w:val="Normal"/>
    <w:link w:val="BodyTextChar"/>
    <w:rsid w:val="00596983"/>
    <w:pPr>
      <w:spacing w:after="180" w:line="240" w:lineRule="auto"/>
    </w:pPr>
    <w:rPr>
      <w:rFonts w:eastAsiaTheme="minorEastAsia"/>
      <w:color w:val="7F7F7F" w:themeColor="text1" w:themeTint="80"/>
      <w:kern w:val="0"/>
      <w:sz w:val="18"/>
      <w:szCs w:val="22"/>
      <w:lang w:val="en-US"/>
      <w14:ligatures w14:val="none"/>
    </w:rPr>
  </w:style>
  <w:style w:type="character" w:customStyle="1" w:styleId="BodyTextChar">
    <w:name w:val="Body Text Char"/>
    <w:basedOn w:val="DefaultParagraphFont"/>
    <w:link w:val="BodyText"/>
    <w:rsid w:val="00596983"/>
    <w:rPr>
      <w:rFonts w:eastAsiaTheme="minorEastAsia"/>
      <w:color w:val="7F7F7F" w:themeColor="text1" w:themeTint="80"/>
      <w:kern w:val="0"/>
      <w:sz w:val="18"/>
      <w:szCs w:val="22"/>
      <w:lang w:val="en-US"/>
      <w14:ligatures w14:val="none"/>
    </w:rPr>
  </w:style>
  <w:style w:type="character" w:styleId="Emphasis">
    <w:name w:val="Emphasis"/>
    <w:basedOn w:val="DefaultParagraphFont"/>
    <w:uiPriority w:val="20"/>
    <w:qFormat/>
    <w:rsid w:val="006F23C2"/>
    <w:rPr>
      <w:i/>
      <w:iCs/>
    </w:rPr>
  </w:style>
  <w:style w:type="paragraph" w:styleId="z-TopofForm">
    <w:name w:val="HTML Top of Form"/>
    <w:basedOn w:val="Normal"/>
    <w:next w:val="Normal"/>
    <w:link w:val="z-TopofFormChar"/>
    <w:hidden/>
    <w:uiPriority w:val="99"/>
    <w:semiHidden/>
    <w:unhideWhenUsed/>
    <w:rsid w:val="002A670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2A670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2A67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2A670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2A6708"/>
    <w:rPr>
      <w:rFonts w:ascii="Arial" w:eastAsia="Times New Roman" w:hAnsi="Arial" w:cs="Arial"/>
      <w:vanish/>
      <w:kern w:val="0"/>
      <w:sz w:val="16"/>
      <w:szCs w:val="16"/>
      <w:lang w:eastAsia="en-GB"/>
      <w14:ligatures w14:val="none"/>
    </w:rPr>
  </w:style>
  <w:style w:type="paragraph" w:styleId="Revision">
    <w:name w:val="Revision"/>
    <w:hidden/>
    <w:uiPriority w:val="99"/>
    <w:semiHidden/>
    <w:rsid w:val="00E9676D"/>
    <w:pPr>
      <w:spacing w:after="0" w:line="240" w:lineRule="auto"/>
    </w:pPr>
  </w:style>
  <w:style w:type="paragraph" w:styleId="TOCHeading">
    <w:name w:val="TOC Heading"/>
    <w:basedOn w:val="Heading1"/>
    <w:next w:val="Normal"/>
    <w:uiPriority w:val="39"/>
    <w:unhideWhenUsed/>
    <w:qFormat/>
    <w:rsid w:val="00532014"/>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532014"/>
    <w:pPr>
      <w:spacing w:before="120" w:after="0"/>
      <w:ind w:left="240"/>
    </w:pPr>
    <w:rPr>
      <w:b/>
      <w:bCs/>
      <w:sz w:val="22"/>
      <w:szCs w:val="22"/>
    </w:rPr>
  </w:style>
  <w:style w:type="paragraph" w:styleId="TOC3">
    <w:name w:val="toc 3"/>
    <w:basedOn w:val="Normal"/>
    <w:next w:val="Normal"/>
    <w:autoRedefine/>
    <w:uiPriority w:val="39"/>
    <w:unhideWhenUsed/>
    <w:rsid w:val="00532014"/>
    <w:pPr>
      <w:spacing w:after="0"/>
      <w:ind w:left="480"/>
    </w:pPr>
    <w:rPr>
      <w:sz w:val="20"/>
      <w:szCs w:val="20"/>
    </w:rPr>
  </w:style>
  <w:style w:type="paragraph" w:styleId="TOC1">
    <w:name w:val="toc 1"/>
    <w:basedOn w:val="Normal"/>
    <w:next w:val="Normal"/>
    <w:autoRedefine/>
    <w:uiPriority w:val="39"/>
    <w:unhideWhenUsed/>
    <w:rsid w:val="00532014"/>
    <w:pPr>
      <w:spacing w:before="120" w:after="0"/>
    </w:pPr>
    <w:rPr>
      <w:b/>
      <w:bCs/>
      <w:i/>
      <w:iCs/>
    </w:rPr>
  </w:style>
  <w:style w:type="character" w:styleId="Hyperlink">
    <w:name w:val="Hyperlink"/>
    <w:basedOn w:val="DefaultParagraphFont"/>
    <w:uiPriority w:val="99"/>
    <w:unhideWhenUsed/>
    <w:rsid w:val="00532014"/>
    <w:rPr>
      <w:color w:val="467886" w:themeColor="hyperlink"/>
      <w:u w:val="single"/>
    </w:rPr>
  </w:style>
  <w:style w:type="paragraph" w:styleId="TOC4">
    <w:name w:val="toc 4"/>
    <w:basedOn w:val="Normal"/>
    <w:next w:val="Normal"/>
    <w:autoRedefine/>
    <w:uiPriority w:val="39"/>
    <w:semiHidden/>
    <w:unhideWhenUsed/>
    <w:rsid w:val="00532014"/>
    <w:pPr>
      <w:spacing w:after="0"/>
      <w:ind w:left="720"/>
    </w:pPr>
    <w:rPr>
      <w:sz w:val="20"/>
      <w:szCs w:val="20"/>
    </w:rPr>
  </w:style>
  <w:style w:type="paragraph" w:styleId="TOC5">
    <w:name w:val="toc 5"/>
    <w:basedOn w:val="Normal"/>
    <w:next w:val="Normal"/>
    <w:autoRedefine/>
    <w:uiPriority w:val="39"/>
    <w:semiHidden/>
    <w:unhideWhenUsed/>
    <w:rsid w:val="00532014"/>
    <w:pPr>
      <w:spacing w:after="0"/>
      <w:ind w:left="960"/>
    </w:pPr>
    <w:rPr>
      <w:sz w:val="20"/>
      <w:szCs w:val="20"/>
    </w:rPr>
  </w:style>
  <w:style w:type="paragraph" w:styleId="TOC6">
    <w:name w:val="toc 6"/>
    <w:basedOn w:val="Normal"/>
    <w:next w:val="Normal"/>
    <w:autoRedefine/>
    <w:uiPriority w:val="39"/>
    <w:semiHidden/>
    <w:unhideWhenUsed/>
    <w:rsid w:val="00532014"/>
    <w:pPr>
      <w:spacing w:after="0"/>
      <w:ind w:left="1200"/>
    </w:pPr>
    <w:rPr>
      <w:sz w:val="20"/>
      <w:szCs w:val="20"/>
    </w:rPr>
  </w:style>
  <w:style w:type="paragraph" w:styleId="TOC7">
    <w:name w:val="toc 7"/>
    <w:basedOn w:val="Normal"/>
    <w:next w:val="Normal"/>
    <w:autoRedefine/>
    <w:uiPriority w:val="39"/>
    <w:semiHidden/>
    <w:unhideWhenUsed/>
    <w:rsid w:val="00532014"/>
    <w:pPr>
      <w:spacing w:after="0"/>
      <w:ind w:left="1440"/>
    </w:pPr>
    <w:rPr>
      <w:sz w:val="20"/>
      <w:szCs w:val="20"/>
    </w:rPr>
  </w:style>
  <w:style w:type="paragraph" w:styleId="TOC8">
    <w:name w:val="toc 8"/>
    <w:basedOn w:val="Normal"/>
    <w:next w:val="Normal"/>
    <w:autoRedefine/>
    <w:uiPriority w:val="39"/>
    <w:semiHidden/>
    <w:unhideWhenUsed/>
    <w:rsid w:val="00532014"/>
    <w:pPr>
      <w:spacing w:after="0"/>
      <w:ind w:left="1680"/>
    </w:pPr>
    <w:rPr>
      <w:sz w:val="20"/>
      <w:szCs w:val="20"/>
    </w:rPr>
  </w:style>
  <w:style w:type="paragraph" w:styleId="TOC9">
    <w:name w:val="toc 9"/>
    <w:basedOn w:val="Normal"/>
    <w:next w:val="Normal"/>
    <w:autoRedefine/>
    <w:uiPriority w:val="39"/>
    <w:semiHidden/>
    <w:unhideWhenUsed/>
    <w:rsid w:val="00532014"/>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8FD94-E0EF-9942-A124-3F959A21E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TotalTime>
  <Pages>15</Pages>
  <Words>5247</Words>
  <Characters>29913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Simukoko (1052207)</dc:creator>
  <cp:keywords/>
  <dc:description/>
  <cp:lastModifiedBy>Solomon Simukoko (1052207)</cp:lastModifiedBy>
  <cp:revision>8</cp:revision>
  <dcterms:created xsi:type="dcterms:W3CDTF">2026-05-17T15:16:00Z</dcterms:created>
  <dcterms:modified xsi:type="dcterms:W3CDTF">2026-05-20T06:27:00Z</dcterms:modified>
</cp:coreProperties>
</file>