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EF143" w14:textId="3B0AA390" w:rsidR="009C7D53" w:rsidRDefault="009C79F6" w:rsidP="009C79F6">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Kamil Chodnicki</w:t>
      </w:r>
    </w:p>
    <w:p w14:paraId="628E9DE3" w14:textId="686FDE76" w:rsidR="009C79F6" w:rsidRDefault="009C79F6" w:rsidP="009C79F6">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2020641</w:t>
      </w:r>
    </w:p>
    <w:p w14:paraId="073A657E" w14:textId="77777777" w:rsidR="009C7D53" w:rsidRDefault="009C7D53" w:rsidP="00170D76">
      <w:pPr>
        <w:spacing w:line="480" w:lineRule="auto"/>
        <w:ind w:firstLine="720"/>
        <w:jc w:val="center"/>
        <w:rPr>
          <w:rFonts w:ascii="Times New Roman" w:hAnsi="Times New Roman" w:cs="Times New Roman"/>
          <w:b/>
          <w:bCs/>
          <w:sz w:val="24"/>
          <w:szCs w:val="24"/>
        </w:rPr>
      </w:pPr>
    </w:p>
    <w:p w14:paraId="6654578E" w14:textId="77777777" w:rsidR="009C7D53" w:rsidRDefault="009C7D53" w:rsidP="00170D76">
      <w:pPr>
        <w:spacing w:line="480" w:lineRule="auto"/>
        <w:ind w:firstLine="720"/>
        <w:jc w:val="center"/>
        <w:rPr>
          <w:rFonts w:ascii="Times New Roman" w:hAnsi="Times New Roman" w:cs="Times New Roman"/>
          <w:b/>
          <w:bCs/>
          <w:sz w:val="24"/>
          <w:szCs w:val="24"/>
        </w:rPr>
      </w:pPr>
    </w:p>
    <w:p w14:paraId="4CAFD90C" w14:textId="77777777" w:rsidR="00B6411C" w:rsidRDefault="00B6411C" w:rsidP="00170D76">
      <w:pPr>
        <w:spacing w:line="480" w:lineRule="auto"/>
        <w:ind w:firstLine="720"/>
        <w:jc w:val="center"/>
        <w:rPr>
          <w:rFonts w:ascii="Times New Roman" w:hAnsi="Times New Roman" w:cs="Times New Roman"/>
          <w:b/>
          <w:bCs/>
          <w:sz w:val="24"/>
          <w:szCs w:val="24"/>
        </w:rPr>
      </w:pPr>
    </w:p>
    <w:p w14:paraId="7AAAB7DC" w14:textId="061BBB2D" w:rsidR="009C7D53" w:rsidRPr="009C7D53" w:rsidRDefault="009C7D53" w:rsidP="009C79F6">
      <w:pPr>
        <w:spacing w:line="480" w:lineRule="auto"/>
        <w:ind w:firstLine="720"/>
        <w:jc w:val="center"/>
        <w:rPr>
          <w:rFonts w:ascii="Times New Roman" w:hAnsi="Times New Roman" w:cs="Times New Roman"/>
          <w:sz w:val="24"/>
          <w:szCs w:val="24"/>
        </w:rPr>
      </w:pPr>
    </w:p>
    <w:p w14:paraId="025C73F4" w14:textId="77777777" w:rsidR="009C7D53" w:rsidRPr="009C7D53" w:rsidRDefault="009C7D53" w:rsidP="009C7D53">
      <w:pPr>
        <w:spacing w:line="480" w:lineRule="auto"/>
        <w:ind w:firstLine="720"/>
        <w:rPr>
          <w:rFonts w:ascii="Times New Roman" w:hAnsi="Times New Roman" w:cs="Times New Roman"/>
          <w:sz w:val="24"/>
          <w:szCs w:val="24"/>
        </w:rPr>
      </w:pPr>
    </w:p>
    <w:p w14:paraId="2FD90307" w14:textId="77777777" w:rsidR="009C7D53" w:rsidRPr="009C7D53" w:rsidRDefault="009C7D53" w:rsidP="009C7D53">
      <w:pPr>
        <w:spacing w:line="480" w:lineRule="auto"/>
        <w:ind w:firstLine="720"/>
        <w:rPr>
          <w:rFonts w:ascii="Times New Roman" w:hAnsi="Times New Roman" w:cs="Times New Roman"/>
          <w:sz w:val="24"/>
          <w:szCs w:val="24"/>
        </w:rPr>
      </w:pPr>
    </w:p>
    <w:p w14:paraId="3355DD8A" w14:textId="77777777" w:rsidR="009C7D53" w:rsidRPr="009C7D53" w:rsidRDefault="009C7D53" w:rsidP="009C7D53">
      <w:pPr>
        <w:spacing w:line="480" w:lineRule="auto"/>
        <w:ind w:firstLine="720"/>
        <w:rPr>
          <w:rFonts w:ascii="Times New Roman" w:hAnsi="Times New Roman" w:cs="Times New Roman"/>
          <w:sz w:val="24"/>
          <w:szCs w:val="24"/>
        </w:rPr>
      </w:pPr>
    </w:p>
    <w:p w14:paraId="0020D83E" w14:textId="77777777" w:rsidR="009C7D53" w:rsidRPr="009C7D53" w:rsidRDefault="009C7D53" w:rsidP="009C7D53">
      <w:pPr>
        <w:spacing w:line="480" w:lineRule="auto"/>
        <w:ind w:firstLine="720"/>
        <w:rPr>
          <w:rFonts w:ascii="Times New Roman" w:hAnsi="Times New Roman" w:cs="Times New Roman"/>
          <w:sz w:val="24"/>
          <w:szCs w:val="24"/>
        </w:rPr>
      </w:pPr>
    </w:p>
    <w:p w14:paraId="07148597" w14:textId="77777777" w:rsidR="009C7D53" w:rsidRDefault="009C7D53" w:rsidP="009C7D53">
      <w:pPr>
        <w:spacing w:line="480" w:lineRule="auto"/>
        <w:ind w:firstLine="720"/>
        <w:rPr>
          <w:rFonts w:ascii="Times New Roman" w:hAnsi="Times New Roman" w:cs="Times New Roman"/>
          <w:sz w:val="24"/>
          <w:szCs w:val="24"/>
        </w:rPr>
      </w:pPr>
    </w:p>
    <w:p w14:paraId="4335363D" w14:textId="77777777" w:rsidR="009C79F6" w:rsidRDefault="009C79F6" w:rsidP="009C7D53">
      <w:pPr>
        <w:spacing w:line="480" w:lineRule="auto"/>
        <w:ind w:firstLine="720"/>
        <w:rPr>
          <w:rFonts w:ascii="Times New Roman" w:hAnsi="Times New Roman" w:cs="Times New Roman"/>
          <w:sz w:val="24"/>
          <w:szCs w:val="24"/>
        </w:rPr>
      </w:pPr>
    </w:p>
    <w:p w14:paraId="0E1B7566" w14:textId="77777777" w:rsidR="009C79F6" w:rsidRDefault="009C79F6" w:rsidP="009C7D53">
      <w:pPr>
        <w:spacing w:line="480" w:lineRule="auto"/>
        <w:ind w:firstLine="720"/>
        <w:rPr>
          <w:rFonts w:ascii="Times New Roman" w:hAnsi="Times New Roman" w:cs="Times New Roman"/>
          <w:sz w:val="24"/>
          <w:szCs w:val="24"/>
        </w:rPr>
      </w:pPr>
    </w:p>
    <w:p w14:paraId="40501452" w14:textId="77777777" w:rsidR="009C79F6" w:rsidRDefault="009C79F6" w:rsidP="009C7D53">
      <w:pPr>
        <w:spacing w:line="480" w:lineRule="auto"/>
        <w:ind w:firstLine="720"/>
        <w:rPr>
          <w:rFonts w:ascii="Times New Roman" w:hAnsi="Times New Roman" w:cs="Times New Roman"/>
          <w:sz w:val="24"/>
          <w:szCs w:val="24"/>
        </w:rPr>
      </w:pPr>
    </w:p>
    <w:p w14:paraId="357BBB6C" w14:textId="77777777" w:rsidR="009C79F6" w:rsidRDefault="009C79F6" w:rsidP="009C7D53">
      <w:pPr>
        <w:spacing w:line="480" w:lineRule="auto"/>
        <w:ind w:firstLine="720"/>
        <w:rPr>
          <w:rFonts w:ascii="Times New Roman" w:hAnsi="Times New Roman" w:cs="Times New Roman"/>
          <w:sz w:val="24"/>
          <w:szCs w:val="24"/>
        </w:rPr>
      </w:pPr>
    </w:p>
    <w:p w14:paraId="20DEBA4D" w14:textId="77777777" w:rsidR="009C79F6" w:rsidRPr="009C7D53" w:rsidRDefault="009C79F6" w:rsidP="009C7D53">
      <w:pPr>
        <w:spacing w:line="480" w:lineRule="auto"/>
        <w:ind w:firstLine="720"/>
        <w:rPr>
          <w:rFonts w:ascii="Times New Roman" w:hAnsi="Times New Roman" w:cs="Times New Roman"/>
          <w:sz w:val="24"/>
          <w:szCs w:val="24"/>
        </w:rPr>
      </w:pPr>
    </w:p>
    <w:p w14:paraId="395594C6" w14:textId="77777777" w:rsidR="009C7D53" w:rsidRPr="009C7D53" w:rsidRDefault="009C7D53" w:rsidP="009C7D53">
      <w:pPr>
        <w:spacing w:line="480" w:lineRule="auto"/>
        <w:ind w:firstLine="720"/>
        <w:rPr>
          <w:rFonts w:ascii="Times New Roman" w:hAnsi="Times New Roman" w:cs="Times New Roman"/>
          <w:sz w:val="24"/>
          <w:szCs w:val="24"/>
        </w:rPr>
      </w:pPr>
    </w:p>
    <w:p w14:paraId="23394A83" w14:textId="77777777" w:rsidR="009C7D53" w:rsidRPr="009C7D53" w:rsidRDefault="009C7D53" w:rsidP="009C7D53">
      <w:pPr>
        <w:spacing w:line="480" w:lineRule="auto"/>
        <w:ind w:firstLine="720"/>
        <w:rPr>
          <w:rFonts w:ascii="Times New Roman" w:hAnsi="Times New Roman" w:cs="Times New Roman"/>
          <w:sz w:val="24"/>
          <w:szCs w:val="24"/>
        </w:rPr>
      </w:pPr>
    </w:p>
    <w:p w14:paraId="67EC3EEE" w14:textId="77777777" w:rsidR="00B6411C" w:rsidRDefault="00B6411C" w:rsidP="00B6411C">
      <w:pPr>
        <w:spacing w:line="480" w:lineRule="auto"/>
        <w:rPr>
          <w:rFonts w:ascii="Times New Roman" w:hAnsi="Times New Roman" w:cs="Times New Roman"/>
          <w:sz w:val="24"/>
          <w:szCs w:val="24"/>
        </w:rPr>
      </w:pPr>
    </w:p>
    <w:p w14:paraId="6D372B44" w14:textId="77777777" w:rsidR="00B6411C" w:rsidRPr="00B6411C" w:rsidRDefault="00B6411C" w:rsidP="00B6411C">
      <w:pPr>
        <w:spacing w:line="480" w:lineRule="auto"/>
        <w:jc w:val="center"/>
        <w:rPr>
          <w:rFonts w:ascii="Times New Roman" w:hAnsi="Times New Roman" w:cs="Times New Roman"/>
          <w:b/>
          <w:bCs/>
          <w:sz w:val="24"/>
          <w:szCs w:val="24"/>
        </w:rPr>
      </w:pPr>
      <w:r w:rsidRPr="00B6411C">
        <w:rPr>
          <w:rFonts w:ascii="Times New Roman" w:hAnsi="Times New Roman" w:cs="Times New Roman"/>
          <w:b/>
          <w:bCs/>
          <w:sz w:val="24"/>
          <w:szCs w:val="24"/>
        </w:rPr>
        <w:t>The Coca Cola Company</w:t>
      </w:r>
    </w:p>
    <w:p w14:paraId="7883C4BD" w14:textId="77777777" w:rsidR="00703811" w:rsidRPr="009C7D53" w:rsidRDefault="00000000" w:rsidP="00B6411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The Coca-Cola Company is a global beverage company with its main office in Atlanta, Georgia, in the United States. John Pemberton, a pharmacist, founded the business in 1886, and it has since become a global powerhouse with a presence in more than 200 nations, a portfolio of more than 500 brands, and more than 3,900 beverages. The Coca-Cola Company's famous brand recognition has played a significant role in its success. Coca-Cola, the company's flagship product, has a history spanning more than 135 years and is one of the world's most recognizable and well-loved brands</w:t>
      </w:r>
      <w:r w:rsidR="007445C8" w:rsidRPr="009C7D53">
        <w:rPr>
          <w:rFonts w:ascii="Times New Roman" w:hAnsi="Times New Roman" w:cs="Times New Roman"/>
          <w:color w:val="222222"/>
          <w:sz w:val="24"/>
          <w:szCs w:val="24"/>
          <w:shd w:val="clear" w:color="auto" w:fill="FFFFFF"/>
        </w:rPr>
        <w:t xml:space="preserve"> (Tien et al.,2019)</w:t>
      </w:r>
      <w:r w:rsidRPr="009C7D53">
        <w:rPr>
          <w:rFonts w:ascii="Times New Roman" w:hAnsi="Times New Roman" w:cs="Times New Roman"/>
          <w:sz w:val="24"/>
          <w:szCs w:val="24"/>
        </w:rPr>
        <w:t>. Diet Coke, Fanta, Sprite, Minute Maid, and Powerade are just a few well-known brands the business has accumulated over the years.</w:t>
      </w:r>
    </w:p>
    <w:p w14:paraId="721F7C5F" w14:textId="77777777" w:rsidR="004E6975" w:rsidRPr="009C7D53" w:rsidRDefault="00000000" w:rsidP="003C2CEC">
      <w:pPr>
        <w:spacing w:line="480" w:lineRule="auto"/>
        <w:jc w:val="both"/>
        <w:rPr>
          <w:rFonts w:ascii="Times New Roman" w:hAnsi="Times New Roman" w:cs="Times New Roman"/>
          <w:b/>
          <w:sz w:val="24"/>
          <w:szCs w:val="24"/>
        </w:rPr>
      </w:pPr>
      <w:r w:rsidRPr="009C7D53">
        <w:rPr>
          <w:rFonts w:ascii="Times New Roman" w:hAnsi="Times New Roman" w:cs="Times New Roman"/>
          <w:b/>
          <w:sz w:val="24"/>
          <w:szCs w:val="24"/>
        </w:rPr>
        <w:t>Significance of IFM</w:t>
      </w:r>
    </w:p>
    <w:p w14:paraId="3CF33023" w14:textId="77777777" w:rsidR="00703811"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IFM is a crucial component of The Coca-Cola Company's operations, and its significance can be assessed by looking at how it affects the firm's financial results and strategic choices. IFM is essential for Coca-Cola in several key areas, including managing foreign currency risk. Due to its extensive international operations and exposure to currency changes, the</w:t>
      </w:r>
      <w:r w:rsidR="00FC2A91" w:rsidRPr="009C7D53">
        <w:rPr>
          <w:rFonts w:ascii="Times New Roman" w:hAnsi="Times New Roman" w:cs="Times New Roman"/>
          <w:sz w:val="24"/>
          <w:szCs w:val="24"/>
        </w:rPr>
        <w:t xml:space="preserve"> company's financial results ar</w:t>
      </w:r>
      <w:r w:rsidRPr="009C7D53">
        <w:rPr>
          <w:rFonts w:ascii="Times New Roman" w:hAnsi="Times New Roman" w:cs="Times New Roman"/>
          <w:sz w:val="24"/>
          <w:szCs w:val="24"/>
        </w:rPr>
        <w:t xml:space="preserve">e significantly impacted. Hedging and diversification are two effective IFM techniques that assist the business in controlling these risks and safeguarding its profits. IFM is also essential for managing Coca-Cola's financial structure. </w:t>
      </w:r>
      <w:r w:rsidR="00FC2A91" w:rsidRPr="009C7D53">
        <w:rPr>
          <w:rFonts w:ascii="Times New Roman" w:hAnsi="Times New Roman" w:cs="Times New Roman"/>
          <w:sz w:val="24"/>
          <w:szCs w:val="24"/>
        </w:rPr>
        <w:t xml:space="preserve">It </w:t>
      </w:r>
      <w:r w:rsidRPr="009C7D53">
        <w:rPr>
          <w:rFonts w:ascii="Times New Roman" w:hAnsi="Times New Roman" w:cs="Times New Roman"/>
          <w:sz w:val="24"/>
          <w:szCs w:val="24"/>
        </w:rPr>
        <w:t>enables the company, which operates in nations with various tax regimes and financing choices, to optimize its capital structure to reduce the cost of capital and increase shareholder value</w:t>
      </w:r>
      <w:r w:rsidR="00170D76">
        <w:rPr>
          <w:rFonts w:ascii="Times New Roman" w:hAnsi="Times New Roman" w:cs="Times New Roman"/>
          <w:sz w:val="24"/>
          <w:szCs w:val="24"/>
        </w:rPr>
        <w:t xml:space="preserve"> </w:t>
      </w:r>
      <w:r w:rsidR="009C7D53" w:rsidRPr="009C7D53">
        <w:rPr>
          <w:rFonts w:ascii="Times New Roman" w:hAnsi="Times New Roman" w:cs="Times New Roman"/>
          <w:sz w:val="24"/>
          <w:szCs w:val="24"/>
        </w:rPr>
        <w:t>(Bowie, 2019)</w:t>
      </w:r>
      <w:r w:rsidRPr="009C7D53">
        <w:rPr>
          <w:rFonts w:ascii="Times New Roman" w:hAnsi="Times New Roman" w:cs="Times New Roman"/>
          <w:sz w:val="24"/>
          <w:szCs w:val="24"/>
        </w:rPr>
        <w:t>. The company efficiently manage</w:t>
      </w:r>
      <w:r w:rsidR="00FC2A91" w:rsidRPr="009C7D53">
        <w:rPr>
          <w:rFonts w:ascii="Times New Roman" w:hAnsi="Times New Roman" w:cs="Times New Roman"/>
          <w:sz w:val="24"/>
          <w:szCs w:val="24"/>
        </w:rPr>
        <w:t>s</w:t>
      </w:r>
      <w:r w:rsidRPr="009C7D53">
        <w:rPr>
          <w:rFonts w:ascii="Times New Roman" w:hAnsi="Times New Roman" w:cs="Times New Roman"/>
          <w:sz w:val="24"/>
          <w:szCs w:val="24"/>
        </w:rPr>
        <w:t xml:space="preserve"> its debt and equity issuances and access fin</w:t>
      </w:r>
      <w:r w:rsidR="00FC2A91" w:rsidRPr="009C7D53">
        <w:rPr>
          <w:rFonts w:ascii="Times New Roman" w:hAnsi="Times New Roman" w:cs="Times New Roman"/>
          <w:sz w:val="24"/>
          <w:szCs w:val="24"/>
        </w:rPr>
        <w:t>ancing in various markets due</w:t>
      </w:r>
      <w:r w:rsidRPr="009C7D53">
        <w:rPr>
          <w:rFonts w:ascii="Times New Roman" w:hAnsi="Times New Roman" w:cs="Times New Roman"/>
          <w:sz w:val="24"/>
          <w:szCs w:val="24"/>
        </w:rPr>
        <w:t xml:space="preserve"> to IFM.</w:t>
      </w:r>
    </w:p>
    <w:p w14:paraId="588A90A5" w14:textId="77777777" w:rsidR="00703811"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lastRenderedPageBreak/>
        <w:t>Managing global financial flows is a crucial</w:t>
      </w:r>
      <w:r w:rsidR="00FC2A91" w:rsidRPr="009C7D53">
        <w:rPr>
          <w:rFonts w:ascii="Times New Roman" w:hAnsi="Times New Roman" w:cs="Times New Roman"/>
          <w:sz w:val="24"/>
          <w:szCs w:val="24"/>
        </w:rPr>
        <w:t xml:space="preserve"> component of IFM for Coca-Cola as it</w:t>
      </w:r>
      <w:r w:rsidRPr="009C7D53">
        <w:rPr>
          <w:rFonts w:ascii="Times New Roman" w:hAnsi="Times New Roman" w:cs="Times New Roman"/>
          <w:sz w:val="24"/>
          <w:szCs w:val="24"/>
        </w:rPr>
        <w:t xml:space="preserve"> assists the organization in maximizing its cash management procedures and lowering transaction expenses since it earns sizable revenue in several nations. The </w:t>
      </w:r>
      <w:r w:rsidR="00FC2A91" w:rsidRPr="009C7D53">
        <w:rPr>
          <w:rFonts w:ascii="Times New Roman" w:hAnsi="Times New Roman" w:cs="Times New Roman"/>
          <w:sz w:val="24"/>
          <w:szCs w:val="24"/>
        </w:rPr>
        <w:t xml:space="preserve">company </w:t>
      </w:r>
      <w:r w:rsidRPr="009C7D53">
        <w:rPr>
          <w:rFonts w:ascii="Times New Roman" w:hAnsi="Times New Roman" w:cs="Times New Roman"/>
          <w:sz w:val="24"/>
          <w:szCs w:val="24"/>
        </w:rPr>
        <w:t>preserve</w:t>
      </w:r>
      <w:r w:rsidR="00FC2A91" w:rsidRPr="009C7D53">
        <w:rPr>
          <w:rFonts w:ascii="Times New Roman" w:hAnsi="Times New Roman" w:cs="Times New Roman"/>
          <w:sz w:val="24"/>
          <w:szCs w:val="24"/>
        </w:rPr>
        <w:t>s</w:t>
      </w:r>
      <w:r w:rsidRPr="009C7D53">
        <w:rPr>
          <w:rFonts w:ascii="Times New Roman" w:hAnsi="Times New Roman" w:cs="Times New Roman"/>
          <w:sz w:val="24"/>
          <w:szCs w:val="24"/>
        </w:rPr>
        <w:t xml:space="preserve"> its financial stability and invests in expansion prospects by efficiently managing its cash flows. Additionally, IFM is important for Coca-Cola's international investment and expansion objectives. Investments in emerging markets and the company's product line diversification are part of its long-term growth strategy</w:t>
      </w:r>
      <w:r w:rsidR="007445C8" w:rsidRPr="009C7D53">
        <w:rPr>
          <w:rFonts w:ascii="Times New Roman" w:hAnsi="Times New Roman" w:cs="Times New Roman"/>
          <w:color w:val="222222"/>
          <w:sz w:val="24"/>
          <w:szCs w:val="24"/>
          <w:shd w:val="clear" w:color="auto" w:fill="FFFFFF"/>
        </w:rPr>
        <w:t xml:space="preserve"> (Tien et al</w:t>
      </w:r>
      <w:r w:rsidRPr="009C7D53">
        <w:rPr>
          <w:rFonts w:ascii="Times New Roman" w:hAnsi="Times New Roman" w:cs="Times New Roman"/>
          <w:sz w:val="24"/>
          <w:szCs w:val="24"/>
        </w:rPr>
        <w:t>.</w:t>
      </w:r>
      <w:r w:rsidR="007445C8" w:rsidRPr="009C7D53">
        <w:rPr>
          <w:rFonts w:ascii="Times New Roman" w:hAnsi="Times New Roman" w:cs="Times New Roman"/>
          <w:sz w:val="24"/>
          <w:szCs w:val="24"/>
        </w:rPr>
        <w:t>, 2019)</w:t>
      </w:r>
      <w:r w:rsidRPr="009C7D53">
        <w:rPr>
          <w:rFonts w:ascii="Times New Roman" w:hAnsi="Times New Roman" w:cs="Times New Roman"/>
          <w:sz w:val="24"/>
          <w:szCs w:val="24"/>
        </w:rPr>
        <w:t xml:space="preserve">. </w:t>
      </w:r>
      <w:r w:rsidR="00FC2A91" w:rsidRPr="009C7D53">
        <w:rPr>
          <w:rFonts w:ascii="Times New Roman" w:hAnsi="Times New Roman" w:cs="Times New Roman"/>
          <w:sz w:val="24"/>
          <w:szCs w:val="24"/>
        </w:rPr>
        <w:t xml:space="preserve">The management </w:t>
      </w:r>
      <w:r w:rsidRPr="009C7D53">
        <w:rPr>
          <w:rFonts w:ascii="Times New Roman" w:hAnsi="Times New Roman" w:cs="Times New Roman"/>
          <w:sz w:val="24"/>
          <w:szCs w:val="24"/>
        </w:rPr>
        <w:t>enables the business to assess investment opportunities, obtain financing, and control its financial risks, enabling it to carry out its growth strategies successfully.</w:t>
      </w:r>
      <w:r w:rsidR="00FC2A91" w:rsidRPr="009C7D53">
        <w:rPr>
          <w:rFonts w:ascii="Times New Roman" w:hAnsi="Times New Roman" w:cs="Times New Roman"/>
          <w:sz w:val="24"/>
          <w:szCs w:val="24"/>
        </w:rPr>
        <w:t xml:space="preserve"> It</w:t>
      </w:r>
      <w:r w:rsidRPr="009C7D53">
        <w:rPr>
          <w:rFonts w:ascii="Times New Roman" w:hAnsi="Times New Roman" w:cs="Times New Roman"/>
          <w:sz w:val="24"/>
          <w:szCs w:val="24"/>
        </w:rPr>
        <w:t xml:space="preserve"> is </w:t>
      </w:r>
      <w:r w:rsidR="00FC2A91" w:rsidRPr="009C7D53">
        <w:rPr>
          <w:rFonts w:ascii="Times New Roman" w:hAnsi="Times New Roman" w:cs="Times New Roman"/>
          <w:sz w:val="24"/>
          <w:szCs w:val="24"/>
        </w:rPr>
        <w:t xml:space="preserve">also </w:t>
      </w:r>
      <w:r w:rsidRPr="009C7D53">
        <w:rPr>
          <w:rFonts w:ascii="Times New Roman" w:hAnsi="Times New Roman" w:cs="Times New Roman"/>
          <w:sz w:val="24"/>
          <w:szCs w:val="24"/>
        </w:rPr>
        <w:t>essential for Coca-Cola's compliance with global financial rules and reporting standards. As a multinational corporation, Coca-Cola is governed by various laws and rules in numerous nations</w:t>
      </w:r>
      <w:r w:rsidR="00170D76">
        <w:rPr>
          <w:rFonts w:ascii="Times New Roman" w:hAnsi="Times New Roman" w:cs="Times New Roman"/>
          <w:sz w:val="24"/>
          <w:szCs w:val="24"/>
        </w:rPr>
        <w:t xml:space="preserve"> (Madura, 2020)</w:t>
      </w:r>
      <w:r w:rsidRPr="009C7D53">
        <w:rPr>
          <w:rFonts w:ascii="Times New Roman" w:hAnsi="Times New Roman" w:cs="Times New Roman"/>
          <w:sz w:val="24"/>
          <w:szCs w:val="24"/>
        </w:rPr>
        <w:t>. In order to safeguard its brand and credibility in the international market, IFM assists the company in navigating these intricacies and ensuring compliance with reporting standards.</w:t>
      </w:r>
    </w:p>
    <w:p w14:paraId="56DBF34A" w14:textId="77777777" w:rsidR="004E6975" w:rsidRPr="009C7D53" w:rsidRDefault="00000000" w:rsidP="003C2CEC">
      <w:pPr>
        <w:spacing w:line="480" w:lineRule="auto"/>
        <w:jc w:val="both"/>
        <w:rPr>
          <w:rFonts w:ascii="Times New Roman" w:hAnsi="Times New Roman" w:cs="Times New Roman"/>
          <w:b/>
          <w:sz w:val="24"/>
          <w:szCs w:val="24"/>
        </w:rPr>
      </w:pPr>
      <w:r w:rsidRPr="009C7D53">
        <w:rPr>
          <w:rFonts w:ascii="Times New Roman" w:hAnsi="Times New Roman" w:cs="Times New Roman"/>
          <w:b/>
          <w:sz w:val="24"/>
          <w:szCs w:val="24"/>
        </w:rPr>
        <w:t>Challenges of Coca-cola in Different Markets</w:t>
      </w:r>
    </w:p>
    <w:p w14:paraId="4F11468F" w14:textId="77777777" w:rsidR="00703811"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The 2020 Annu</w:t>
      </w:r>
      <w:r w:rsidR="00FC2A91" w:rsidRPr="009C7D53">
        <w:rPr>
          <w:rFonts w:ascii="Times New Roman" w:hAnsi="Times New Roman" w:cs="Times New Roman"/>
          <w:sz w:val="24"/>
          <w:szCs w:val="24"/>
        </w:rPr>
        <w:t xml:space="preserve">al Report from Coca-Cola shows </w:t>
      </w:r>
      <w:r w:rsidRPr="009C7D53">
        <w:rPr>
          <w:rFonts w:ascii="Times New Roman" w:hAnsi="Times New Roman" w:cs="Times New Roman"/>
          <w:sz w:val="24"/>
          <w:szCs w:val="24"/>
        </w:rPr>
        <w:t>that currency swings significantly hamper the company's financial performance. Given that a sizeable amount of the company's income and expenses are expressed in foreign currencies, the report notes that "fluctuations in currency exchange rates can have a significant impact on our financial results" (</w:t>
      </w:r>
      <w:r w:rsidR="007445C8" w:rsidRPr="009C7D53">
        <w:rPr>
          <w:rFonts w:ascii="Times New Roman" w:hAnsi="Times New Roman" w:cs="Times New Roman"/>
          <w:color w:val="222222"/>
          <w:sz w:val="24"/>
          <w:szCs w:val="24"/>
          <w:shd w:val="clear" w:color="auto" w:fill="FFFFFF"/>
        </w:rPr>
        <w:t>Brondoni, 2019.</w:t>
      </w:r>
      <w:r w:rsidRPr="009C7D53">
        <w:rPr>
          <w:rFonts w:ascii="Times New Roman" w:hAnsi="Times New Roman" w:cs="Times New Roman"/>
          <w:sz w:val="24"/>
          <w:szCs w:val="24"/>
        </w:rPr>
        <w:t>). The report also mentions the company's use of forward contracts, options, and other hedging techniques to control currency risk.</w:t>
      </w:r>
    </w:p>
    <w:p w14:paraId="64CCAC45" w14:textId="77777777" w:rsidR="00C73C3F"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 xml:space="preserve">A Deloitte report also highlighted the regulatory difficulties multinational businesses face internationally. It is noted in the research that "differences in tax systems, financial reporting </w:t>
      </w:r>
      <w:r w:rsidRPr="009C7D53">
        <w:rPr>
          <w:rFonts w:ascii="Times New Roman" w:hAnsi="Times New Roman" w:cs="Times New Roman"/>
          <w:sz w:val="24"/>
          <w:szCs w:val="24"/>
        </w:rPr>
        <w:lastRenderedPageBreak/>
        <w:t>standards, and other regulatory requirements can make it challenging for multinationals to manage their financial operations efficiently" (</w:t>
      </w:r>
      <w:r w:rsidR="007445C8" w:rsidRPr="009C7D53">
        <w:rPr>
          <w:rFonts w:ascii="Times New Roman" w:hAnsi="Times New Roman" w:cs="Times New Roman"/>
          <w:color w:val="222222"/>
          <w:sz w:val="24"/>
          <w:szCs w:val="24"/>
          <w:shd w:val="clear" w:color="auto" w:fill="FFFFFF"/>
        </w:rPr>
        <w:t>Bekimbetova et al., 2021</w:t>
      </w:r>
      <w:r w:rsidRPr="009C7D53">
        <w:rPr>
          <w:rFonts w:ascii="Times New Roman" w:hAnsi="Times New Roman" w:cs="Times New Roman"/>
          <w:sz w:val="24"/>
          <w:szCs w:val="24"/>
        </w:rPr>
        <w:t>). Coca-Cola, for instance, is subject to various tax rules and regulations in various nations, which may affect its profitability and compliance costs.</w:t>
      </w:r>
      <w:r w:rsidR="00656DBD" w:rsidRPr="009C7D53">
        <w:rPr>
          <w:rFonts w:ascii="Times New Roman" w:hAnsi="Times New Roman" w:cs="Times New Roman"/>
          <w:sz w:val="24"/>
          <w:szCs w:val="24"/>
        </w:rPr>
        <w:t xml:space="preserve"> Furthermore, a McKinsey &amp; Company report emphasizes the significance of successful risk management</w:t>
      </w:r>
      <w:r w:rsidR="00FC2A91" w:rsidRPr="009C7D53">
        <w:rPr>
          <w:rFonts w:ascii="Times New Roman" w:hAnsi="Times New Roman" w:cs="Times New Roman"/>
          <w:sz w:val="24"/>
          <w:szCs w:val="24"/>
        </w:rPr>
        <w:t xml:space="preserve"> plans for international firms. </w:t>
      </w:r>
      <w:r w:rsidR="00656DBD" w:rsidRPr="009C7D53">
        <w:rPr>
          <w:rFonts w:ascii="Times New Roman" w:hAnsi="Times New Roman" w:cs="Times New Roman"/>
          <w:sz w:val="24"/>
          <w:szCs w:val="24"/>
        </w:rPr>
        <w:t>According to the study, "multinationals need to adopt a more holistic approach to risk management, incorporating financial, operational, and strategic risks into their decision-making processes" (</w:t>
      </w:r>
      <w:r w:rsidR="007445C8" w:rsidRPr="009C7D53">
        <w:rPr>
          <w:rFonts w:ascii="Times New Roman" w:hAnsi="Times New Roman" w:cs="Times New Roman"/>
          <w:color w:val="222222"/>
          <w:sz w:val="24"/>
          <w:szCs w:val="24"/>
          <w:shd w:val="clear" w:color="auto" w:fill="FFFFFF"/>
        </w:rPr>
        <w:t>Maani Hessari et al.</w:t>
      </w:r>
      <w:r w:rsidR="007445C8" w:rsidRPr="009C7D53">
        <w:rPr>
          <w:rFonts w:ascii="Times New Roman" w:hAnsi="Times New Roman" w:cs="Times New Roman"/>
          <w:sz w:val="24"/>
          <w:szCs w:val="24"/>
        </w:rPr>
        <w:t>, 2019</w:t>
      </w:r>
      <w:r w:rsidR="00656DBD" w:rsidRPr="009C7D53">
        <w:rPr>
          <w:rFonts w:ascii="Times New Roman" w:hAnsi="Times New Roman" w:cs="Times New Roman"/>
          <w:sz w:val="24"/>
          <w:szCs w:val="24"/>
        </w:rPr>
        <w:t>). This implies that Coca-Cola needs effective risk management procedures considering the challenges of operating in various global financial markets.</w:t>
      </w:r>
    </w:p>
    <w:p w14:paraId="1AF9C87B" w14:textId="77777777" w:rsidR="00656DBD" w:rsidRPr="009C7D53" w:rsidRDefault="00000000" w:rsidP="003C2CEC">
      <w:pPr>
        <w:spacing w:line="480" w:lineRule="auto"/>
        <w:jc w:val="both"/>
        <w:rPr>
          <w:rFonts w:ascii="Times New Roman" w:hAnsi="Times New Roman" w:cs="Times New Roman"/>
          <w:b/>
          <w:sz w:val="24"/>
          <w:szCs w:val="24"/>
        </w:rPr>
      </w:pPr>
      <w:r w:rsidRPr="009C7D53">
        <w:rPr>
          <w:rFonts w:ascii="Times New Roman" w:hAnsi="Times New Roman" w:cs="Times New Roman"/>
          <w:b/>
          <w:sz w:val="24"/>
          <w:szCs w:val="24"/>
        </w:rPr>
        <w:t>Dividend Distribution policy</w:t>
      </w:r>
    </w:p>
    <w:p w14:paraId="7B8CE25C" w14:textId="77777777" w:rsidR="00656DBD"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The Coca-Cola Company has a long history of paying dividends to its shareholders. Profitability, cash flow, and shareholder preferences are only a few variables that influence the company's dividend distribution strategy. The company's dividend payment percentage has remained largely consistent over the years, fluctuating between 50% and 75%. A dividend distribution policy is crucial for multinational firms from an IFM standpoint. A corporation's dividend policy may impact its cost of capital, shareholder value, and financial flexibility. According to the dividend relevance theory, a company's dividend policy affects its market value since investors favour consistent and predictable payments. The importance of the dividend policy is supported by empirical data from Coca-Cola's financial accounts. For instance, Coca-Cola paid a $0.41 per share quarterly dividend in 2020, totalling over $6.8 billion in dividend payments for the year (</w:t>
      </w:r>
      <w:r w:rsidR="007445C8" w:rsidRPr="009C7D53">
        <w:rPr>
          <w:rFonts w:ascii="Times New Roman" w:hAnsi="Times New Roman" w:cs="Times New Roman"/>
          <w:color w:val="222222"/>
          <w:sz w:val="24"/>
          <w:szCs w:val="24"/>
          <w:shd w:val="clear" w:color="auto" w:fill="FFFFFF"/>
        </w:rPr>
        <w:t>Sultan et al.</w:t>
      </w:r>
      <w:r w:rsidRPr="009C7D53">
        <w:rPr>
          <w:rFonts w:ascii="Times New Roman" w:hAnsi="Times New Roman" w:cs="Times New Roman"/>
          <w:sz w:val="24"/>
          <w:szCs w:val="24"/>
        </w:rPr>
        <w:t xml:space="preserve">, </w:t>
      </w:r>
      <w:r w:rsidR="007445C8" w:rsidRPr="009C7D53">
        <w:rPr>
          <w:rFonts w:ascii="Times New Roman" w:hAnsi="Times New Roman" w:cs="Times New Roman"/>
          <w:sz w:val="24"/>
          <w:szCs w:val="24"/>
        </w:rPr>
        <w:t>2019</w:t>
      </w:r>
      <w:r w:rsidRPr="009C7D53">
        <w:rPr>
          <w:rFonts w:ascii="Times New Roman" w:hAnsi="Times New Roman" w:cs="Times New Roman"/>
          <w:sz w:val="24"/>
          <w:szCs w:val="24"/>
        </w:rPr>
        <w:t>). The company's 77% dividend payout ratio demonstrated its dedication to paying shareholders steady and predictable dividends.</w:t>
      </w:r>
    </w:p>
    <w:p w14:paraId="66D4CECB" w14:textId="77777777" w:rsidR="004C127F" w:rsidRPr="009C7D53" w:rsidRDefault="00000000" w:rsidP="003C2CEC">
      <w:pPr>
        <w:spacing w:line="480" w:lineRule="auto"/>
        <w:jc w:val="both"/>
        <w:rPr>
          <w:rFonts w:ascii="Times New Roman" w:hAnsi="Times New Roman" w:cs="Times New Roman"/>
          <w:sz w:val="24"/>
          <w:szCs w:val="24"/>
        </w:rPr>
      </w:pPr>
      <w:r w:rsidRPr="009C7D53">
        <w:rPr>
          <w:rFonts w:ascii="Times New Roman" w:hAnsi="Times New Roman" w:cs="Times New Roman"/>
          <w:b/>
          <w:sz w:val="24"/>
          <w:szCs w:val="24"/>
        </w:rPr>
        <w:lastRenderedPageBreak/>
        <w:t xml:space="preserve">Market Hypothesis </w:t>
      </w:r>
    </w:p>
    <w:p w14:paraId="0D0E26D4" w14:textId="77777777" w:rsidR="004C127F"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According to the Efficient Market Hypothesis idea, a firm's stock price accurately reflects all information widely known about its operations and financial performance. This means that at any one time, the market price of Coca-Cola's stock represents both the company's current worth and prospects for the future, as well as any new information that might impact the company's financial performance. When applied to Coca-Cola's business practices, the EMH theory offers advantages and disadvantages. On the one hand, the company's stock price has been largely consistent throughout time, indicating the market's opinion of the company's stability and financial performance. For instance, Coca-Cola has had relatively mild stock price swings over the previous ten years, with the company's market capitalization fluctuating between $160 billion and $240 billion</w:t>
      </w:r>
      <w:r w:rsidR="00170D76">
        <w:rPr>
          <w:rFonts w:ascii="Times New Roman" w:hAnsi="Times New Roman" w:cs="Times New Roman"/>
          <w:sz w:val="24"/>
          <w:szCs w:val="24"/>
        </w:rPr>
        <w:t xml:space="preserve"> (Robinson, 2020)</w:t>
      </w:r>
      <w:r w:rsidRPr="009C7D53">
        <w:rPr>
          <w:rFonts w:ascii="Times New Roman" w:hAnsi="Times New Roman" w:cs="Times New Roman"/>
          <w:sz w:val="24"/>
          <w:szCs w:val="24"/>
        </w:rPr>
        <w:t>. On the other hand, Coca-Cola's stock price has occasionally fluctuated. For instance, the corporation's stock price decreased from its pre-pandemic level by almost 30% during the COVID-19 pandemic</w:t>
      </w:r>
      <w:r w:rsidR="007445C8" w:rsidRPr="009C7D53">
        <w:rPr>
          <w:rFonts w:ascii="Times New Roman" w:hAnsi="Times New Roman" w:cs="Times New Roman"/>
          <w:sz w:val="24"/>
          <w:szCs w:val="24"/>
        </w:rPr>
        <w:t xml:space="preserve"> (</w:t>
      </w:r>
      <w:r w:rsidR="007445C8" w:rsidRPr="009C7D53">
        <w:rPr>
          <w:rFonts w:ascii="Times New Roman" w:hAnsi="Times New Roman" w:cs="Times New Roman"/>
          <w:color w:val="222222"/>
          <w:sz w:val="24"/>
          <w:szCs w:val="24"/>
          <w:shd w:val="clear" w:color="auto" w:fill="FFFFFF"/>
        </w:rPr>
        <w:t>Brondoni, 2019.</w:t>
      </w:r>
      <w:r w:rsidR="007445C8" w:rsidRPr="009C7D53">
        <w:rPr>
          <w:rFonts w:ascii="Times New Roman" w:hAnsi="Times New Roman" w:cs="Times New Roman"/>
          <w:sz w:val="24"/>
          <w:szCs w:val="24"/>
        </w:rPr>
        <w:t>)</w:t>
      </w:r>
      <w:r w:rsidRPr="009C7D53">
        <w:rPr>
          <w:rFonts w:ascii="Times New Roman" w:hAnsi="Times New Roman" w:cs="Times New Roman"/>
          <w:sz w:val="24"/>
          <w:szCs w:val="24"/>
        </w:rPr>
        <w:t>. This shows that the market did not reflect the pandemic's effects on Coca-Cola's operations as effectively as it could have. The history of Coca-Cola shows that various factors, such as investor attitude, macroeconomic trends, and unforeseen occurrences like pandemics or natural disasters, can affect market efficiency. Coca-Cola must, therefore, constantly evaluate market conditions and adjust its financial strategy as necessary.</w:t>
      </w:r>
    </w:p>
    <w:p w14:paraId="72F447C3" w14:textId="77777777" w:rsidR="004C127F" w:rsidRPr="009C7D53" w:rsidRDefault="00000000" w:rsidP="003C2CEC">
      <w:pPr>
        <w:spacing w:line="480" w:lineRule="auto"/>
        <w:jc w:val="both"/>
        <w:rPr>
          <w:rFonts w:ascii="Times New Roman" w:hAnsi="Times New Roman" w:cs="Times New Roman"/>
          <w:b/>
          <w:sz w:val="24"/>
          <w:szCs w:val="24"/>
        </w:rPr>
      </w:pPr>
      <w:r w:rsidRPr="009C7D53">
        <w:rPr>
          <w:rFonts w:ascii="Times New Roman" w:hAnsi="Times New Roman" w:cs="Times New Roman"/>
          <w:b/>
          <w:sz w:val="24"/>
          <w:szCs w:val="24"/>
        </w:rPr>
        <w:t>Project Appraisal Methods</w:t>
      </w:r>
    </w:p>
    <w:p w14:paraId="2071FF40" w14:textId="77777777" w:rsidR="004C127F"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 xml:space="preserve">In order to examine the viability and potential profitability of new projects, multinational firms like Coca-Cola use project evaluation tools, a crucial component of international financial management (IFM). Internal rate of return (IRR), payback period, and net present value (NPV) are among the widely used project appraisal techniques. Coca-Cola employs a variety of project </w:t>
      </w:r>
      <w:r w:rsidRPr="009C7D53">
        <w:rPr>
          <w:rFonts w:ascii="Times New Roman" w:hAnsi="Times New Roman" w:cs="Times New Roman"/>
          <w:sz w:val="24"/>
          <w:szCs w:val="24"/>
        </w:rPr>
        <w:lastRenderedPageBreak/>
        <w:t>appraisal techniques to assess possible investment possibilities. For instance, Coca-Cola said in 2021 that it would invest $4 billion in China to increase its manufacturing and distribution capacity there</w:t>
      </w:r>
      <w:r w:rsidR="00EE21A0" w:rsidRPr="009C7D53">
        <w:rPr>
          <w:rFonts w:ascii="Times New Roman" w:hAnsi="Times New Roman" w:cs="Times New Roman"/>
          <w:sz w:val="24"/>
          <w:szCs w:val="24"/>
        </w:rPr>
        <w:t xml:space="preserve"> (</w:t>
      </w:r>
      <w:r w:rsidR="00EE21A0" w:rsidRPr="009C7D53">
        <w:rPr>
          <w:rFonts w:ascii="Times New Roman" w:hAnsi="Times New Roman" w:cs="Times New Roman"/>
          <w:color w:val="222222"/>
          <w:sz w:val="24"/>
          <w:szCs w:val="24"/>
          <w:shd w:val="clear" w:color="auto" w:fill="FFFFFF"/>
        </w:rPr>
        <w:t>Sultan et al.</w:t>
      </w:r>
      <w:r w:rsidR="00EE21A0" w:rsidRPr="009C7D53">
        <w:rPr>
          <w:rFonts w:ascii="Times New Roman" w:hAnsi="Times New Roman" w:cs="Times New Roman"/>
          <w:sz w:val="24"/>
          <w:szCs w:val="24"/>
        </w:rPr>
        <w:t>, 2019)</w:t>
      </w:r>
      <w:r w:rsidRPr="009C7D53">
        <w:rPr>
          <w:rFonts w:ascii="Times New Roman" w:hAnsi="Times New Roman" w:cs="Times New Roman"/>
          <w:sz w:val="24"/>
          <w:szCs w:val="24"/>
        </w:rPr>
        <w:t>. In order to analyze the possible return on investment and ascertain whether the project was financially feasible, this investment was examined using a variety of appraisal techniques, including NPV and IRR.</w:t>
      </w:r>
    </w:p>
    <w:p w14:paraId="5059F405" w14:textId="77777777" w:rsidR="004C127F" w:rsidRPr="009C7D53" w:rsidRDefault="00000000" w:rsidP="00170D76">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t>In order to assess the financial viability of new investments, such as increasing production or entering new markets, the NPV approach is a crucial tool in project appraisal. Although Coca-Cola has a history of making profitable investments in many markets, it is crucial to carefully assess each investment opportunity to ensure that it aligns with the company's financial objectives and yields a profit. In the past, the corporation has made several sizable investments, such as the 2019 purchase of Costa Coffee, which came with a sizable up-front payment</w:t>
      </w:r>
      <w:r w:rsidR="00170D76" w:rsidRPr="00170D76">
        <w:rPr>
          <w:rFonts w:ascii="Arial" w:hAnsi="Arial" w:cs="Arial"/>
          <w:color w:val="222222"/>
          <w:sz w:val="20"/>
          <w:szCs w:val="20"/>
          <w:shd w:val="clear" w:color="auto" w:fill="FFFFFF"/>
        </w:rPr>
        <w:t xml:space="preserve"> </w:t>
      </w:r>
      <w:r w:rsidR="00170D76" w:rsidRPr="00170D76">
        <w:rPr>
          <w:rFonts w:ascii="Times New Roman" w:hAnsi="Times New Roman" w:cs="Times New Roman"/>
          <w:color w:val="222222"/>
          <w:sz w:val="24"/>
          <w:szCs w:val="24"/>
          <w:shd w:val="clear" w:color="auto" w:fill="FFFFFF"/>
        </w:rPr>
        <w:t>(Shapiro and Hanouna, 2019)</w:t>
      </w:r>
      <w:r w:rsidRPr="009C7D53">
        <w:rPr>
          <w:rFonts w:ascii="Times New Roman" w:hAnsi="Times New Roman" w:cs="Times New Roman"/>
          <w:sz w:val="24"/>
          <w:szCs w:val="24"/>
        </w:rPr>
        <w:t>. Coca-Cola evaluate</w:t>
      </w:r>
      <w:r w:rsidR="00FC2A91" w:rsidRPr="009C7D53">
        <w:rPr>
          <w:rFonts w:ascii="Times New Roman" w:hAnsi="Times New Roman" w:cs="Times New Roman"/>
          <w:sz w:val="24"/>
          <w:szCs w:val="24"/>
        </w:rPr>
        <w:t>d</w:t>
      </w:r>
      <w:r w:rsidRPr="009C7D53">
        <w:rPr>
          <w:rFonts w:ascii="Times New Roman" w:hAnsi="Times New Roman" w:cs="Times New Roman"/>
          <w:sz w:val="24"/>
          <w:szCs w:val="24"/>
        </w:rPr>
        <w:t xml:space="preserve"> the prospective profitability of </w:t>
      </w:r>
      <w:r w:rsidR="00FC2A91" w:rsidRPr="009C7D53">
        <w:rPr>
          <w:rFonts w:ascii="Times New Roman" w:hAnsi="Times New Roman" w:cs="Times New Roman"/>
          <w:sz w:val="24"/>
          <w:szCs w:val="24"/>
        </w:rPr>
        <w:t xml:space="preserve">these </w:t>
      </w:r>
      <w:r w:rsidRPr="009C7D53">
        <w:rPr>
          <w:rFonts w:ascii="Times New Roman" w:hAnsi="Times New Roman" w:cs="Times New Roman"/>
          <w:sz w:val="24"/>
          <w:szCs w:val="24"/>
        </w:rPr>
        <w:t>investments using the NPV technique and decided whether they were worthwhile pursuing. Coca-Cola would have estimated the projected cash flows from the acquisition over its lifetime</w:t>
      </w:r>
      <w:r w:rsidR="00170D76">
        <w:rPr>
          <w:rFonts w:ascii="Times New Roman" w:hAnsi="Times New Roman" w:cs="Times New Roman"/>
          <w:sz w:val="24"/>
          <w:szCs w:val="24"/>
        </w:rPr>
        <w:t xml:space="preserve"> </w:t>
      </w:r>
      <w:r w:rsidR="003C2CEC">
        <w:rPr>
          <w:rFonts w:ascii="Times New Roman" w:hAnsi="Times New Roman" w:cs="Times New Roman"/>
          <w:sz w:val="24"/>
          <w:szCs w:val="24"/>
        </w:rPr>
        <w:t>(</w:t>
      </w:r>
      <w:r w:rsidR="003C2CEC" w:rsidRPr="00170D76">
        <w:rPr>
          <w:rFonts w:ascii="Times New Roman" w:hAnsi="Times New Roman" w:cs="Times New Roman"/>
          <w:color w:val="222222"/>
          <w:sz w:val="24"/>
          <w:szCs w:val="24"/>
          <w:shd w:val="clear" w:color="auto" w:fill="FFFFFF"/>
        </w:rPr>
        <w:t>Breuer</w:t>
      </w:r>
      <w:r w:rsidR="00170D76">
        <w:rPr>
          <w:rFonts w:ascii="Times New Roman" w:hAnsi="Times New Roman" w:cs="Times New Roman"/>
          <w:color w:val="222222"/>
          <w:sz w:val="24"/>
          <w:szCs w:val="24"/>
          <w:shd w:val="clear" w:color="auto" w:fill="FFFFFF"/>
        </w:rPr>
        <w:t xml:space="preserve"> </w:t>
      </w:r>
      <w:r w:rsidR="003C2CEC" w:rsidRPr="00170D76">
        <w:rPr>
          <w:rFonts w:ascii="Times New Roman" w:hAnsi="Times New Roman" w:cs="Times New Roman"/>
          <w:color w:val="222222"/>
          <w:sz w:val="24"/>
          <w:szCs w:val="24"/>
          <w:shd w:val="clear" w:color="auto" w:fill="FFFFFF"/>
        </w:rPr>
        <w:t>and Ruiz, 2021</w:t>
      </w:r>
      <w:r w:rsidR="003C2CEC">
        <w:rPr>
          <w:rFonts w:ascii="Arial" w:hAnsi="Arial" w:cs="Arial"/>
          <w:color w:val="222222"/>
          <w:sz w:val="20"/>
          <w:szCs w:val="20"/>
          <w:shd w:val="clear" w:color="auto" w:fill="FFFFFF"/>
        </w:rPr>
        <w:t>)</w:t>
      </w:r>
      <w:r w:rsidRPr="009C7D53">
        <w:rPr>
          <w:rFonts w:ascii="Times New Roman" w:hAnsi="Times New Roman" w:cs="Times New Roman"/>
          <w:sz w:val="24"/>
          <w:szCs w:val="24"/>
        </w:rPr>
        <w:t>. Along with any cost savings anticipated due to the acquisition, this included money from higher sales of coffee-related goods. The time value of mon</w:t>
      </w:r>
      <w:r w:rsidR="005C3024" w:rsidRPr="009C7D53">
        <w:rPr>
          <w:rFonts w:ascii="Times New Roman" w:hAnsi="Times New Roman" w:cs="Times New Roman"/>
          <w:sz w:val="24"/>
          <w:szCs w:val="24"/>
        </w:rPr>
        <w:t>ey and the cost of capital were</w:t>
      </w:r>
      <w:r w:rsidRPr="009C7D53">
        <w:rPr>
          <w:rFonts w:ascii="Times New Roman" w:hAnsi="Times New Roman" w:cs="Times New Roman"/>
          <w:sz w:val="24"/>
          <w:szCs w:val="24"/>
        </w:rPr>
        <w:t xml:space="preserve"> then considered when calculating the discount rate that would be used to return these future cash flows to their present value.</w:t>
      </w:r>
      <w:r w:rsidR="004E6975" w:rsidRPr="009C7D53">
        <w:rPr>
          <w:rFonts w:ascii="Times New Roman" w:hAnsi="Times New Roman" w:cs="Times New Roman"/>
          <w:sz w:val="24"/>
          <w:szCs w:val="24"/>
        </w:rPr>
        <w:t xml:space="preserve"> Coca-Cola</w:t>
      </w:r>
      <w:r w:rsidR="005C3024" w:rsidRPr="009C7D53">
        <w:rPr>
          <w:rFonts w:ascii="Times New Roman" w:hAnsi="Times New Roman" w:cs="Times New Roman"/>
          <w:sz w:val="24"/>
          <w:szCs w:val="24"/>
        </w:rPr>
        <w:t xml:space="preserve"> then </w:t>
      </w:r>
      <w:r w:rsidR="004E6975" w:rsidRPr="009C7D53">
        <w:rPr>
          <w:rFonts w:ascii="Times New Roman" w:hAnsi="Times New Roman" w:cs="Times New Roman"/>
          <w:sz w:val="24"/>
          <w:szCs w:val="24"/>
        </w:rPr>
        <w:t>assess</w:t>
      </w:r>
      <w:r w:rsidR="005C3024" w:rsidRPr="009C7D53">
        <w:rPr>
          <w:rFonts w:ascii="Times New Roman" w:hAnsi="Times New Roman" w:cs="Times New Roman"/>
          <w:sz w:val="24"/>
          <w:szCs w:val="24"/>
        </w:rPr>
        <w:t>ed</w:t>
      </w:r>
      <w:r w:rsidR="004E6975" w:rsidRPr="009C7D53">
        <w:rPr>
          <w:rFonts w:ascii="Times New Roman" w:hAnsi="Times New Roman" w:cs="Times New Roman"/>
          <w:sz w:val="24"/>
          <w:szCs w:val="24"/>
        </w:rPr>
        <w:t xml:space="preserve"> if the acquisition was financially feasible and likely to yield a profit by comparing the NPV of the investment with the original acquisition cost</w:t>
      </w:r>
      <w:r w:rsidR="009C7D53" w:rsidRPr="009C7D53">
        <w:rPr>
          <w:rFonts w:ascii="Times New Roman" w:hAnsi="Times New Roman" w:cs="Times New Roman"/>
          <w:color w:val="222222"/>
          <w:sz w:val="24"/>
          <w:szCs w:val="24"/>
          <w:shd w:val="clear" w:color="auto" w:fill="FFFFFF"/>
        </w:rPr>
        <w:t xml:space="preserve"> (Jaiswal et al., 2022)</w:t>
      </w:r>
      <w:r w:rsidR="004E6975" w:rsidRPr="009C7D53">
        <w:rPr>
          <w:rFonts w:ascii="Times New Roman" w:hAnsi="Times New Roman" w:cs="Times New Roman"/>
          <w:sz w:val="24"/>
          <w:szCs w:val="24"/>
        </w:rPr>
        <w:t>. If the NPV were positive, it would mean that the acquisition would bring in more money than it cost the corporation to borrow it, making it a financially viable investment. The acquisition would not produce a positive return if the NPV were negative. Hence it should not be pursued.</w:t>
      </w:r>
    </w:p>
    <w:p w14:paraId="25F33F61" w14:textId="77777777" w:rsidR="004E6975" w:rsidRPr="009C7D53" w:rsidRDefault="00000000" w:rsidP="003C2CEC">
      <w:pPr>
        <w:spacing w:line="480" w:lineRule="auto"/>
        <w:ind w:firstLine="720"/>
        <w:jc w:val="both"/>
        <w:rPr>
          <w:rFonts w:ascii="Times New Roman" w:hAnsi="Times New Roman" w:cs="Times New Roman"/>
          <w:sz w:val="24"/>
          <w:szCs w:val="24"/>
        </w:rPr>
      </w:pPr>
      <w:r w:rsidRPr="009C7D53">
        <w:rPr>
          <w:rFonts w:ascii="Times New Roman" w:hAnsi="Times New Roman" w:cs="Times New Roman"/>
          <w:sz w:val="24"/>
          <w:szCs w:val="24"/>
        </w:rPr>
        <w:lastRenderedPageBreak/>
        <w:t>The IRR approach is a key tool in Coca-Cola to assess new investment possibilities and identify the most financially appealing projects. The IRR method enables the comparison of projects with various initial investment costs and cash flow profiles by estimating the rate at which the net present value of future cash flows from a project equals zero. Coca-Cola, for instance, may assess two projects' potential returns on investments using the IRR approach. The project with the greater IRR would be viewed as more financially appealing and more likely to produce a higher return than its starting cost</w:t>
      </w:r>
      <w:r w:rsidR="003C2CEC">
        <w:rPr>
          <w:rFonts w:ascii="Times New Roman" w:hAnsi="Times New Roman" w:cs="Times New Roman"/>
          <w:sz w:val="24"/>
          <w:szCs w:val="24"/>
        </w:rPr>
        <w:t xml:space="preserve"> </w:t>
      </w:r>
      <w:r w:rsidR="00EE21A0" w:rsidRPr="009C7D53">
        <w:rPr>
          <w:rFonts w:ascii="Times New Roman" w:hAnsi="Times New Roman" w:cs="Times New Roman"/>
          <w:sz w:val="24"/>
          <w:szCs w:val="24"/>
        </w:rPr>
        <w:t>(</w:t>
      </w:r>
      <w:r w:rsidR="00EE21A0" w:rsidRPr="009C7D53">
        <w:rPr>
          <w:rFonts w:ascii="Times New Roman" w:hAnsi="Times New Roman" w:cs="Times New Roman"/>
          <w:color w:val="222222"/>
          <w:sz w:val="24"/>
          <w:szCs w:val="24"/>
          <w:shd w:val="clear" w:color="auto" w:fill="FFFFFF"/>
        </w:rPr>
        <w:t>Bekimbetova et al., 2021</w:t>
      </w:r>
      <w:r w:rsidR="00EE21A0" w:rsidRPr="009C7D53">
        <w:rPr>
          <w:rFonts w:ascii="Times New Roman" w:hAnsi="Times New Roman" w:cs="Times New Roman"/>
          <w:sz w:val="24"/>
          <w:szCs w:val="24"/>
        </w:rPr>
        <w:t>)</w:t>
      </w:r>
      <w:r w:rsidRPr="009C7D53">
        <w:rPr>
          <w:rFonts w:ascii="Times New Roman" w:hAnsi="Times New Roman" w:cs="Times New Roman"/>
          <w:sz w:val="24"/>
          <w:szCs w:val="24"/>
        </w:rPr>
        <w:t>. It is crucial to remember that the IRR technique has drawbacks, such as the assumption that cash flows will be reinvested at the same rate. As a result, it should be used in conjunction with other techniques, such as the NPV approach, to ensure a thorough analysis of potential investment prospects.</w:t>
      </w:r>
    </w:p>
    <w:p w14:paraId="7FD344BA" w14:textId="77777777" w:rsidR="004E6975" w:rsidRPr="009C7D53" w:rsidRDefault="004E6975" w:rsidP="003C2CEC">
      <w:pPr>
        <w:spacing w:line="480" w:lineRule="auto"/>
        <w:ind w:firstLine="720"/>
        <w:jc w:val="both"/>
        <w:rPr>
          <w:rFonts w:ascii="Times New Roman" w:hAnsi="Times New Roman" w:cs="Times New Roman"/>
          <w:b/>
          <w:sz w:val="24"/>
          <w:szCs w:val="24"/>
        </w:rPr>
      </w:pPr>
    </w:p>
    <w:p w14:paraId="67008143" w14:textId="77777777" w:rsidR="005C3024" w:rsidRPr="009C7D53" w:rsidRDefault="005C3024" w:rsidP="003C2CEC">
      <w:pPr>
        <w:spacing w:line="480" w:lineRule="auto"/>
        <w:ind w:firstLine="720"/>
        <w:jc w:val="both"/>
        <w:rPr>
          <w:rFonts w:ascii="Times New Roman" w:hAnsi="Times New Roman" w:cs="Times New Roman"/>
          <w:b/>
          <w:sz w:val="24"/>
          <w:szCs w:val="24"/>
        </w:rPr>
      </w:pPr>
    </w:p>
    <w:p w14:paraId="196BE48C" w14:textId="77777777" w:rsidR="005C3024" w:rsidRPr="009C7D53" w:rsidRDefault="005C3024" w:rsidP="003C2CEC">
      <w:pPr>
        <w:spacing w:line="480" w:lineRule="auto"/>
        <w:ind w:firstLine="720"/>
        <w:jc w:val="both"/>
        <w:rPr>
          <w:rFonts w:ascii="Times New Roman" w:hAnsi="Times New Roman" w:cs="Times New Roman"/>
          <w:b/>
          <w:sz w:val="24"/>
          <w:szCs w:val="24"/>
        </w:rPr>
      </w:pPr>
    </w:p>
    <w:p w14:paraId="5B2B9657" w14:textId="77777777" w:rsidR="005C3024" w:rsidRPr="009C7D53" w:rsidRDefault="005C3024" w:rsidP="003C2CEC">
      <w:pPr>
        <w:spacing w:line="480" w:lineRule="auto"/>
        <w:ind w:firstLine="720"/>
        <w:jc w:val="both"/>
        <w:rPr>
          <w:rFonts w:ascii="Times New Roman" w:hAnsi="Times New Roman" w:cs="Times New Roman"/>
          <w:b/>
          <w:sz w:val="24"/>
          <w:szCs w:val="24"/>
        </w:rPr>
      </w:pPr>
    </w:p>
    <w:p w14:paraId="32336C63" w14:textId="77777777" w:rsidR="005C3024" w:rsidRPr="009C7D53" w:rsidRDefault="005C3024" w:rsidP="003C2CEC">
      <w:pPr>
        <w:spacing w:line="480" w:lineRule="auto"/>
        <w:ind w:firstLine="720"/>
        <w:jc w:val="both"/>
        <w:rPr>
          <w:rFonts w:ascii="Times New Roman" w:hAnsi="Times New Roman" w:cs="Times New Roman"/>
          <w:b/>
          <w:sz w:val="24"/>
          <w:szCs w:val="24"/>
        </w:rPr>
      </w:pPr>
    </w:p>
    <w:p w14:paraId="79D1D133" w14:textId="77777777" w:rsidR="005C3024" w:rsidRPr="009C7D53" w:rsidRDefault="005C3024" w:rsidP="003C2CEC">
      <w:pPr>
        <w:spacing w:line="480" w:lineRule="auto"/>
        <w:ind w:firstLine="720"/>
        <w:jc w:val="both"/>
        <w:rPr>
          <w:rFonts w:ascii="Times New Roman" w:hAnsi="Times New Roman" w:cs="Times New Roman"/>
          <w:b/>
          <w:sz w:val="24"/>
          <w:szCs w:val="24"/>
        </w:rPr>
      </w:pPr>
    </w:p>
    <w:p w14:paraId="01539D6C" w14:textId="77777777" w:rsidR="00EE21A0" w:rsidRPr="009C7D53" w:rsidRDefault="00EE21A0" w:rsidP="003C2CEC">
      <w:pPr>
        <w:spacing w:line="480" w:lineRule="auto"/>
        <w:jc w:val="both"/>
        <w:rPr>
          <w:rFonts w:ascii="Times New Roman" w:hAnsi="Times New Roman" w:cs="Times New Roman"/>
          <w:b/>
          <w:sz w:val="24"/>
          <w:szCs w:val="24"/>
        </w:rPr>
      </w:pPr>
    </w:p>
    <w:p w14:paraId="7FCAF081" w14:textId="77777777" w:rsidR="009C7D53" w:rsidRPr="009C7D53" w:rsidRDefault="009C7D53" w:rsidP="003C2CEC">
      <w:pPr>
        <w:spacing w:line="480" w:lineRule="auto"/>
        <w:jc w:val="both"/>
        <w:rPr>
          <w:rFonts w:ascii="Times New Roman" w:hAnsi="Times New Roman" w:cs="Times New Roman"/>
          <w:b/>
          <w:sz w:val="24"/>
          <w:szCs w:val="24"/>
        </w:rPr>
      </w:pPr>
    </w:p>
    <w:p w14:paraId="27796E84" w14:textId="77777777" w:rsidR="009C7D53" w:rsidRPr="009C7D53" w:rsidRDefault="009C7D53" w:rsidP="003C2CEC">
      <w:pPr>
        <w:spacing w:line="480" w:lineRule="auto"/>
        <w:jc w:val="both"/>
        <w:rPr>
          <w:rFonts w:ascii="Times New Roman" w:hAnsi="Times New Roman" w:cs="Times New Roman"/>
          <w:b/>
          <w:sz w:val="24"/>
          <w:szCs w:val="24"/>
        </w:rPr>
      </w:pPr>
    </w:p>
    <w:p w14:paraId="7891814F" w14:textId="77777777" w:rsidR="009C7D53" w:rsidRPr="009C7D53" w:rsidRDefault="009C7D53" w:rsidP="003C2CEC">
      <w:pPr>
        <w:spacing w:line="480" w:lineRule="auto"/>
        <w:jc w:val="both"/>
        <w:rPr>
          <w:rFonts w:ascii="Times New Roman" w:hAnsi="Times New Roman" w:cs="Times New Roman"/>
          <w:b/>
          <w:sz w:val="24"/>
          <w:szCs w:val="24"/>
        </w:rPr>
      </w:pPr>
    </w:p>
    <w:p w14:paraId="011ABF38" w14:textId="77777777" w:rsidR="009C7D53" w:rsidRPr="009C7D53" w:rsidRDefault="009C7D53" w:rsidP="003C2CEC">
      <w:pPr>
        <w:spacing w:line="480" w:lineRule="auto"/>
        <w:jc w:val="both"/>
        <w:rPr>
          <w:rFonts w:ascii="Times New Roman" w:hAnsi="Times New Roman" w:cs="Times New Roman"/>
          <w:b/>
          <w:sz w:val="24"/>
          <w:szCs w:val="24"/>
        </w:rPr>
      </w:pPr>
    </w:p>
    <w:p w14:paraId="7A268335" w14:textId="77777777" w:rsidR="00170D76" w:rsidRDefault="00170D76" w:rsidP="00170D76">
      <w:pPr>
        <w:spacing w:line="480" w:lineRule="auto"/>
        <w:rPr>
          <w:rFonts w:ascii="Times New Roman" w:hAnsi="Times New Roman" w:cs="Times New Roman"/>
          <w:b/>
          <w:sz w:val="24"/>
          <w:szCs w:val="24"/>
        </w:rPr>
      </w:pPr>
    </w:p>
    <w:p w14:paraId="32848D7B" w14:textId="77777777" w:rsidR="004E6975" w:rsidRPr="009C7D53" w:rsidRDefault="00000000" w:rsidP="00170D76">
      <w:pPr>
        <w:spacing w:line="480" w:lineRule="auto"/>
        <w:jc w:val="center"/>
        <w:rPr>
          <w:rFonts w:ascii="Times New Roman" w:hAnsi="Times New Roman" w:cs="Times New Roman"/>
          <w:b/>
          <w:sz w:val="24"/>
          <w:szCs w:val="24"/>
        </w:rPr>
      </w:pPr>
      <w:r w:rsidRPr="009C7D53">
        <w:rPr>
          <w:rFonts w:ascii="Times New Roman" w:hAnsi="Times New Roman" w:cs="Times New Roman"/>
          <w:b/>
          <w:sz w:val="24"/>
          <w:szCs w:val="24"/>
        </w:rPr>
        <w:t>Reference List</w:t>
      </w:r>
    </w:p>
    <w:p w14:paraId="2234650D" w14:textId="77777777" w:rsidR="004E6975" w:rsidRPr="00170D76" w:rsidRDefault="00000000"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Brondoni, S.M., 2019. Shareowners, stakeholders &amp; the global oversize economy. The coca-cola company case. </w:t>
      </w:r>
      <w:r w:rsidRPr="00170D76">
        <w:rPr>
          <w:rFonts w:ascii="Times New Roman" w:hAnsi="Times New Roman" w:cs="Times New Roman"/>
          <w:i/>
          <w:iCs/>
          <w:color w:val="222222"/>
          <w:sz w:val="24"/>
          <w:szCs w:val="24"/>
          <w:shd w:val="clear" w:color="auto" w:fill="FFFFFF"/>
        </w:rPr>
        <w:t>Symphony. Emerging Issues in Management</w:t>
      </w:r>
      <w:r w:rsidRPr="00170D76">
        <w:rPr>
          <w:rFonts w:ascii="Times New Roman" w:hAnsi="Times New Roman" w:cs="Times New Roman"/>
          <w:color w:val="222222"/>
          <w:sz w:val="24"/>
          <w:szCs w:val="24"/>
          <w:shd w:val="clear" w:color="auto" w:fill="FFFFFF"/>
        </w:rPr>
        <w:t>, (1), pp.16-27.</w:t>
      </w:r>
    </w:p>
    <w:p w14:paraId="4F15747F" w14:textId="77777777" w:rsidR="003C2CEC" w:rsidRPr="00170D76" w:rsidRDefault="003C2CEC"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Breuer, W. and Ruiz de Vargas, S., 2021. Some key developments in international financial management. </w:t>
      </w:r>
      <w:r w:rsidRPr="00170D76">
        <w:rPr>
          <w:rFonts w:ascii="Times New Roman" w:hAnsi="Times New Roman" w:cs="Times New Roman"/>
          <w:i/>
          <w:iCs/>
          <w:color w:val="222222"/>
          <w:sz w:val="24"/>
          <w:szCs w:val="24"/>
          <w:shd w:val="clear" w:color="auto" w:fill="FFFFFF"/>
        </w:rPr>
        <w:t>Journal of Business Economics</w:t>
      </w:r>
      <w:r w:rsidRPr="00170D76">
        <w:rPr>
          <w:rFonts w:ascii="Times New Roman" w:hAnsi="Times New Roman" w:cs="Times New Roman"/>
          <w:color w:val="222222"/>
          <w:sz w:val="24"/>
          <w:szCs w:val="24"/>
          <w:shd w:val="clear" w:color="auto" w:fill="FFFFFF"/>
        </w:rPr>
        <w:t>, </w:t>
      </w:r>
      <w:r w:rsidRPr="00170D76">
        <w:rPr>
          <w:rFonts w:ascii="Times New Roman" w:hAnsi="Times New Roman" w:cs="Times New Roman"/>
          <w:i/>
          <w:iCs/>
          <w:color w:val="222222"/>
          <w:sz w:val="24"/>
          <w:szCs w:val="24"/>
          <w:shd w:val="clear" w:color="auto" w:fill="FFFFFF"/>
        </w:rPr>
        <w:t>91</w:t>
      </w:r>
      <w:r w:rsidRPr="00170D76">
        <w:rPr>
          <w:rFonts w:ascii="Times New Roman" w:hAnsi="Times New Roman" w:cs="Times New Roman"/>
          <w:color w:val="222222"/>
          <w:sz w:val="24"/>
          <w:szCs w:val="24"/>
          <w:shd w:val="clear" w:color="auto" w:fill="FFFFFF"/>
        </w:rPr>
        <w:t>(5), pp.595-615.</w:t>
      </w:r>
    </w:p>
    <w:p w14:paraId="0522FEA3" w14:textId="77777777" w:rsidR="00927477" w:rsidRPr="00170D76" w:rsidRDefault="00000000"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Bekimbetova, G.M., Erkinov, S.B. and Rakhimov, U.F., 2021. Culture and its influence on consumer behavior in the context of marketing (in case of “Coca-Cola” company). </w:t>
      </w:r>
      <w:r w:rsidRPr="00170D76">
        <w:rPr>
          <w:rFonts w:ascii="Times New Roman" w:hAnsi="Times New Roman" w:cs="Times New Roman"/>
          <w:i/>
          <w:iCs/>
          <w:color w:val="222222"/>
          <w:sz w:val="24"/>
          <w:szCs w:val="24"/>
          <w:shd w:val="clear" w:color="auto" w:fill="FFFFFF"/>
        </w:rPr>
        <w:t>Deutsche Internationale Zeitschrift für zeitgenössische Wissenschaft</w:t>
      </w:r>
      <w:r w:rsidRPr="00170D76">
        <w:rPr>
          <w:rFonts w:ascii="Times New Roman" w:hAnsi="Times New Roman" w:cs="Times New Roman"/>
          <w:color w:val="222222"/>
          <w:sz w:val="24"/>
          <w:szCs w:val="24"/>
          <w:shd w:val="clear" w:color="auto" w:fill="FFFFFF"/>
        </w:rPr>
        <w:t>, (7-2), pp.4-6.</w:t>
      </w:r>
    </w:p>
    <w:p w14:paraId="2A8F662B" w14:textId="77777777" w:rsidR="009C7D53" w:rsidRPr="00170D76" w:rsidRDefault="009C7D53"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Bowie, N., 2019. The moral obligations of multinational corporations. In </w:t>
      </w:r>
      <w:r w:rsidRPr="00170D76">
        <w:rPr>
          <w:rFonts w:ascii="Times New Roman" w:hAnsi="Times New Roman" w:cs="Times New Roman"/>
          <w:i/>
          <w:iCs/>
          <w:color w:val="222222"/>
          <w:sz w:val="24"/>
          <w:szCs w:val="24"/>
          <w:shd w:val="clear" w:color="auto" w:fill="FFFFFF"/>
        </w:rPr>
        <w:t>Problems of international justice</w:t>
      </w:r>
      <w:r w:rsidRPr="00170D76">
        <w:rPr>
          <w:rFonts w:ascii="Times New Roman" w:hAnsi="Times New Roman" w:cs="Times New Roman"/>
          <w:color w:val="222222"/>
          <w:sz w:val="24"/>
          <w:szCs w:val="24"/>
          <w:shd w:val="clear" w:color="auto" w:fill="FFFFFF"/>
        </w:rPr>
        <w:t> (pp. 97-113). Routledge.</w:t>
      </w:r>
    </w:p>
    <w:p w14:paraId="5A4F46E0" w14:textId="77777777" w:rsidR="009C7D53" w:rsidRPr="00170D76" w:rsidRDefault="009C7D53"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Jaiswal, A., Arun, C.J. and Varma, A., 2022. Rebooting employees: Upskilling for artificial intelligence in multinational corporations. </w:t>
      </w:r>
      <w:r w:rsidRPr="00170D76">
        <w:rPr>
          <w:rFonts w:ascii="Times New Roman" w:hAnsi="Times New Roman" w:cs="Times New Roman"/>
          <w:i/>
          <w:iCs/>
          <w:color w:val="222222"/>
          <w:sz w:val="24"/>
          <w:szCs w:val="24"/>
          <w:shd w:val="clear" w:color="auto" w:fill="FFFFFF"/>
        </w:rPr>
        <w:t>The International Journal of Human Resource Management</w:t>
      </w:r>
      <w:r w:rsidRPr="00170D76">
        <w:rPr>
          <w:rFonts w:ascii="Times New Roman" w:hAnsi="Times New Roman" w:cs="Times New Roman"/>
          <w:color w:val="222222"/>
          <w:sz w:val="24"/>
          <w:szCs w:val="24"/>
          <w:shd w:val="clear" w:color="auto" w:fill="FFFFFF"/>
        </w:rPr>
        <w:t>, </w:t>
      </w:r>
      <w:r w:rsidRPr="00170D76">
        <w:rPr>
          <w:rFonts w:ascii="Times New Roman" w:hAnsi="Times New Roman" w:cs="Times New Roman"/>
          <w:i/>
          <w:iCs/>
          <w:color w:val="222222"/>
          <w:sz w:val="24"/>
          <w:szCs w:val="24"/>
          <w:shd w:val="clear" w:color="auto" w:fill="FFFFFF"/>
        </w:rPr>
        <w:t>33</w:t>
      </w:r>
      <w:r w:rsidRPr="00170D76">
        <w:rPr>
          <w:rFonts w:ascii="Times New Roman" w:hAnsi="Times New Roman" w:cs="Times New Roman"/>
          <w:color w:val="222222"/>
          <w:sz w:val="24"/>
          <w:szCs w:val="24"/>
          <w:shd w:val="clear" w:color="auto" w:fill="FFFFFF"/>
        </w:rPr>
        <w:t>(6), pp.1179-1208.</w:t>
      </w:r>
    </w:p>
    <w:p w14:paraId="2E5EF59D" w14:textId="77777777" w:rsidR="003C2CEC" w:rsidRPr="00170D76" w:rsidRDefault="003C2CEC"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Madura, J., 2020. </w:t>
      </w:r>
      <w:r w:rsidRPr="00170D76">
        <w:rPr>
          <w:rFonts w:ascii="Times New Roman" w:hAnsi="Times New Roman" w:cs="Times New Roman"/>
          <w:i/>
          <w:iCs/>
          <w:color w:val="222222"/>
          <w:sz w:val="24"/>
          <w:szCs w:val="24"/>
          <w:shd w:val="clear" w:color="auto" w:fill="FFFFFF"/>
        </w:rPr>
        <w:t>International financial management</w:t>
      </w:r>
      <w:r w:rsidRPr="00170D76">
        <w:rPr>
          <w:rFonts w:ascii="Times New Roman" w:hAnsi="Times New Roman" w:cs="Times New Roman"/>
          <w:color w:val="222222"/>
          <w:sz w:val="24"/>
          <w:szCs w:val="24"/>
          <w:shd w:val="clear" w:color="auto" w:fill="FFFFFF"/>
        </w:rPr>
        <w:t>. Cengage Learning.</w:t>
      </w:r>
    </w:p>
    <w:p w14:paraId="0C0153A4" w14:textId="77777777" w:rsidR="00927477" w:rsidRPr="00170D76" w:rsidRDefault="00000000"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Maani Hessari, N., Ruskin, G., McKEE, MARTIN and Stuckler, D., 2019. Public meets private: conversations between Coca‐Cola and the CDC. </w:t>
      </w:r>
      <w:r w:rsidRPr="00170D76">
        <w:rPr>
          <w:rFonts w:ascii="Times New Roman" w:hAnsi="Times New Roman" w:cs="Times New Roman"/>
          <w:i/>
          <w:iCs/>
          <w:color w:val="222222"/>
          <w:sz w:val="24"/>
          <w:szCs w:val="24"/>
          <w:shd w:val="clear" w:color="auto" w:fill="FFFFFF"/>
        </w:rPr>
        <w:t>The Milbank Quarterly</w:t>
      </w:r>
      <w:r w:rsidRPr="00170D76">
        <w:rPr>
          <w:rFonts w:ascii="Times New Roman" w:hAnsi="Times New Roman" w:cs="Times New Roman"/>
          <w:color w:val="222222"/>
          <w:sz w:val="24"/>
          <w:szCs w:val="24"/>
          <w:shd w:val="clear" w:color="auto" w:fill="FFFFFF"/>
        </w:rPr>
        <w:t>, </w:t>
      </w:r>
      <w:r w:rsidRPr="00170D76">
        <w:rPr>
          <w:rFonts w:ascii="Times New Roman" w:hAnsi="Times New Roman" w:cs="Times New Roman"/>
          <w:i/>
          <w:iCs/>
          <w:color w:val="222222"/>
          <w:sz w:val="24"/>
          <w:szCs w:val="24"/>
          <w:shd w:val="clear" w:color="auto" w:fill="FFFFFF"/>
        </w:rPr>
        <w:t>97</w:t>
      </w:r>
      <w:r w:rsidRPr="00170D76">
        <w:rPr>
          <w:rFonts w:ascii="Times New Roman" w:hAnsi="Times New Roman" w:cs="Times New Roman"/>
          <w:color w:val="222222"/>
          <w:sz w:val="24"/>
          <w:szCs w:val="24"/>
          <w:shd w:val="clear" w:color="auto" w:fill="FFFFFF"/>
        </w:rPr>
        <w:t>(1), pp.74-90.</w:t>
      </w:r>
    </w:p>
    <w:p w14:paraId="29F2789F" w14:textId="77777777" w:rsidR="003C2CEC" w:rsidRPr="00170D76" w:rsidRDefault="003C2CEC"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Robinson, T.R., 2020. </w:t>
      </w:r>
      <w:r w:rsidRPr="00170D76">
        <w:rPr>
          <w:rFonts w:ascii="Times New Roman" w:hAnsi="Times New Roman" w:cs="Times New Roman"/>
          <w:i/>
          <w:iCs/>
          <w:color w:val="222222"/>
          <w:sz w:val="24"/>
          <w:szCs w:val="24"/>
          <w:shd w:val="clear" w:color="auto" w:fill="FFFFFF"/>
        </w:rPr>
        <w:t>International financial statement analysis</w:t>
      </w:r>
      <w:r w:rsidRPr="00170D76">
        <w:rPr>
          <w:rFonts w:ascii="Times New Roman" w:hAnsi="Times New Roman" w:cs="Times New Roman"/>
          <w:color w:val="222222"/>
          <w:sz w:val="24"/>
          <w:szCs w:val="24"/>
          <w:shd w:val="clear" w:color="auto" w:fill="FFFFFF"/>
        </w:rPr>
        <w:t>. John Wiley &amp; Sons.</w:t>
      </w:r>
    </w:p>
    <w:p w14:paraId="560A2E86" w14:textId="77777777" w:rsidR="003C2CEC" w:rsidRPr="00170D76" w:rsidRDefault="003C2CEC"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lastRenderedPageBreak/>
        <w:t>Shapiro, A.C. and Hanouna, P., 2019. </w:t>
      </w:r>
      <w:r w:rsidRPr="00170D76">
        <w:rPr>
          <w:rFonts w:ascii="Times New Roman" w:hAnsi="Times New Roman" w:cs="Times New Roman"/>
          <w:i/>
          <w:iCs/>
          <w:color w:val="222222"/>
          <w:sz w:val="24"/>
          <w:szCs w:val="24"/>
          <w:shd w:val="clear" w:color="auto" w:fill="FFFFFF"/>
        </w:rPr>
        <w:t>Multinational financial management</w:t>
      </w:r>
      <w:r w:rsidRPr="00170D76">
        <w:rPr>
          <w:rFonts w:ascii="Times New Roman" w:hAnsi="Times New Roman" w:cs="Times New Roman"/>
          <w:color w:val="222222"/>
          <w:sz w:val="24"/>
          <w:szCs w:val="24"/>
          <w:shd w:val="clear" w:color="auto" w:fill="FFFFFF"/>
        </w:rPr>
        <w:t>. John Wiley &amp; Sons.</w:t>
      </w:r>
    </w:p>
    <w:p w14:paraId="5FA79E73" w14:textId="77777777" w:rsidR="00927477" w:rsidRPr="00170D76" w:rsidRDefault="00000000" w:rsidP="00170D76">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70D76">
        <w:rPr>
          <w:rFonts w:ascii="Times New Roman" w:hAnsi="Times New Roman" w:cs="Times New Roman"/>
          <w:color w:val="222222"/>
          <w:sz w:val="24"/>
          <w:szCs w:val="24"/>
          <w:shd w:val="clear" w:color="auto" w:fill="FFFFFF"/>
        </w:rPr>
        <w:t>Sultan, K., Akram, S., Abdulhaliq, S., Jamal, D. and Saleem, R., 2019. A strategic approach to the consumer perception of brand on the basis of brand awareness and brand loyalty: A comparative analysis of Coke &amp; Pepsi brands in Erbil KRI. </w:t>
      </w:r>
      <w:r w:rsidRPr="00170D76">
        <w:rPr>
          <w:rFonts w:ascii="Times New Roman" w:hAnsi="Times New Roman" w:cs="Times New Roman"/>
          <w:i/>
          <w:iCs/>
          <w:color w:val="222222"/>
          <w:sz w:val="24"/>
          <w:szCs w:val="24"/>
          <w:shd w:val="clear" w:color="auto" w:fill="FFFFFF"/>
        </w:rPr>
        <w:t>International Journal of Research in Business and Social Science (2147-4478)</w:t>
      </w:r>
      <w:r w:rsidRPr="00170D76">
        <w:rPr>
          <w:rFonts w:ascii="Times New Roman" w:hAnsi="Times New Roman" w:cs="Times New Roman"/>
          <w:color w:val="222222"/>
          <w:sz w:val="24"/>
          <w:szCs w:val="24"/>
          <w:shd w:val="clear" w:color="auto" w:fill="FFFFFF"/>
        </w:rPr>
        <w:t>, </w:t>
      </w:r>
      <w:r w:rsidRPr="00170D76">
        <w:rPr>
          <w:rFonts w:ascii="Times New Roman" w:hAnsi="Times New Roman" w:cs="Times New Roman"/>
          <w:i/>
          <w:iCs/>
          <w:color w:val="222222"/>
          <w:sz w:val="24"/>
          <w:szCs w:val="24"/>
          <w:shd w:val="clear" w:color="auto" w:fill="FFFFFF"/>
        </w:rPr>
        <w:t>8</w:t>
      </w:r>
      <w:r w:rsidRPr="00170D76">
        <w:rPr>
          <w:rFonts w:ascii="Times New Roman" w:hAnsi="Times New Roman" w:cs="Times New Roman"/>
          <w:color w:val="222222"/>
          <w:sz w:val="24"/>
          <w:szCs w:val="24"/>
          <w:shd w:val="clear" w:color="auto" w:fill="FFFFFF"/>
        </w:rPr>
        <w:t>(3), pp.33-44.</w:t>
      </w:r>
    </w:p>
    <w:p w14:paraId="3C767E77" w14:textId="77777777" w:rsidR="00656DBD" w:rsidRPr="00170D76" w:rsidRDefault="00000000" w:rsidP="00170D76">
      <w:pPr>
        <w:pStyle w:val="ListParagraph"/>
        <w:numPr>
          <w:ilvl w:val="0"/>
          <w:numId w:val="1"/>
        </w:numPr>
        <w:spacing w:line="480" w:lineRule="auto"/>
        <w:jc w:val="both"/>
        <w:rPr>
          <w:rFonts w:ascii="Times New Roman" w:hAnsi="Times New Roman" w:cs="Times New Roman"/>
          <w:sz w:val="24"/>
          <w:szCs w:val="24"/>
        </w:rPr>
      </w:pPr>
      <w:r w:rsidRPr="00170D76">
        <w:rPr>
          <w:rFonts w:ascii="Times New Roman" w:hAnsi="Times New Roman" w:cs="Times New Roman"/>
          <w:color w:val="222222"/>
          <w:sz w:val="24"/>
          <w:szCs w:val="24"/>
          <w:shd w:val="clear" w:color="auto" w:fill="FFFFFF"/>
        </w:rPr>
        <w:t>Tien, N.H., Vu, N.T. and Tien, N.V., 2019. The role of brand and brand management in creating business value case of Coca-Cola Vietnam. </w:t>
      </w:r>
      <w:r w:rsidRPr="00170D76">
        <w:rPr>
          <w:rFonts w:ascii="Times New Roman" w:hAnsi="Times New Roman" w:cs="Times New Roman"/>
          <w:i/>
          <w:iCs/>
          <w:color w:val="222222"/>
          <w:sz w:val="24"/>
          <w:szCs w:val="24"/>
          <w:shd w:val="clear" w:color="auto" w:fill="FFFFFF"/>
        </w:rPr>
        <w:t>International Journal of Research in Marketing Management and Sales</w:t>
      </w:r>
      <w:r w:rsidRPr="00170D76">
        <w:rPr>
          <w:rFonts w:ascii="Times New Roman" w:hAnsi="Times New Roman" w:cs="Times New Roman"/>
          <w:color w:val="222222"/>
          <w:sz w:val="24"/>
          <w:szCs w:val="24"/>
          <w:shd w:val="clear" w:color="auto" w:fill="FFFFFF"/>
        </w:rPr>
        <w:t>, </w:t>
      </w:r>
      <w:r w:rsidRPr="00170D76">
        <w:rPr>
          <w:rFonts w:ascii="Times New Roman" w:hAnsi="Times New Roman" w:cs="Times New Roman"/>
          <w:i/>
          <w:iCs/>
          <w:color w:val="222222"/>
          <w:sz w:val="24"/>
          <w:szCs w:val="24"/>
          <w:shd w:val="clear" w:color="auto" w:fill="FFFFFF"/>
        </w:rPr>
        <w:t>1</w:t>
      </w:r>
      <w:r w:rsidRPr="00170D76">
        <w:rPr>
          <w:rFonts w:ascii="Times New Roman" w:hAnsi="Times New Roman" w:cs="Times New Roman"/>
          <w:color w:val="222222"/>
          <w:sz w:val="24"/>
          <w:szCs w:val="24"/>
          <w:shd w:val="clear" w:color="auto" w:fill="FFFFFF"/>
        </w:rPr>
        <w:t>(2), pp.57-</w:t>
      </w:r>
    </w:p>
    <w:sectPr w:rsidR="00656DBD" w:rsidRPr="00170D7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653B1" w14:textId="77777777" w:rsidR="003B76F2" w:rsidRDefault="003B76F2" w:rsidP="003C2CEC">
      <w:pPr>
        <w:spacing w:after="0" w:line="240" w:lineRule="auto"/>
      </w:pPr>
      <w:r>
        <w:separator/>
      </w:r>
    </w:p>
  </w:endnote>
  <w:endnote w:type="continuationSeparator" w:id="0">
    <w:p w14:paraId="157EBE22" w14:textId="77777777" w:rsidR="003B76F2" w:rsidRDefault="003B76F2" w:rsidP="003C2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192520"/>
      <w:docPartObj>
        <w:docPartGallery w:val="Page Numbers (Bottom of Page)"/>
        <w:docPartUnique/>
      </w:docPartObj>
    </w:sdtPr>
    <w:sdtEndPr>
      <w:rPr>
        <w:noProof/>
      </w:rPr>
    </w:sdtEndPr>
    <w:sdtContent>
      <w:p w14:paraId="251560B4" w14:textId="77777777" w:rsidR="003C2CEC" w:rsidRDefault="003C2C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2BAF2F" w14:textId="77777777" w:rsidR="003C2CEC" w:rsidRDefault="003C2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D33E6" w14:textId="77777777" w:rsidR="003B76F2" w:rsidRDefault="003B76F2" w:rsidP="003C2CEC">
      <w:pPr>
        <w:spacing w:after="0" w:line="240" w:lineRule="auto"/>
      </w:pPr>
      <w:r>
        <w:separator/>
      </w:r>
    </w:p>
  </w:footnote>
  <w:footnote w:type="continuationSeparator" w:id="0">
    <w:p w14:paraId="4283C44E" w14:textId="77777777" w:rsidR="003B76F2" w:rsidRDefault="003B76F2" w:rsidP="003C2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C15912"/>
    <w:multiLevelType w:val="hybridMultilevel"/>
    <w:tmpl w:val="B5A27914"/>
    <w:lvl w:ilvl="0" w:tplc="CA5A5838">
      <w:start w:val="1"/>
      <w:numFmt w:val="decimal"/>
      <w:lvlText w:val="%1."/>
      <w:lvlJc w:val="left"/>
      <w:pPr>
        <w:ind w:left="720" w:hanging="360"/>
      </w:pPr>
    </w:lvl>
    <w:lvl w:ilvl="1" w:tplc="BDC0EBBC" w:tentative="1">
      <w:start w:val="1"/>
      <w:numFmt w:val="lowerLetter"/>
      <w:lvlText w:val="%2."/>
      <w:lvlJc w:val="left"/>
      <w:pPr>
        <w:ind w:left="1440" w:hanging="360"/>
      </w:pPr>
    </w:lvl>
    <w:lvl w:ilvl="2" w:tplc="3A52A9D4" w:tentative="1">
      <w:start w:val="1"/>
      <w:numFmt w:val="lowerRoman"/>
      <w:lvlText w:val="%3."/>
      <w:lvlJc w:val="right"/>
      <w:pPr>
        <w:ind w:left="2160" w:hanging="180"/>
      </w:pPr>
    </w:lvl>
    <w:lvl w:ilvl="3" w:tplc="DC52D4EC" w:tentative="1">
      <w:start w:val="1"/>
      <w:numFmt w:val="decimal"/>
      <w:lvlText w:val="%4."/>
      <w:lvlJc w:val="left"/>
      <w:pPr>
        <w:ind w:left="2880" w:hanging="360"/>
      </w:pPr>
    </w:lvl>
    <w:lvl w:ilvl="4" w:tplc="E4AAEBB6" w:tentative="1">
      <w:start w:val="1"/>
      <w:numFmt w:val="lowerLetter"/>
      <w:lvlText w:val="%5."/>
      <w:lvlJc w:val="left"/>
      <w:pPr>
        <w:ind w:left="3600" w:hanging="360"/>
      </w:pPr>
    </w:lvl>
    <w:lvl w:ilvl="5" w:tplc="2EBC6188" w:tentative="1">
      <w:start w:val="1"/>
      <w:numFmt w:val="lowerRoman"/>
      <w:lvlText w:val="%6."/>
      <w:lvlJc w:val="right"/>
      <w:pPr>
        <w:ind w:left="4320" w:hanging="180"/>
      </w:pPr>
    </w:lvl>
    <w:lvl w:ilvl="6" w:tplc="273688D8" w:tentative="1">
      <w:start w:val="1"/>
      <w:numFmt w:val="decimal"/>
      <w:lvlText w:val="%7."/>
      <w:lvlJc w:val="left"/>
      <w:pPr>
        <w:ind w:left="5040" w:hanging="360"/>
      </w:pPr>
    </w:lvl>
    <w:lvl w:ilvl="7" w:tplc="486A767C" w:tentative="1">
      <w:start w:val="1"/>
      <w:numFmt w:val="lowerLetter"/>
      <w:lvlText w:val="%8."/>
      <w:lvlJc w:val="left"/>
      <w:pPr>
        <w:ind w:left="5760" w:hanging="360"/>
      </w:pPr>
    </w:lvl>
    <w:lvl w:ilvl="8" w:tplc="0DE6AA5E" w:tentative="1">
      <w:start w:val="1"/>
      <w:numFmt w:val="lowerRoman"/>
      <w:lvlText w:val="%9."/>
      <w:lvlJc w:val="right"/>
      <w:pPr>
        <w:ind w:left="6480" w:hanging="180"/>
      </w:pPr>
    </w:lvl>
  </w:abstractNum>
  <w:num w:numId="1" w16cid:durableId="1783843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811"/>
    <w:rsid w:val="00170D76"/>
    <w:rsid w:val="002015C1"/>
    <w:rsid w:val="00390F62"/>
    <w:rsid w:val="003B76F2"/>
    <w:rsid w:val="003C2CEC"/>
    <w:rsid w:val="004C127F"/>
    <w:rsid w:val="004E6975"/>
    <w:rsid w:val="005C3024"/>
    <w:rsid w:val="0062171C"/>
    <w:rsid w:val="00656DBD"/>
    <w:rsid w:val="00703811"/>
    <w:rsid w:val="007445C8"/>
    <w:rsid w:val="007D549D"/>
    <w:rsid w:val="00907BA8"/>
    <w:rsid w:val="00927477"/>
    <w:rsid w:val="009C79F6"/>
    <w:rsid w:val="009C7D53"/>
    <w:rsid w:val="00A17EDC"/>
    <w:rsid w:val="00B6411C"/>
    <w:rsid w:val="00C73C3F"/>
    <w:rsid w:val="00E04BF2"/>
    <w:rsid w:val="00EE21A0"/>
    <w:rsid w:val="00FC2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F0F1"/>
  <w15:docId w15:val="{AD34199B-B215-430D-9C3D-66A617654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8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5C8"/>
    <w:pPr>
      <w:ind w:left="720"/>
      <w:contextualSpacing/>
    </w:pPr>
  </w:style>
  <w:style w:type="paragraph" w:styleId="Header">
    <w:name w:val="header"/>
    <w:basedOn w:val="Normal"/>
    <w:link w:val="HeaderChar"/>
    <w:uiPriority w:val="99"/>
    <w:unhideWhenUsed/>
    <w:rsid w:val="003C2C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CEC"/>
  </w:style>
  <w:style w:type="paragraph" w:styleId="Footer">
    <w:name w:val="footer"/>
    <w:basedOn w:val="Normal"/>
    <w:link w:val="FooterChar"/>
    <w:uiPriority w:val="99"/>
    <w:unhideWhenUsed/>
    <w:rsid w:val="003C2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Essar Telecom Kenya</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kryptazze</dc:creator>
  <cp:lastModifiedBy>aranka chodnicki</cp:lastModifiedBy>
  <cp:revision>3</cp:revision>
  <dcterms:created xsi:type="dcterms:W3CDTF">2023-04-28T07:40:00Z</dcterms:created>
  <dcterms:modified xsi:type="dcterms:W3CDTF">2023-05-03T18:53:00Z</dcterms:modified>
</cp:coreProperties>
</file>