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44694532"/>
        <w:docPartObj>
          <w:docPartGallery w:val="Cover Pages"/>
          <w:docPartUnique/>
        </w:docPartObj>
      </w:sdtPr>
      <w:sdtEndPr>
        <w:rPr>
          <w:rFonts w:ascii="Arial" w:eastAsiaTheme="minorHAnsi" w:hAnsi="Arial" w:cs="Arial"/>
          <w:color w:val="000000"/>
          <w:lang w:val="en-GB"/>
        </w:rPr>
      </w:sdtEndPr>
      <w:sdtContent>
        <w:p w14:paraId="42EBA70E" w14:textId="2188BFC6" w:rsidR="00A9139A" w:rsidRDefault="00A9139A">
          <w:pPr>
            <w:pStyle w:val="NoSpacing"/>
            <w:spacing w:before="1540" w:after="240"/>
            <w:jc w:val="center"/>
            <w:rPr>
              <w:color w:val="4472C4" w:themeColor="accent1"/>
            </w:rPr>
          </w:pPr>
          <w:r>
            <w:rPr>
              <w:noProof/>
              <w:color w:val="4472C4" w:themeColor="accent1"/>
            </w:rPr>
            <w:drawing>
              <wp:inline distT="0" distB="0" distL="0" distR="0" wp14:anchorId="24E60144" wp14:editId="26CB6658">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EA2BAB7FE3554F6B92F5A74861BA1C2B"/>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574893E" w14:textId="2C8BD4DB" w:rsidR="00A9139A" w:rsidRDefault="00A9139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Children, Young People and Families</w:t>
              </w:r>
            </w:p>
          </w:sdtContent>
        </w:sdt>
        <w:sdt>
          <w:sdtPr>
            <w:rPr>
              <w:rFonts w:ascii="Arial" w:hAnsi="Arial" w:cs="Arial"/>
              <w:color w:val="4472C4" w:themeColor="accent1"/>
            </w:rPr>
            <w:alias w:val="Subtitle"/>
            <w:tag w:val=""/>
            <w:id w:val="328029620"/>
            <w:placeholder>
              <w:docPart w:val="6F23FCFB0FBD4C06898DD5BB496CE3BE"/>
            </w:placeholder>
            <w:dataBinding w:prefixMappings="xmlns:ns0='http://purl.org/dc/elements/1.1/' xmlns:ns1='http://schemas.openxmlformats.org/package/2006/metadata/core-properties' " w:xpath="/ns1:coreProperties[1]/ns0:subject[1]" w:storeItemID="{6C3C8BC8-F283-45AE-878A-BAB7291924A1}"/>
            <w:text/>
          </w:sdtPr>
          <w:sdtContent>
            <w:p w14:paraId="42C20277" w14:textId="105AE798" w:rsidR="00A9139A" w:rsidRDefault="00A9139A">
              <w:pPr>
                <w:pStyle w:val="NoSpacing"/>
                <w:jc w:val="center"/>
                <w:rPr>
                  <w:color w:val="4472C4" w:themeColor="accent1"/>
                  <w:sz w:val="28"/>
                  <w:szCs w:val="28"/>
                </w:rPr>
              </w:pPr>
              <w:r w:rsidRPr="00A9139A">
                <w:rPr>
                  <w:rFonts w:ascii="Arial" w:hAnsi="Arial" w:cs="Arial"/>
                  <w:color w:val="4472C4" w:themeColor="accent1"/>
                </w:rPr>
                <w:t>BMHP:(5004_LON)</w:t>
              </w:r>
            </w:p>
          </w:sdtContent>
        </w:sdt>
        <w:p w14:paraId="27E55B22" w14:textId="77777777" w:rsidR="00A9139A" w:rsidRDefault="00A9139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422133C" wp14:editId="65221FE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9525" b="889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2EB0CB5" w14:textId="7861E779" w:rsidR="00A9139A" w:rsidRDefault="00A9139A">
                                    <w:pPr>
                                      <w:pStyle w:val="NoSpacing"/>
                                      <w:spacing w:after="40"/>
                                      <w:jc w:val="center"/>
                                      <w:rPr>
                                        <w:caps/>
                                        <w:color w:val="4472C4" w:themeColor="accent1"/>
                                        <w:sz w:val="28"/>
                                        <w:szCs w:val="28"/>
                                      </w:rPr>
                                    </w:pPr>
                                    <w:r>
                                      <w:rPr>
                                        <w:caps/>
                                        <w:color w:val="4472C4" w:themeColor="accent1"/>
                                        <w:sz w:val="28"/>
                                        <w:szCs w:val="28"/>
                                      </w:rPr>
                                      <w:t>student NAME: TEODORA Nikolova</w:t>
                                    </w:r>
                                  </w:p>
                                </w:sdtContent>
                              </w:sdt>
                              <w:p w14:paraId="6E535B5C" w14:textId="540CC5A1" w:rsidR="00A9139A" w:rsidRDefault="00A9139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ID:2009133</w:t>
                                    </w:r>
                                  </w:sdtContent>
                                </w:sdt>
                              </w:p>
                              <w:p w14:paraId="0EE4CFF0" w14:textId="1E32F611" w:rsidR="00A9139A" w:rsidRDefault="00A9139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Pr>
                                    <w:color w:val="4472C4" w:themeColor="accent1"/>
                                  </w:rPr>
                                  <w:t xml:space="preserve">Lecturer name: Bianca Sanfilippo   </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422133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62EB0CB5" w14:textId="7861E779" w:rsidR="00A9139A" w:rsidRDefault="00A9139A">
                              <w:pPr>
                                <w:pStyle w:val="NoSpacing"/>
                                <w:spacing w:after="40"/>
                                <w:jc w:val="center"/>
                                <w:rPr>
                                  <w:caps/>
                                  <w:color w:val="4472C4" w:themeColor="accent1"/>
                                  <w:sz w:val="28"/>
                                  <w:szCs w:val="28"/>
                                </w:rPr>
                              </w:pPr>
                              <w:r>
                                <w:rPr>
                                  <w:caps/>
                                  <w:color w:val="4472C4" w:themeColor="accent1"/>
                                  <w:sz w:val="28"/>
                                  <w:szCs w:val="28"/>
                                </w:rPr>
                                <w:t>student NAME: TEODORA Nikolova</w:t>
                              </w:r>
                            </w:p>
                          </w:sdtContent>
                        </w:sdt>
                        <w:p w14:paraId="6E535B5C" w14:textId="540CC5A1" w:rsidR="00A9139A" w:rsidRDefault="00A9139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Student ID:2009133</w:t>
                              </w:r>
                            </w:sdtContent>
                          </w:sdt>
                        </w:p>
                        <w:p w14:paraId="0EE4CFF0" w14:textId="1E32F611" w:rsidR="00A9139A" w:rsidRDefault="00A9139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r>
                            <w:rPr>
                              <w:color w:val="4472C4" w:themeColor="accent1"/>
                            </w:rPr>
                            <w:t xml:space="preserve">Lecturer name: Bianca Sanfilippo   </w:t>
                          </w:r>
                        </w:p>
                      </w:txbxContent>
                    </v:textbox>
                    <w10:wrap anchorx="margin" anchory="page"/>
                  </v:shape>
                </w:pict>
              </mc:Fallback>
            </mc:AlternateContent>
          </w:r>
          <w:r>
            <w:rPr>
              <w:noProof/>
              <w:color w:val="4472C4" w:themeColor="accent1"/>
            </w:rPr>
            <w:drawing>
              <wp:inline distT="0" distB="0" distL="0" distR="0" wp14:anchorId="27D6D613" wp14:editId="77DF4E4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32B09E4" w14:textId="4C59A74D" w:rsidR="00A9139A" w:rsidRDefault="00A9139A">
          <w:pPr>
            <w:rPr>
              <w:rFonts w:ascii="Arial" w:eastAsia="Times New Roman" w:hAnsi="Arial" w:cs="Arial"/>
              <w:color w:val="000000"/>
              <w:lang w:eastAsia="en-GB"/>
            </w:rPr>
          </w:pPr>
          <w:r>
            <w:rPr>
              <w:rFonts w:ascii="Arial" w:hAnsi="Arial" w:cs="Arial"/>
              <w:noProof/>
              <w:color w:val="000000"/>
            </w:rPr>
            <w:drawing>
              <wp:inline distT="0" distB="0" distL="0" distR="0" wp14:anchorId="26740778" wp14:editId="6F77A459">
                <wp:extent cx="5715000" cy="28575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15000" cy="2857500"/>
                        </a:xfrm>
                        <a:prstGeom prst="rect">
                          <a:avLst/>
                        </a:prstGeom>
                      </pic:spPr>
                    </pic:pic>
                  </a:graphicData>
                </a:graphic>
              </wp:inline>
            </w:drawing>
          </w:r>
          <w:r>
            <w:rPr>
              <w:rFonts w:ascii="Arial" w:hAnsi="Arial" w:cs="Arial"/>
              <w:color w:val="000000"/>
            </w:rPr>
            <w:br w:type="page"/>
          </w:r>
        </w:p>
      </w:sdtContent>
    </w:sdt>
    <w:p w14:paraId="791615A2" w14:textId="17109B85" w:rsidR="00A9139A" w:rsidRDefault="00A9139A" w:rsidP="00A9139A">
      <w:pPr>
        <w:pStyle w:val="NormalWeb"/>
        <w:spacing w:before="0" w:beforeAutospacing="0" w:after="0" w:afterAutospacing="0"/>
        <w:jc w:val="center"/>
      </w:pPr>
      <w:r>
        <w:rPr>
          <w:rFonts w:ascii="Arial" w:hAnsi="Arial" w:cs="Arial"/>
          <w:b/>
          <w:bCs/>
          <w:color w:val="000000"/>
          <w:sz w:val="22"/>
          <w:szCs w:val="22"/>
        </w:rPr>
        <w:t>Contents</w:t>
      </w:r>
    </w:p>
    <w:p w14:paraId="5F48ED26" w14:textId="33BEA026" w:rsidR="00A9139A" w:rsidRPr="00A9139A" w:rsidRDefault="00A9139A" w:rsidP="00A9139A">
      <w:pPr>
        <w:pStyle w:val="NormalWeb"/>
        <w:spacing w:before="0" w:beforeAutospacing="0" w:afterAutospacing="0"/>
        <w:rPr>
          <w:rFonts w:ascii="Arial" w:hAnsi="Arial" w:cs="Arial"/>
          <w:sz w:val="28"/>
          <w:szCs w:val="28"/>
          <w:vertAlign w:val="superscript"/>
        </w:rPr>
      </w:pPr>
      <w:hyperlink r:id="rId11" w:anchor="heading=h.gjdgxs" w:history="1">
        <w:r w:rsidRPr="00A9139A">
          <w:rPr>
            <w:rStyle w:val="Hyperlink"/>
            <w:rFonts w:ascii="Arial" w:hAnsi="Arial" w:cs="Arial"/>
            <w:color w:val="000000"/>
            <w:sz w:val="28"/>
            <w:szCs w:val="28"/>
            <w:vertAlign w:val="superscript"/>
          </w:rPr>
          <w:t>The Concept of Childhood</w:t>
        </w:r>
        <w:r w:rsidRPr="00A9139A">
          <w:rPr>
            <w:rStyle w:val="apple-tab-span"/>
            <w:rFonts w:ascii="Arial" w:eastAsiaTheme="minorEastAsia" w:hAnsi="Arial" w:cs="Arial"/>
            <w:color w:val="000000"/>
            <w:sz w:val="28"/>
            <w:szCs w:val="28"/>
            <w:vertAlign w:val="superscript"/>
          </w:rPr>
          <w:tab/>
        </w:r>
      </w:hyperlink>
    </w:p>
    <w:p w14:paraId="0BBEAA0B" w14:textId="33129458" w:rsidR="00A9139A" w:rsidRPr="00A9139A" w:rsidRDefault="00A9139A" w:rsidP="00A9139A">
      <w:pPr>
        <w:pStyle w:val="NormalWeb"/>
        <w:spacing w:before="0" w:beforeAutospacing="0" w:afterAutospacing="0"/>
        <w:rPr>
          <w:rFonts w:ascii="Arial" w:hAnsi="Arial" w:cs="Arial"/>
          <w:sz w:val="28"/>
          <w:szCs w:val="28"/>
          <w:vertAlign w:val="superscript"/>
        </w:rPr>
      </w:pPr>
      <w:hyperlink r:id="rId12" w:anchor="heading=h.30j0zll" w:history="1">
        <w:r w:rsidRPr="00A9139A">
          <w:rPr>
            <w:rStyle w:val="Hyperlink"/>
            <w:rFonts w:ascii="Arial" w:hAnsi="Arial" w:cs="Arial"/>
            <w:color w:val="000000"/>
            <w:sz w:val="28"/>
            <w:szCs w:val="28"/>
            <w:vertAlign w:val="superscript"/>
          </w:rPr>
          <w:t>Introduction</w:t>
        </w:r>
        <w:r w:rsidRPr="00A9139A">
          <w:rPr>
            <w:rStyle w:val="apple-tab-span"/>
            <w:rFonts w:ascii="Arial" w:eastAsiaTheme="minorEastAsia" w:hAnsi="Arial" w:cs="Arial"/>
            <w:color w:val="000000"/>
            <w:sz w:val="28"/>
            <w:szCs w:val="28"/>
            <w:vertAlign w:val="superscript"/>
          </w:rPr>
          <w:tab/>
        </w:r>
      </w:hyperlink>
    </w:p>
    <w:p w14:paraId="2C8E164E" w14:textId="6AD1B2D5" w:rsidR="00A9139A" w:rsidRPr="00A9139A" w:rsidRDefault="00A9139A" w:rsidP="00A9139A">
      <w:pPr>
        <w:pStyle w:val="NormalWeb"/>
        <w:spacing w:before="0" w:beforeAutospacing="0" w:afterAutospacing="0"/>
        <w:rPr>
          <w:rFonts w:ascii="Arial" w:hAnsi="Arial" w:cs="Arial"/>
          <w:sz w:val="22"/>
          <w:szCs w:val="22"/>
          <w:vertAlign w:val="superscript"/>
        </w:rPr>
      </w:pPr>
      <w:hyperlink r:id="rId13" w:anchor="heading=h.1fob9te" w:history="1">
        <w:r w:rsidRPr="00A9139A">
          <w:rPr>
            <w:rStyle w:val="Hyperlink"/>
            <w:rFonts w:ascii="Arial" w:hAnsi="Arial" w:cs="Arial"/>
            <w:color w:val="000000"/>
            <w:sz w:val="28"/>
            <w:szCs w:val="28"/>
            <w:vertAlign w:val="superscript"/>
          </w:rPr>
          <w:t>What is Childhood?</w:t>
        </w:r>
        <w:r w:rsidRPr="00A9139A">
          <w:rPr>
            <w:rStyle w:val="apple-tab-span"/>
            <w:rFonts w:ascii="Arial" w:eastAsiaTheme="minorEastAsia" w:hAnsi="Arial" w:cs="Arial"/>
            <w:color w:val="000000"/>
            <w:sz w:val="28"/>
            <w:szCs w:val="28"/>
            <w:vertAlign w:val="superscript"/>
          </w:rPr>
          <w:tab/>
        </w:r>
      </w:hyperlink>
    </w:p>
    <w:p w14:paraId="61FA6B8D" w14:textId="09C67E6F" w:rsidR="00A9139A" w:rsidRPr="00A9139A" w:rsidRDefault="00A9139A" w:rsidP="00A9139A">
      <w:pPr>
        <w:pStyle w:val="NormalWeb"/>
        <w:spacing w:before="0" w:beforeAutospacing="0" w:afterAutospacing="0"/>
        <w:ind w:left="220"/>
        <w:rPr>
          <w:rFonts w:ascii="Arial" w:hAnsi="Arial" w:cs="Arial"/>
          <w:sz w:val="28"/>
          <w:szCs w:val="28"/>
          <w:vertAlign w:val="superscript"/>
        </w:rPr>
      </w:pPr>
      <w:hyperlink r:id="rId14" w:anchor="heading=h.3znysh7" w:history="1">
        <w:r w:rsidRPr="00A9139A">
          <w:rPr>
            <w:rStyle w:val="Hyperlink"/>
            <w:rFonts w:ascii="Arial" w:hAnsi="Arial" w:cs="Arial"/>
            <w:color w:val="000000"/>
            <w:sz w:val="28"/>
            <w:szCs w:val="28"/>
            <w:vertAlign w:val="superscript"/>
          </w:rPr>
          <w:t>Legal Perspective</w:t>
        </w:r>
        <w:r w:rsidRPr="00A9139A">
          <w:rPr>
            <w:rStyle w:val="apple-tab-span"/>
            <w:rFonts w:ascii="Arial" w:eastAsiaTheme="minorEastAsia" w:hAnsi="Arial" w:cs="Arial"/>
            <w:color w:val="000000"/>
            <w:sz w:val="28"/>
            <w:szCs w:val="28"/>
            <w:vertAlign w:val="superscript"/>
          </w:rPr>
          <w:tab/>
        </w:r>
      </w:hyperlink>
    </w:p>
    <w:p w14:paraId="5EFCE96C" w14:textId="1EED0EEA" w:rsidR="00A9139A" w:rsidRPr="00A9139A" w:rsidRDefault="00A9139A" w:rsidP="00A9139A">
      <w:pPr>
        <w:pStyle w:val="NormalWeb"/>
        <w:spacing w:before="0" w:beforeAutospacing="0" w:afterAutospacing="0"/>
        <w:ind w:left="220"/>
        <w:rPr>
          <w:rFonts w:ascii="Arial" w:hAnsi="Arial" w:cs="Arial"/>
          <w:sz w:val="28"/>
          <w:szCs w:val="28"/>
          <w:vertAlign w:val="superscript"/>
        </w:rPr>
      </w:pPr>
      <w:hyperlink r:id="rId15" w:anchor="heading=h.2et92p0" w:history="1">
        <w:r w:rsidRPr="00A9139A">
          <w:rPr>
            <w:rStyle w:val="Hyperlink"/>
            <w:rFonts w:ascii="Arial" w:hAnsi="Arial" w:cs="Arial"/>
            <w:color w:val="000000"/>
            <w:sz w:val="28"/>
            <w:szCs w:val="28"/>
            <w:vertAlign w:val="superscript"/>
          </w:rPr>
          <w:t>Social Perspective</w:t>
        </w:r>
        <w:r w:rsidRPr="00A9139A">
          <w:rPr>
            <w:rStyle w:val="apple-tab-span"/>
            <w:rFonts w:ascii="Arial" w:eastAsiaTheme="minorEastAsia" w:hAnsi="Arial" w:cs="Arial"/>
            <w:color w:val="000000"/>
            <w:sz w:val="28"/>
            <w:szCs w:val="28"/>
            <w:vertAlign w:val="superscript"/>
          </w:rPr>
          <w:tab/>
        </w:r>
      </w:hyperlink>
    </w:p>
    <w:p w14:paraId="2793AEF9" w14:textId="0761EF64" w:rsidR="00A9139A" w:rsidRPr="00A9139A" w:rsidRDefault="00A9139A" w:rsidP="00A9139A">
      <w:pPr>
        <w:pStyle w:val="NormalWeb"/>
        <w:spacing w:before="0" w:beforeAutospacing="0" w:afterAutospacing="0"/>
        <w:ind w:left="220"/>
        <w:rPr>
          <w:rFonts w:ascii="Arial" w:hAnsi="Arial" w:cs="Arial"/>
          <w:sz w:val="28"/>
          <w:szCs w:val="28"/>
          <w:vertAlign w:val="superscript"/>
        </w:rPr>
      </w:pPr>
      <w:hyperlink r:id="rId16" w:anchor="heading=h.tyjcwt" w:history="1">
        <w:r w:rsidRPr="00A9139A">
          <w:rPr>
            <w:rStyle w:val="Hyperlink"/>
            <w:rFonts w:ascii="Arial" w:hAnsi="Arial" w:cs="Arial"/>
            <w:color w:val="000000"/>
            <w:sz w:val="28"/>
            <w:szCs w:val="28"/>
            <w:vertAlign w:val="superscript"/>
          </w:rPr>
          <w:t>Biological Perspective</w:t>
        </w:r>
        <w:r w:rsidRPr="00A9139A">
          <w:rPr>
            <w:rStyle w:val="apple-tab-span"/>
            <w:rFonts w:ascii="Arial" w:eastAsiaTheme="minorEastAsia" w:hAnsi="Arial" w:cs="Arial"/>
            <w:color w:val="000000"/>
            <w:sz w:val="28"/>
            <w:szCs w:val="28"/>
            <w:vertAlign w:val="superscript"/>
          </w:rPr>
          <w:tab/>
        </w:r>
      </w:hyperlink>
    </w:p>
    <w:p w14:paraId="67AC5F05" w14:textId="532994A3" w:rsidR="00A9139A" w:rsidRPr="00A9139A" w:rsidRDefault="00A9139A" w:rsidP="00A9139A">
      <w:pPr>
        <w:pStyle w:val="NormalWeb"/>
        <w:spacing w:before="0" w:beforeAutospacing="0" w:afterAutospacing="0"/>
        <w:rPr>
          <w:rFonts w:ascii="Arial" w:hAnsi="Arial" w:cs="Arial"/>
          <w:sz w:val="28"/>
          <w:szCs w:val="28"/>
          <w:vertAlign w:val="superscript"/>
        </w:rPr>
      </w:pPr>
      <w:hyperlink r:id="rId17" w:anchor="heading=h.3dy6vkm" w:history="1">
        <w:r w:rsidRPr="00A9139A">
          <w:rPr>
            <w:rStyle w:val="Hyperlink"/>
            <w:rFonts w:ascii="Arial" w:hAnsi="Arial" w:cs="Arial"/>
            <w:color w:val="000000"/>
            <w:sz w:val="28"/>
            <w:szCs w:val="28"/>
            <w:vertAlign w:val="superscript"/>
          </w:rPr>
          <w:t>The Key Elements of a Family</w:t>
        </w:r>
        <w:r w:rsidRPr="00A9139A">
          <w:rPr>
            <w:rStyle w:val="apple-tab-span"/>
            <w:rFonts w:ascii="Arial" w:eastAsiaTheme="minorEastAsia" w:hAnsi="Arial" w:cs="Arial"/>
            <w:color w:val="000000"/>
            <w:sz w:val="28"/>
            <w:szCs w:val="28"/>
            <w:vertAlign w:val="superscript"/>
          </w:rPr>
          <w:tab/>
        </w:r>
      </w:hyperlink>
    </w:p>
    <w:p w14:paraId="5AC6377A" w14:textId="7D380BBA" w:rsidR="00A9139A" w:rsidRPr="00A9139A" w:rsidRDefault="00A9139A" w:rsidP="00A9139A">
      <w:pPr>
        <w:pStyle w:val="NormalWeb"/>
        <w:spacing w:before="0" w:beforeAutospacing="0" w:afterAutospacing="0"/>
        <w:rPr>
          <w:rFonts w:ascii="Arial" w:hAnsi="Arial" w:cs="Arial"/>
          <w:sz w:val="28"/>
          <w:szCs w:val="28"/>
          <w:vertAlign w:val="superscript"/>
        </w:rPr>
      </w:pPr>
      <w:hyperlink r:id="rId18" w:anchor="heading=h.1t3h5sf" w:history="1">
        <w:r w:rsidRPr="00A9139A">
          <w:rPr>
            <w:rStyle w:val="Hyperlink"/>
            <w:rFonts w:ascii="Arial" w:hAnsi="Arial" w:cs="Arial"/>
            <w:color w:val="000000"/>
            <w:sz w:val="28"/>
            <w:szCs w:val="28"/>
            <w:vertAlign w:val="superscript"/>
          </w:rPr>
          <w:t>Historical Transformations in the Lives of Children and their Families</w:t>
        </w:r>
        <w:r w:rsidRPr="00A9139A">
          <w:rPr>
            <w:rStyle w:val="apple-tab-span"/>
            <w:rFonts w:ascii="Arial" w:eastAsiaTheme="minorEastAsia" w:hAnsi="Arial" w:cs="Arial"/>
            <w:color w:val="000000"/>
            <w:sz w:val="28"/>
            <w:szCs w:val="28"/>
            <w:vertAlign w:val="superscript"/>
          </w:rPr>
          <w:tab/>
        </w:r>
      </w:hyperlink>
    </w:p>
    <w:p w14:paraId="014B3C69" w14:textId="6A26C897" w:rsidR="00A9139A" w:rsidRPr="00A9139A" w:rsidRDefault="00A9139A" w:rsidP="00A9139A">
      <w:pPr>
        <w:pStyle w:val="NormalWeb"/>
        <w:spacing w:before="0" w:beforeAutospacing="0" w:afterAutospacing="0"/>
        <w:rPr>
          <w:rFonts w:ascii="Arial" w:hAnsi="Arial" w:cs="Arial"/>
          <w:sz w:val="28"/>
          <w:szCs w:val="28"/>
          <w:vertAlign w:val="superscript"/>
        </w:rPr>
      </w:pPr>
      <w:hyperlink r:id="rId19" w:anchor="heading=h.4d34og8" w:history="1">
        <w:r w:rsidRPr="00A9139A">
          <w:rPr>
            <w:rStyle w:val="Hyperlink"/>
            <w:rFonts w:ascii="Arial" w:hAnsi="Arial" w:cs="Arial"/>
            <w:color w:val="000000"/>
            <w:sz w:val="28"/>
            <w:szCs w:val="28"/>
            <w:vertAlign w:val="superscript"/>
          </w:rPr>
          <w:t>Changes since Victorian Time to Current Times- Policy and Legislations</w:t>
        </w:r>
        <w:r w:rsidRPr="00A9139A">
          <w:rPr>
            <w:rStyle w:val="apple-tab-span"/>
            <w:rFonts w:ascii="Arial" w:eastAsiaTheme="minorEastAsia" w:hAnsi="Arial" w:cs="Arial"/>
            <w:color w:val="000000"/>
            <w:sz w:val="28"/>
            <w:szCs w:val="28"/>
            <w:vertAlign w:val="superscript"/>
          </w:rPr>
          <w:tab/>
        </w:r>
      </w:hyperlink>
    </w:p>
    <w:p w14:paraId="3E5929A3" w14:textId="6CEA49F4" w:rsidR="00A9139A" w:rsidRPr="00A9139A" w:rsidRDefault="00A9139A" w:rsidP="00A9139A">
      <w:pPr>
        <w:pStyle w:val="NormalWeb"/>
        <w:spacing w:before="0" w:beforeAutospacing="0" w:afterAutospacing="0"/>
        <w:rPr>
          <w:rFonts w:ascii="Arial" w:hAnsi="Arial" w:cs="Arial"/>
          <w:sz w:val="28"/>
          <w:szCs w:val="28"/>
          <w:vertAlign w:val="superscript"/>
        </w:rPr>
      </w:pPr>
      <w:hyperlink r:id="rId20" w:anchor="heading=h.2s8eyo1" w:history="1">
        <w:r w:rsidRPr="00A9139A">
          <w:rPr>
            <w:rStyle w:val="Hyperlink"/>
            <w:rFonts w:ascii="Arial" w:hAnsi="Arial" w:cs="Arial"/>
            <w:color w:val="000000"/>
            <w:sz w:val="28"/>
            <w:szCs w:val="28"/>
            <w:vertAlign w:val="superscript"/>
          </w:rPr>
          <w:t>Current Interventions to Help Vulnerable Children and Families</w:t>
        </w:r>
        <w:r w:rsidRPr="00A9139A">
          <w:rPr>
            <w:rStyle w:val="apple-tab-span"/>
            <w:rFonts w:ascii="Arial" w:eastAsiaTheme="minorEastAsia" w:hAnsi="Arial" w:cs="Arial"/>
            <w:color w:val="000000"/>
            <w:sz w:val="28"/>
            <w:szCs w:val="28"/>
            <w:vertAlign w:val="superscript"/>
          </w:rPr>
          <w:tab/>
        </w:r>
      </w:hyperlink>
    </w:p>
    <w:p w14:paraId="7D9F3378" w14:textId="4A35F37D" w:rsidR="00A9139A" w:rsidRPr="00A9139A" w:rsidRDefault="00A9139A" w:rsidP="00A9139A">
      <w:pPr>
        <w:pStyle w:val="NormalWeb"/>
        <w:spacing w:before="0" w:beforeAutospacing="0" w:afterAutospacing="0"/>
        <w:rPr>
          <w:rFonts w:ascii="Arial" w:hAnsi="Arial" w:cs="Arial"/>
          <w:sz w:val="28"/>
          <w:szCs w:val="28"/>
          <w:vertAlign w:val="superscript"/>
        </w:rPr>
      </w:pPr>
      <w:hyperlink r:id="rId21" w:anchor="heading=h.17dp8vu" w:history="1">
        <w:r w:rsidRPr="00A9139A">
          <w:rPr>
            <w:rStyle w:val="Hyperlink"/>
            <w:rFonts w:ascii="Arial" w:hAnsi="Arial" w:cs="Arial"/>
            <w:color w:val="000000"/>
            <w:sz w:val="28"/>
            <w:szCs w:val="28"/>
            <w:vertAlign w:val="superscript"/>
          </w:rPr>
          <w:t>Conclusion</w:t>
        </w:r>
        <w:r w:rsidRPr="00A9139A">
          <w:rPr>
            <w:rStyle w:val="apple-tab-span"/>
            <w:rFonts w:ascii="Arial" w:eastAsiaTheme="minorEastAsia" w:hAnsi="Arial" w:cs="Arial"/>
            <w:color w:val="000000"/>
            <w:sz w:val="28"/>
            <w:szCs w:val="28"/>
            <w:vertAlign w:val="superscript"/>
          </w:rPr>
          <w:tab/>
        </w:r>
      </w:hyperlink>
    </w:p>
    <w:p w14:paraId="5F86856B" w14:textId="73241491" w:rsidR="00A9139A" w:rsidRPr="00A9139A" w:rsidRDefault="00A9139A" w:rsidP="00A9139A">
      <w:pPr>
        <w:pStyle w:val="NormalWeb"/>
        <w:spacing w:before="0" w:beforeAutospacing="0" w:afterAutospacing="0"/>
        <w:ind w:left="220"/>
        <w:rPr>
          <w:rFonts w:ascii="Arial" w:hAnsi="Arial" w:cs="Arial"/>
          <w:sz w:val="28"/>
          <w:szCs w:val="28"/>
          <w:vertAlign w:val="superscript"/>
        </w:rPr>
      </w:pPr>
      <w:hyperlink r:id="rId22" w:anchor="heading=h.3rdcrjn" w:history="1">
        <w:r w:rsidRPr="00A9139A">
          <w:rPr>
            <w:rStyle w:val="Hyperlink"/>
            <w:rFonts w:ascii="Arial" w:hAnsi="Arial" w:cs="Arial"/>
            <w:color w:val="000000"/>
            <w:sz w:val="28"/>
            <w:szCs w:val="28"/>
            <w:vertAlign w:val="superscript"/>
          </w:rPr>
          <w:t>Suggestions and Recommendations for Improving the Lives of the Children</w:t>
        </w:r>
        <w:r w:rsidRPr="00A9139A">
          <w:rPr>
            <w:rStyle w:val="apple-tab-span"/>
            <w:rFonts w:ascii="Arial" w:eastAsiaTheme="minorEastAsia" w:hAnsi="Arial" w:cs="Arial"/>
            <w:color w:val="000000"/>
            <w:sz w:val="28"/>
            <w:szCs w:val="28"/>
            <w:vertAlign w:val="superscript"/>
          </w:rPr>
          <w:tab/>
        </w:r>
      </w:hyperlink>
    </w:p>
    <w:p w14:paraId="46B93968" w14:textId="56239611" w:rsidR="00A9139A" w:rsidRPr="00A9139A" w:rsidRDefault="00A9139A" w:rsidP="00A9139A">
      <w:pPr>
        <w:pStyle w:val="NormalWeb"/>
        <w:spacing w:before="0" w:beforeAutospacing="0" w:afterAutospacing="0"/>
        <w:rPr>
          <w:rFonts w:ascii="Arial" w:hAnsi="Arial" w:cs="Arial"/>
          <w:sz w:val="28"/>
          <w:szCs w:val="28"/>
          <w:vertAlign w:val="superscript"/>
        </w:rPr>
      </w:pPr>
      <w:r w:rsidRPr="00A9139A">
        <w:rPr>
          <w:rFonts w:ascii="Arial" w:hAnsi="Arial" w:cs="Arial"/>
          <w:sz w:val="28"/>
          <w:szCs w:val="28"/>
          <w:vertAlign w:val="superscript"/>
        </w:rPr>
        <w:t>References</w:t>
      </w:r>
    </w:p>
    <w:p w14:paraId="2DA2B8C6" w14:textId="4ADC14F6" w:rsidR="006164C1" w:rsidRPr="00A9139A" w:rsidRDefault="006164C1">
      <w:pPr>
        <w:rPr>
          <w:rFonts w:ascii="Arial" w:hAnsi="Arial" w:cs="Arial"/>
          <w:sz w:val="28"/>
          <w:szCs w:val="28"/>
          <w:vertAlign w:val="superscript"/>
        </w:rPr>
      </w:pPr>
    </w:p>
    <w:p w14:paraId="781CF476" w14:textId="09DB3D92" w:rsidR="00A9139A" w:rsidRDefault="00A9139A"/>
    <w:p w14:paraId="3AD5B054" w14:textId="32DA5963" w:rsidR="00A9139A" w:rsidRDefault="00A9139A"/>
    <w:p w14:paraId="22331E1A" w14:textId="13E82E31" w:rsidR="00A9139A" w:rsidRDefault="00A9139A" w:rsidP="00A9139A">
      <w:pPr>
        <w:spacing w:after="0" w:line="240" w:lineRule="auto"/>
        <w:jc w:val="center"/>
        <w:outlineLvl w:val="0"/>
        <w:rPr>
          <w:rFonts w:ascii="Arial" w:eastAsia="Times New Roman" w:hAnsi="Arial" w:cs="Arial"/>
          <w:b/>
          <w:bCs/>
          <w:color w:val="000000"/>
          <w:kern w:val="36"/>
          <w:lang w:eastAsia="en-GB"/>
        </w:rPr>
      </w:pPr>
      <w:r w:rsidRPr="00A9139A">
        <w:rPr>
          <w:rFonts w:ascii="Arial" w:eastAsia="Times New Roman" w:hAnsi="Arial" w:cs="Arial"/>
          <w:b/>
          <w:bCs/>
          <w:color w:val="000000"/>
          <w:kern w:val="36"/>
          <w:lang w:eastAsia="en-GB"/>
        </w:rPr>
        <w:t>The Concept of Childhood</w:t>
      </w:r>
    </w:p>
    <w:p w14:paraId="4D40D309"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p>
    <w:p w14:paraId="1E168657"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Introduction</w:t>
      </w:r>
    </w:p>
    <w:p w14:paraId="612C889A" w14:textId="45EFCA55" w:rsidR="00A9139A" w:rsidRDefault="00A9139A" w:rsidP="00A9139A">
      <w:pPr>
        <w:spacing w:after="0" w:line="240" w:lineRule="auto"/>
        <w:ind w:firstLine="720"/>
        <w:rPr>
          <w:rFonts w:ascii="Arial" w:eastAsia="Times New Roman" w:hAnsi="Arial" w:cs="Arial"/>
          <w:color w:val="000000"/>
          <w:lang w:eastAsia="en-GB"/>
        </w:rPr>
      </w:pPr>
      <w:r w:rsidRPr="00A9139A">
        <w:rPr>
          <w:rFonts w:ascii="Arial" w:eastAsia="Times New Roman" w:hAnsi="Arial" w:cs="Arial"/>
          <w:color w:val="000000"/>
          <w:lang w:eastAsia="en-GB"/>
        </w:rPr>
        <w:t>Childhood is a natural state of development; a defining universal attribute that cuts across all societies. Is it not true that every society that has ever existed ha</w:t>
      </w:r>
      <w:r>
        <w:rPr>
          <w:rFonts w:ascii="Arial" w:eastAsia="Times New Roman" w:hAnsi="Arial" w:cs="Arial"/>
          <w:color w:val="000000"/>
          <w:lang w:eastAsia="en-GB"/>
        </w:rPr>
        <w:t>s</w:t>
      </w:r>
      <w:r w:rsidRPr="00A9139A">
        <w:rPr>
          <w:rFonts w:ascii="Arial" w:eastAsia="Times New Roman" w:hAnsi="Arial" w:cs="Arial"/>
          <w:color w:val="000000"/>
          <w:lang w:eastAsia="en-GB"/>
        </w:rPr>
        <w:t xml:space="preserve"> some members regarded as children? Some cultures belie</w:t>
      </w:r>
      <w:r>
        <w:rPr>
          <w:rFonts w:ascii="Arial" w:eastAsia="Times New Roman" w:hAnsi="Arial" w:cs="Arial"/>
          <w:color w:val="000000"/>
          <w:lang w:eastAsia="en-GB"/>
        </w:rPr>
        <w:t>ve</w:t>
      </w:r>
      <w:r w:rsidRPr="00A9139A">
        <w:rPr>
          <w:rFonts w:ascii="Arial" w:eastAsia="Times New Roman" w:hAnsi="Arial" w:cs="Arial"/>
          <w:color w:val="000000"/>
          <w:lang w:eastAsia="en-GB"/>
        </w:rPr>
        <w:t xml:space="preserve"> that children deserve protection and nurturing whereas others perceive children as independent creatures who can act out of their own volition. Understandably cognizant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pre-eminent role of parents and society in protecting innocent children, it is important to bring into perspective the fact that the concept of childhood extends beyond the biological attribution to include social categorization based on the beliefs, attitudes</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values (Bourdieu, 2020). This essay highlights the meaning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social construction of childhood from different historical and cultural perspectives. It suffices a general understanding of the transformation of childhood from the past to the present times. </w:t>
      </w:r>
      <w:r>
        <w:rPr>
          <w:rFonts w:ascii="Arial" w:eastAsia="Times New Roman" w:hAnsi="Arial" w:cs="Arial"/>
          <w:color w:val="000000"/>
          <w:lang w:eastAsia="en-GB"/>
        </w:rPr>
        <w:t>I</w:t>
      </w:r>
      <w:r w:rsidRPr="00A9139A">
        <w:rPr>
          <w:rFonts w:ascii="Arial" w:eastAsia="Times New Roman" w:hAnsi="Arial" w:cs="Arial"/>
          <w:color w:val="000000"/>
          <w:lang w:eastAsia="en-GB"/>
        </w:rPr>
        <w:t>ncorporation of the family as a social construction and the ensuing transformations within the UK famil</w:t>
      </w:r>
      <w:r>
        <w:rPr>
          <w:rFonts w:ascii="Arial" w:eastAsia="Times New Roman" w:hAnsi="Arial" w:cs="Arial"/>
          <w:color w:val="000000"/>
          <w:lang w:eastAsia="en-GB"/>
        </w:rPr>
        <w:t>y</w:t>
      </w:r>
      <w:r w:rsidRPr="00A9139A">
        <w:rPr>
          <w:rFonts w:ascii="Arial" w:eastAsia="Times New Roman" w:hAnsi="Arial" w:cs="Arial"/>
          <w:color w:val="000000"/>
          <w:lang w:eastAsia="en-GB"/>
        </w:rPr>
        <w:t xml:space="preserve"> setup will also feature. An examination of factors, which promulgates the changing of the lives of children, and mitigating inequalities from the past to the present times. A discussion of the contemporary interventions in the UK to support vulnerable children and reduce inequalities among children from different socio-economic background</w:t>
      </w:r>
      <w:r>
        <w:rPr>
          <w:rFonts w:ascii="Arial" w:eastAsia="Times New Roman" w:hAnsi="Arial" w:cs="Arial"/>
          <w:color w:val="000000"/>
          <w:lang w:eastAsia="en-GB"/>
        </w:rPr>
        <w:t>s</w:t>
      </w:r>
      <w:r w:rsidRPr="00A9139A">
        <w:rPr>
          <w:rFonts w:ascii="Arial" w:eastAsia="Times New Roman" w:hAnsi="Arial" w:cs="Arial"/>
          <w:color w:val="000000"/>
          <w:lang w:eastAsia="en-GB"/>
        </w:rPr>
        <w:t xml:space="preserve"> will also suffice. </w:t>
      </w:r>
    </w:p>
    <w:p w14:paraId="05A1312D"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0481635A"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What is Childhood?</w:t>
      </w:r>
    </w:p>
    <w:p w14:paraId="72CD1A48" w14:textId="714BB21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The concept of childhood is a social construction, which lacks </w:t>
      </w:r>
      <w:r>
        <w:rPr>
          <w:rFonts w:ascii="Arial" w:eastAsia="Times New Roman" w:hAnsi="Arial" w:cs="Arial"/>
          <w:color w:val="000000"/>
          <w:lang w:eastAsia="en-GB"/>
        </w:rPr>
        <w:t xml:space="preserve">a </w:t>
      </w:r>
      <w:r w:rsidRPr="00A9139A">
        <w:rPr>
          <w:rFonts w:ascii="Arial" w:eastAsia="Times New Roman" w:hAnsi="Arial" w:cs="Arial"/>
          <w:color w:val="000000"/>
          <w:lang w:eastAsia="en-GB"/>
        </w:rPr>
        <w:t xml:space="preserve">universal definition (Kehily, 2013, 17). It transforms </w:t>
      </w:r>
      <w:r>
        <w:rPr>
          <w:rFonts w:ascii="Arial" w:eastAsia="Times New Roman" w:hAnsi="Arial" w:cs="Arial"/>
          <w:color w:val="000000"/>
          <w:lang w:eastAsia="en-GB"/>
        </w:rPr>
        <w:t>by</w:t>
      </w:r>
      <w:r w:rsidRPr="00A9139A">
        <w:rPr>
          <w:rFonts w:ascii="Arial" w:eastAsia="Times New Roman" w:hAnsi="Arial" w:cs="Arial"/>
          <w:color w:val="000000"/>
          <w:lang w:eastAsia="en-GB"/>
        </w:rPr>
        <w:t xml:space="preserve"> cultural and socio-economic factors. However, three main perspectives of childhood stand out in understanding the concept of childhood: legal, social, and biological. </w:t>
      </w:r>
    </w:p>
    <w:p w14:paraId="7DA400C1" w14:textId="17BDEB7F" w:rsidR="00A9139A" w:rsidRDefault="00A9139A"/>
    <w:p w14:paraId="6C001285" w14:textId="59D358AC" w:rsidR="00A9139A" w:rsidRDefault="00A9139A"/>
    <w:p w14:paraId="501F761A" w14:textId="77777777" w:rsidR="00A9139A" w:rsidRPr="00A9139A" w:rsidRDefault="00A9139A" w:rsidP="00A9139A">
      <w:pPr>
        <w:spacing w:after="0" w:line="240" w:lineRule="auto"/>
        <w:outlineLvl w:val="1"/>
        <w:rPr>
          <w:rFonts w:ascii="Times New Roman" w:eastAsia="Times New Roman" w:hAnsi="Times New Roman" w:cs="Times New Roman"/>
          <w:b/>
          <w:bCs/>
          <w:sz w:val="36"/>
          <w:szCs w:val="36"/>
          <w:lang w:eastAsia="en-GB"/>
        </w:rPr>
      </w:pPr>
      <w:r w:rsidRPr="00A9139A">
        <w:rPr>
          <w:rFonts w:ascii="Arial" w:eastAsia="Times New Roman" w:hAnsi="Arial" w:cs="Arial"/>
          <w:b/>
          <w:bCs/>
          <w:color w:val="000000"/>
          <w:lang w:eastAsia="en-GB"/>
        </w:rPr>
        <w:t>Legal Perspective </w:t>
      </w:r>
    </w:p>
    <w:p w14:paraId="62029AA9" w14:textId="06F8D194"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The various legal definitions of childhood have always transformed alongside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abounding notional age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majority. The age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majority varies from one legal </w:t>
      </w:r>
      <w:r w:rsidRPr="00A9139A">
        <w:rPr>
          <w:rFonts w:ascii="Arial" w:eastAsia="Times New Roman" w:hAnsi="Arial" w:cs="Arial"/>
          <w:color w:val="000000"/>
          <w:lang w:eastAsia="en-GB"/>
        </w:rPr>
        <w:t>authority</w:t>
      </w:r>
      <w:r w:rsidRPr="00A9139A">
        <w:rPr>
          <w:rFonts w:ascii="Arial" w:eastAsia="Times New Roman" w:hAnsi="Arial" w:cs="Arial"/>
          <w:color w:val="000000"/>
          <w:lang w:eastAsia="en-GB"/>
        </w:rPr>
        <w:t xml:space="preserve"> to another. The United Nations Conventions on the Rights of the Child (UNCRC) stipulates eighteen years as the majority age (Mathew, 2019). A child is a person below the majority age. The rationale behind the majority age in most legal jurisdictions including the UK balances on the beam of parental care and guidance. In England, when a child turns the age of majority, which is eighteen years, he or she is deemed mature enough based on the provisions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Children Act of 1989 (Roche, 1991). However, albeit the majority consensus across many legal jurisdictions, some argue that the majority age is legislative guesswork and assumptive that children reach maturity at eighteen only.</w:t>
      </w:r>
    </w:p>
    <w:p w14:paraId="18F42FB8" w14:textId="01F24A9B"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The obvious impossibility of subjecting each child to maturity test makes the legal stipulations on the age of majority assumptive. For instance</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from a UK legal perspective, the term childhood has different meanings depending on the various legal contexts. In the employment context,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education act of 1996, section 558 stipulates that anybody below the compulsory school age is regarded </w:t>
      </w:r>
      <w:r>
        <w:rPr>
          <w:rFonts w:ascii="Arial" w:eastAsia="Times New Roman" w:hAnsi="Arial" w:cs="Arial"/>
          <w:color w:val="000000"/>
          <w:lang w:eastAsia="en-GB"/>
        </w:rPr>
        <w:t xml:space="preserve">as </w:t>
      </w:r>
      <w:r w:rsidRPr="00A9139A">
        <w:rPr>
          <w:rFonts w:ascii="Arial" w:eastAsia="Times New Roman" w:hAnsi="Arial" w:cs="Arial"/>
          <w:color w:val="000000"/>
          <w:lang w:eastAsia="en-GB"/>
        </w:rPr>
        <w:t xml:space="preserve">a child in line with the laws restraining employment of children. According to section 8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education act of 1996, the compulsory school age ranges from 5 years to 16 years (Barnett, 1996). Therefore, a child stops being a child for employment when he or she attains sixteen years of age. </w:t>
      </w:r>
    </w:p>
    <w:p w14:paraId="6AD77604" w14:textId="768D59E9"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The Children act of 1989 provides that any person below the age of 18 years is a child and is entitled to certain rights and conventional societal privileges. For instance, the right to equality stipulates that the governments must make sure that children are accorded equal opportunities and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bestowment of all rights enshrined in the convention, irrespective of their race, language, sex, religious, social, economic</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or ethnic background. The definitions of childhood in the eyes of the law have emerged gradually marked by transformations reflecting the evolving understandings of the span, significance</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meaning of childhood. For instance, the premise of the Medieval English Common law, a child is a person below the age of majority and who is unable to perform adult duties under normal circumstances.</w:t>
      </w:r>
    </w:p>
    <w:p w14:paraId="20D9B1FB"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7978F48D" w14:textId="77777777" w:rsidR="00A9139A" w:rsidRPr="00A9139A" w:rsidRDefault="00A9139A" w:rsidP="00A9139A">
      <w:pPr>
        <w:spacing w:after="0" w:line="240" w:lineRule="auto"/>
        <w:outlineLvl w:val="1"/>
        <w:rPr>
          <w:rFonts w:ascii="Times New Roman" w:eastAsia="Times New Roman" w:hAnsi="Times New Roman" w:cs="Times New Roman"/>
          <w:b/>
          <w:bCs/>
          <w:sz w:val="36"/>
          <w:szCs w:val="36"/>
          <w:lang w:eastAsia="en-GB"/>
        </w:rPr>
      </w:pPr>
      <w:r w:rsidRPr="00A9139A">
        <w:rPr>
          <w:rFonts w:ascii="Arial" w:eastAsia="Times New Roman" w:hAnsi="Arial" w:cs="Arial"/>
          <w:b/>
          <w:bCs/>
          <w:color w:val="000000"/>
          <w:lang w:eastAsia="en-GB"/>
        </w:rPr>
        <w:t>Social Perspective </w:t>
      </w:r>
    </w:p>
    <w:p w14:paraId="304AB8FD" w14:textId="0EE25F44"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The social perspective of childhood is premised on the postulation that childhood is a socially constructed concept (Kehily, 2013). </w:t>
      </w:r>
      <w:r>
        <w:rPr>
          <w:rFonts w:ascii="Arial" w:eastAsia="Times New Roman" w:hAnsi="Arial" w:cs="Arial"/>
          <w:color w:val="000000"/>
          <w:lang w:eastAsia="en-GB"/>
        </w:rPr>
        <w:t>The s</w:t>
      </w:r>
      <w:r w:rsidRPr="00A9139A">
        <w:rPr>
          <w:rFonts w:ascii="Arial" w:eastAsia="Times New Roman" w:hAnsi="Arial" w:cs="Arial"/>
          <w:color w:val="000000"/>
          <w:lang w:eastAsia="en-GB"/>
        </w:rPr>
        <w:t>ocial construction of the concept of childhood lies inherent in the perception that understanding the concept of childhood is reliant on the people, and the place in</w:t>
      </w:r>
      <w:r>
        <w:rPr>
          <w:rFonts w:ascii="Arial" w:eastAsia="Times New Roman" w:hAnsi="Arial" w:cs="Arial"/>
          <w:color w:val="000000"/>
          <w:lang w:eastAsia="en-GB"/>
        </w:rPr>
        <w:t>stead</w:t>
      </w:r>
      <w:r w:rsidRPr="00A9139A">
        <w:rPr>
          <w:rFonts w:ascii="Arial" w:eastAsia="Times New Roman" w:hAnsi="Arial" w:cs="Arial"/>
          <w:color w:val="000000"/>
          <w:lang w:eastAsia="en-GB"/>
        </w:rPr>
        <w:t xml:space="preserve"> of intrinsic factors such as biological facts. For instance, when referring to childhood, the implication is that the perception that we </w:t>
      </w:r>
      <w:r w:rsidRPr="00A9139A">
        <w:rPr>
          <w:rFonts w:ascii="Arial" w:eastAsia="Times New Roman" w:hAnsi="Arial" w:cs="Arial"/>
          <w:color w:val="000000"/>
          <w:lang w:eastAsia="en-GB"/>
        </w:rPr>
        <w:t>harbour</w:t>
      </w:r>
      <w:r w:rsidRPr="00A9139A">
        <w:rPr>
          <w:rFonts w:ascii="Arial" w:eastAsia="Times New Roman" w:hAnsi="Arial" w:cs="Arial"/>
          <w:color w:val="000000"/>
          <w:lang w:eastAsia="en-GB"/>
        </w:rPr>
        <w:t xml:space="preserve"> </w:t>
      </w:r>
      <w:r>
        <w:rPr>
          <w:rFonts w:ascii="Arial" w:eastAsia="Times New Roman" w:hAnsi="Arial" w:cs="Arial"/>
          <w:color w:val="000000"/>
          <w:lang w:eastAsia="en-GB"/>
        </w:rPr>
        <w:t>concerning</w:t>
      </w:r>
      <w:r w:rsidRPr="00A9139A">
        <w:rPr>
          <w:rFonts w:ascii="Arial" w:eastAsia="Times New Roman" w:hAnsi="Arial" w:cs="Arial"/>
          <w:color w:val="000000"/>
          <w:lang w:eastAsia="en-GB"/>
        </w:rPr>
        <w:t xml:space="preserve"> childhood stems from society. The childhood period, the status of children</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the general perception that children deserve protection from the social ills serve </w:t>
      </w:r>
      <w:r>
        <w:rPr>
          <w:rFonts w:ascii="Arial" w:eastAsia="Times New Roman" w:hAnsi="Arial" w:cs="Arial"/>
          <w:color w:val="000000"/>
          <w:lang w:eastAsia="en-GB"/>
        </w:rPr>
        <w:t xml:space="preserve">to </w:t>
      </w:r>
      <w:r w:rsidRPr="00A9139A">
        <w:rPr>
          <w:rFonts w:ascii="Arial" w:eastAsia="Times New Roman" w:hAnsi="Arial" w:cs="Arial"/>
          <w:color w:val="000000"/>
          <w:lang w:eastAsia="en-GB"/>
        </w:rPr>
        <w:t xml:space="preserve">prove that childhood is </w:t>
      </w:r>
      <w:r>
        <w:rPr>
          <w:rFonts w:ascii="Arial" w:eastAsia="Times New Roman" w:hAnsi="Arial" w:cs="Arial"/>
          <w:color w:val="000000"/>
          <w:lang w:eastAsia="en-GB"/>
        </w:rPr>
        <w:t xml:space="preserve">a </w:t>
      </w:r>
      <w:r w:rsidRPr="00A9139A">
        <w:rPr>
          <w:rFonts w:ascii="Arial" w:eastAsia="Times New Roman" w:hAnsi="Arial" w:cs="Arial"/>
          <w:color w:val="000000"/>
          <w:lang w:eastAsia="en-GB"/>
        </w:rPr>
        <w:t xml:space="preserve">socially constructed concept. In the modern United Kingdom, society dictates the beginning of childhood and its end heralding a period of adulthood. The current age set for adulthood is set at eighteen years (Hilton et al., 2019). However, it is worth noting that there is a lengthy window period marking these transitions from childhood to adulthood. For instance, there is a transition stage of adolescence, which separates childhood and adulthood. For example, at the age of </w:t>
      </w:r>
      <w:r w:rsidRPr="00A9139A">
        <w:rPr>
          <w:rFonts w:ascii="Arial" w:eastAsia="Times New Roman" w:hAnsi="Arial" w:cs="Arial"/>
          <w:color w:val="000000"/>
          <w:lang w:eastAsia="en-GB"/>
        </w:rPr>
        <w:t>fourteen</w:t>
      </w:r>
      <w:r w:rsidRPr="00A9139A">
        <w:rPr>
          <w:rFonts w:ascii="Arial" w:eastAsia="Times New Roman" w:hAnsi="Arial" w:cs="Arial"/>
          <w:color w:val="000000"/>
          <w:lang w:eastAsia="en-GB"/>
        </w:rPr>
        <w:t xml:space="preserve">, children can partake in societal work, at the age of </w:t>
      </w:r>
      <w:r w:rsidRPr="00A9139A">
        <w:rPr>
          <w:rFonts w:ascii="Arial" w:eastAsia="Times New Roman" w:hAnsi="Arial" w:cs="Arial"/>
          <w:color w:val="000000"/>
          <w:lang w:eastAsia="en-GB"/>
        </w:rPr>
        <w:t>sixteen</w:t>
      </w:r>
      <w:r w:rsidRPr="00A9139A">
        <w:rPr>
          <w:rFonts w:ascii="Arial" w:eastAsia="Times New Roman" w:hAnsi="Arial" w:cs="Arial"/>
          <w:color w:val="000000"/>
          <w:lang w:eastAsia="en-GB"/>
        </w:rPr>
        <w:t xml:space="preserve"> marks a period of sexual consent and at the age of </w:t>
      </w:r>
      <w:r w:rsidRPr="00A9139A">
        <w:rPr>
          <w:rFonts w:ascii="Arial" w:eastAsia="Times New Roman" w:hAnsi="Arial" w:cs="Arial"/>
          <w:color w:val="000000"/>
          <w:lang w:eastAsia="en-GB"/>
        </w:rPr>
        <w:t>seventeen</w:t>
      </w:r>
      <w:r w:rsidRPr="00A9139A">
        <w:rPr>
          <w:rFonts w:ascii="Arial" w:eastAsia="Times New Roman" w:hAnsi="Arial" w:cs="Arial"/>
          <w:color w:val="000000"/>
          <w:lang w:eastAsia="en-GB"/>
        </w:rPr>
        <w:t>, a child is permitted to drive (Zimring, 2013). The taking into cognizance that society determine</w:t>
      </w:r>
      <w:r>
        <w:rPr>
          <w:rFonts w:ascii="Arial" w:eastAsia="Times New Roman" w:hAnsi="Arial" w:cs="Arial"/>
          <w:color w:val="000000"/>
          <w:lang w:eastAsia="en-GB"/>
        </w:rPr>
        <w:t>s</w:t>
      </w:r>
      <w:r w:rsidRPr="00A9139A">
        <w:rPr>
          <w:rFonts w:ascii="Arial" w:eastAsia="Times New Roman" w:hAnsi="Arial" w:cs="Arial"/>
          <w:color w:val="000000"/>
          <w:lang w:eastAsia="en-GB"/>
        </w:rPr>
        <w:t xml:space="preserve"> the beginning and the end of these stages of childhood before graduating to adulthood justifies the contention that childhood is a social construction.</w:t>
      </w:r>
    </w:p>
    <w:p w14:paraId="5FF83E7A" w14:textId="7F9CA720" w:rsidR="00A9139A" w:rsidRDefault="00A9139A" w:rsidP="00A9139A">
      <w:pPr>
        <w:spacing w:after="0" w:line="240" w:lineRule="auto"/>
        <w:ind w:firstLine="720"/>
        <w:rPr>
          <w:rFonts w:ascii="Arial" w:eastAsia="Times New Roman" w:hAnsi="Arial" w:cs="Arial"/>
          <w:color w:val="000000"/>
          <w:lang w:eastAsia="en-GB"/>
        </w:rPr>
      </w:pPr>
      <w:r w:rsidRPr="00A9139A">
        <w:rPr>
          <w:rFonts w:ascii="Arial" w:eastAsia="Times New Roman" w:hAnsi="Arial" w:cs="Arial"/>
          <w:color w:val="000000"/>
          <w:lang w:eastAsia="en-GB"/>
        </w:rPr>
        <w:t xml:space="preserve">Apart from societal perception, childhood experiences vary from one society to another or from one country to another. When we compare two different states on matters </w:t>
      </w:r>
      <w:r>
        <w:rPr>
          <w:rFonts w:ascii="Arial" w:eastAsia="Times New Roman" w:hAnsi="Arial" w:cs="Arial"/>
          <w:color w:val="000000"/>
          <w:lang w:eastAsia="en-GB"/>
        </w:rPr>
        <w:t xml:space="preserve">of </w:t>
      </w:r>
      <w:r w:rsidRPr="00A9139A">
        <w:rPr>
          <w:rFonts w:ascii="Arial" w:eastAsia="Times New Roman" w:hAnsi="Arial" w:cs="Arial"/>
          <w:color w:val="000000"/>
          <w:lang w:eastAsia="en-GB"/>
        </w:rPr>
        <w:t xml:space="preserve">childhood that shape childhood experiences, </w:t>
      </w:r>
      <w:r w:rsidRPr="00A9139A">
        <w:rPr>
          <w:rFonts w:ascii="Arial" w:eastAsia="Times New Roman" w:hAnsi="Arial" w:cs="Arial"/>
          <w:color w:val="000000"/>
          <w:lang w:eastAsia="en-GB"/>
        </w:rPr>
        <w:t>an enormous difference</w:t>
      </w:r>
      <w:r w:rsidRPr="00A9139A">
        <w:rPr>
          <w:rFonts w:ascii="Arial" w:eastAsia="Times New Roman" w:hAnsi="Arial" w:cs="Arial"/>
          <w:color w:val="000000"/>
          <w:lang w:eastAsia="en-GB"/>
        </w:rPr>
        <w:t xml:space="preserve"> exists. For instance</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child marriage is common i</w:t>
      </w:r>
      <w:r>
        <w:rPr>
          <w:rFonts w:ascii="Arial" w:eastAsia="Times New Roman" w:hAnsi="Arial" w:cs="Arial"/>
          <w:color w:val="000000"/>
          <w:lang w:eastAsia="en-GB"/>
        </w:rPr>
        <w:t>n</w:t>
      </w:r>
      <w:r w:rsidRPr="00A9139A">
        <w:rPr>
          <w:rFonts w:ascii="Arial" w:eastAsia="Times New Roman" w:hAnsi="Arial" w:cs="Arial"/>
          <w:color w:val="000000"/>
          <w:lang w:eastAsia="en-GB"/>
        </w:rPr>
        <w:t xml:space="preserve"> some countries whereas it is prohibited in England until the age of </w:t>
      </w:r>
      <w:r w:rsidRPr="00A9139A">
        <w:rPr>
          <w:rFonts w:ascii="Arial" w:eastAsia="Times New Roman" w:hAnsi="Arial" w:cs="Arial"/>
          <w:color w:val="000000"/>
          <w:lang w:eastAsia="en-GB"/>
        </w:rPr>
        <w:t>sixteen</w:t>
      </w:r>
      <w:r w:rsidRPr="00A9139A">
        <w:rPr>
          <w:rFonts w:ascii="Arial" w:eastAsia="Times New Roman" w:hAnsi="Arial" w:cs="Arial"/>
          <w:color w:val="000000"/>
          <w:lang w:eastAsia="en-GB"/>
        </w:rPr>
        <w:t xml:space="preserve">. In some countries, there is child prostitution, such as Thailand while in England and Wales it is punishable </w:t>
      </w:r>
      <w:r>
        <w:rPr>
          <w:rFonts w:ascii="Arial" w:eastAsia="Times New Roman" w:hAnsi="Arial" w:cs="Arial"/>
          <w:color w:val="000000"/>
          <w:lang w:eastAsia="en-GB"/>
        </w:rPr>
        <w:t>by</w:t>
      </w:r>
      <w:r w:rsidRPr="00A9139A">
        <w:rPr>
          <w:rFonts w:ascii="Arial" w:eastAsia="Times New Roman" w:hAnsi="Arial" w:cs="Arial"/>
          <w:color w:val="000000"/>
          <w:lang w:eastAsia="en-GB"/>
        </w:rPr>
        <w:t xml:space="preserve"> law by incarceration on grounds of Sexual exploitation (CPS, 2019). Concisely, the concept of childhood is socially constructed. </w:t>
      </w:r>
    </w:p>
    <w:p w14:paraId="63347528"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75870426" w14:textId="77777777" w:rsidR="00A9139A" w:rsidRPr="00A9139A" w:rsidRDefault="00A9139A" w:rsidP="00A9139A">
      <w:pPr>
        <w:spacing w:after="0" w:line="240" w:lineRule="auto"/>
        <w:outlineLvl w:val="1"/>
        <w:rPr>
          <w:rFonts w:ascii="Times New Roman" w:eastAsia="Times New Roman" w:hAnsi="Times New Roman" w:cs="Times New Roman"/>
          <w:b/>
          <w:bCs/>
          <w:sz w:val="36"/>
          <w:szCs w:val="36"/>
          <w:lang w:eastAsia="en-GB"/>
        </w:rPr>
      </w:pPr>
      <w:r w:rsidRPr="00A9139A">
        <w:rPr>
          <w:rFonts w:ascii="Arial" w:eastAsia="Times New Roman" w:hAnsi="Arial" w:cs="Arial"/>
          <w:b/>
          <w:bCs/>
          <w:color w:val="000000"/>
          <w:lang w:eastAsia="en-GB"/>
        </w:rPr>
        <w:t>Biological Perspective</w:t>
      </w:r>
    </w:p>
    <w:p w14:paraId="57B70BA2" w14:textId="5B382907" w:rsidR="00A9139A" w:rsidRDefault="00A9139A" w:rsidP="00A9139A">
      <w:pPr>
        <w:spacing w:after="0" w:line="240" w:lineRule="auto"/>
        <w:ind w:firstLine="720"/>
        <w:rPr>
          <w:rFonts w:ascii="Arial" w:eastAsia="Times New Roman" w:hAnsi="Arial" w:cs="Arial"/>
          <w:color w:val="000000"/>
          <w:lang w:eastAsia="en-GB"/>
        </w:rPr>
      </w:pPr>
      <w:r w:rsidRPr="00A9139A">
        <w:rPr>
          <w:rFonts w:ascii="Arial" w:eastAsia="Times New Roman" w:hAnsi="Arial" w:cs="Arial"/>
          <w:color w:val="000000"/>
          <w:lang w:eastAsia="en-GB"/>
        </w:rPr>
        <w:t xml:space="preserve">From </w:t>
      </w:r>
      <w:r>
        <w:rPr>
          <w:rFonts w:ascii="Arial" w:eastAsia="Times New Roman" w:hAnsi="Arial" w:cs="Arial"/>
          <w:color w:val="000000"/>
          <w:lang w:eastAsia="en-GB"/>
        </w:rPr>
        <w:t xml:space="preserve">a </w:t>
      </w:r>
      <w:r w:rsidRPr="00A9139A">
        <w:rPr>
          <w:rFonts w:ascii="Arial" w:eastAsia="Times New Roman" w:hAnsi="Arial" w:cs="Arial"/>
          <w:color w:val="000000"/>
          <w:lang w:eastAsia="en-GB"/>
        </w:rPr>
        <w:t xml:space="preserve">biological perspective, childhood is a development stage in one’s life, which suffices as a unique precursor to adulthood. A child is </w:t>
      </w:r>
      <w:r>
        <w:rPr>
          <w:rFonts w:ascii="Arial" w:eastAsia="Times New Roman" w:hAnsi="Arial" w:cs="Arial"/>
          <w:color w:val="000000"/>
          <w:lang w:eastAsia="en-GB"/>
        </w:rPr>
        <w:t xml:space="preserve">a </w:t>
      </w:r>
      <w:r w:rsidRPr="00A9139A">
        <w:rPr>
          <w:rFonts w:ascii="Arial" w:eastAsia="Times New Roman" w:hAnsi="Arial" w:cs="Arial"/>
          <w:color w:val="000000"/>
          <w:lang w:eastAsia="en-GB"/>
        </w:rPr>
        <w:t xml:space="preserve">person undergoing growth and development from birth to puberty and </w:t>
      </w:r>
      <w:r w:rsidRPr="00A9139A">
        <w:rPr>
          <w:rFonts w:ascii="Arial" w:eastAsia="Times New Roman" w:hAnsi="Arial" w:cs="Arial"/>
          <w:color w:val="000000"/>
          <w:lang w:eastAsia="en-GB"/>
        </w:rPr>
        <w:t>adulthood</w:t>
      </w:r>
      <w:r w:rsidRPr="00A9139A">
        <w:rPr>
          <w:rFonts w:ascii="Arial" w:eastAsia="Times New Roman" w:hAnsi="Arial" w:cs="Arial"/>
          <w:color w:val="000000"/>
          <w:lang w:eastAsia="en-GB"/>
        </w:rPr>
        <w:t xml:space="preserve">. Biologically, there are three development stages of a child: early, and middle childhood, and adolescence (DelGiudice, 2018). </w:t>
      </w:r>
      <w:r>
        <w:rPr>
          <w:rFonts w:ascii="Arial" w:eastAsia="Times New Roman" w:hAnsi="Arial" w:cs="Arial"/>
          <w:color w:val="000000"/>
          <w:lang w:eastAsia="en-GB"/>
        </w:rPr>
        <w:t>The e</w:t>
      </w:r>
      <w:r w:rsidRPr="00A9139A">
        <w:rPr>
          <w:rFonts w:ascii="Arial" w:eastAsia="Times New Roman" w:hAnsi="Arial" w:cs="Arial"/>
          <w:color w:val="000000"/>
          <w:lang w:eastAsia="en-GB"/>
        </w:rPr>
        <w:t xml:space="preserve">arly childhood stage begins from toddlerhood and ends at the age of seven. At this stage, a child heavily relies on parents for assistance in meeting both physical and emotional needs. It is at this point, </w:t>
      </w:r>
      <w:r>
        <w:rPr>
          <w:rFonts w:ascii="Arial" w:eastAsia="Times New Roman" w:hAnsi="Arial" w:cs="Arial"/>
          <w:color w:val="000000"/>
          <w:lang w:eastAsia="en-GB"/>
        </w:rPr>
        <w:t xml:space="preserve">that </w:t>
      </w:r>
      <w:r w:rsidRPr="00A9139A">
        <w:rPr>
          <w:rFonts w:ascii="Arial" w:eastAsia="Times New Roman" w:hAnsi="Arial" w:cs="Arial"/>
          <w:color w:val="000000"/>
          <w:lang w:eastAsia="en-GB"/>
        </w:rPr>
        <w:t>children learn through observation, communication</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experimentation. The child comes under close supervision from adults as they progress towards gaining autonomy. Middle childhood sets in at age seven and ends with puberty beginning from age 12 to 13 (Waters et al., 2022). It </w:t>
      </w:r>
      <w:r w:rsidRPr="00A9139A">
        <w:rPr>
          <w:rFonts w:ascii="Arial" w:eastAsia="Times New Roman" w:hAnsi="Arial" w:cs="Arial"/>
          <w:color w:val="000000"/>
          <w:lang w:eastAsia="en-GB"/>
        </w:rPr>
        <w:t>heralds</w:t>
      </w:r>
      <w:r w:rsidRPr="00A9139A">
        <w:rPr>
          <w:rFonts w:ascii="Arial" w:eastAsia="Times New Roman" w:hAnsi="Arial" w:cs="Arial"/>
          <w:color w:val="000000"/>
          <w:lang w:eastAsia="en-GB"/>
        </w:rPr>
        <w:t xml:space="preserve"> the beginning of adolescence. Social and mental development is evident at this stage. Children strengthen and widen their social circles by adding new friends. They also </w:t>
      </w:r>
      <w:r w:rsidRPr="00A9139A">
        <w:rPr>
          <w:rFonts w:ascii="Arial" w:eastAsia="Times New Roman" w:hAnsi="Arial" w:cs="Arial"/>
          <w:color w:val="000000"/>
          <w:lang w:eastAsia="en-GB"/>
        </w:rPr>
        <w:t>endeavour</w:t>
      </w:r>
      <w:r w:rsidRPr="00A9139A">
        <w:rPr>
          <w:rFonts w:ascii="Arial" w:eastAsia="Times New Roman" w:hAnsi="Arial" w:cs="Arial"/>
          <w:color w:val="000000"/>
          <w:lang w:eastAsia="en-GB"/>
        </w:rPr>
        <w:t xml:space="preserve"> in attaining new skills that will drive them to independence. Mental health problems such as dyslexia and autism begin to manifest which are not easily noticeable in the early childhood stage. Interventions such as special education and individualized pedagogy begin to take shape at this stage for children living with disabilities. </w:t>
      </w:r>
    </w:p>
    <w:p w14:paraId="2937E4CB"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24461A00"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The Key Elements of a Family</w:t>
      </w:r>
    </w:p>
    <w:p w14:paraId="306024CD" w14:textId="7A4ED175"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Family is socially constructed as much as children are. The family institution also influences the experiences of children and their needs. Just like the concept of children, family is a dynamic and transforming concept in the UK. One of the recent transformations marring the family institutions in the UK is the increasing female integration in the workforce hence more mothers are going to work and the rising cases of single parenthood due to the increasing cases of divorces. The UK government has been encouraging women to take up work since the 1970s through the provision of family</w:t>
      </w:r>
      <w:r>
        <w:rPr>
          <w:rFonts w:ascii="Arial" w:eastAsia="Times New Roman" w:hAnsi="Arial" w:cs="Arial"/>
          <w:color w:val="000000"/>
          <w:lang w:eastAsia="en-GB"/>
        </w:rPr>
        <w:t>-</w:t>
      </w:r>
      <w:r w:rsidRPr="00A9139A">
        <w:rPr>
          <w:rFonts w:ascii="Arial" w:eastAsia="Times New Roman" w:hAnsi="Arial" w:cs="Arial"/>
          <w:color w:val="000000"/>
          <w:lang w:eastAsia="en-GB"/>
        </w:rPr>
        <w:t>friendly policies (Leira, 2020). </w:t>
      </w:r>
    </w:p>
    <w:p w14:paraId="787C6AB8"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Historical Transformations in the Lives of Children and their Families</w:t>
      </w:r>
    </w:p>
    <w:p w14:paraId="58171139" w14:textId="516F670F" w:rsidR="00A9139A" w:rsidRDefault="00A9139A" w:rsidP="00A9139A">
      <w:pPr>
        <w:spacing w:after="0" w:line="240" w:lineRule="auto"/>
        <w:ind w:firstLine="720"/>
        <w:rPr>
          <w:rFonts w:ascii="Arial" w:eastAsia="Times New Roman" w:hAnsi="Arial" w:cs="Arial"/>
          <w:color w:val="000000"/>
          <w:lang w:eastAsia="en-GB"/>
        </w:rPr>
      </w:pPr>
      <w:r w:rsidRPr="00A9139A">
        <w:rPr>
          <w:rFonts w:ascii="Arial" w:eastAsia="Times New Roman" w:hAnsi="Arial" w:cs="Arial"/>
          <w:color w:val="000000"/>
          <w:lang w:eastAsia="en-GB"/>
        </w:rPr>
        <w:t>The concept of childhood ha</w:t>
      </w:r>
      <w:r>
        <w:rPr>
          <w:rFonts w:ascii="Arial" w:eastAsia="Times New Roman" w:hAnsi="Arial" w:cs="Arial"/>
          <w:color w:val="000000"/>
          <w:lang w:eastAsia="en-GB"/>
        </w:rPr>
        <w:t>s</w:t>
      </w:r>
      <w:r w:rsidRPr="00A9139A">
        <w:rPr>
          <w:rFonts w:ascii="Arial" w:eastAsia="Times New Roman" w:hAnsi="Arial" w:cs="Arial"/>
          <w:color w:val="000000"/>
          <w:lang w:eastAsia="en-GB"/>
        </w:rPr>
        <w:t xml:space="preserve"> undergone major historical transformations. The lives of children in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UK have changed through the historical periods. Three main perspectives of childhood exist within the UK historical dimensions: the puritan child, Locke’s ideas, and Rousseau. The puritan child of the 16</w:t>
      </w:r>
      <w:r w:rsidRPr="00A9139A">
        <w:rPr>
          <w:rFonts w:ascii="Arial" w:eastAsia="Times New Roman" w:hAnsi="Arial" w:cs="Arial"/>
          <w:color w:val="000000"/>
          <w:sz w:val="13"/>
          <w:szCs w:val="13"/>
          <w:vertAlign w:val="superscript"/>
          <w:lang w:eastAsia="en-GB"/>
        </w:rPr>
        <w:t>th</w:t>
      </w:r>
      <w:r w:rsidRPr="00A9139A">
        <w:rPr>
          <w:rFonts w:ascii="Arial" w:eastAsia="Times New Roman" w:hAnsi="Arial" w:cs="Arial"/>
          <w:color w:val="000000"/>
          <w:lang w:eastAsia="en-GB"/>
        </w:rPr>
        <w:t xml:space="preserve"> and 17</w:t>
      </w:r>
      <w:r w:rsidRPr="00A9139A">
        <w:rPr>
          <w:rFonts w:ascii="Arial" w:eastAsia="Times New Roman" w:hAnsi="Arial" w:cs="Arial"/>
          <w:color w:val="000000"/>
          <w:sz w:val="13"/>
          <w:szCs w:val="13"/>
          <w:vertAlign w:val="superscript"/>
          <w:lang w:eastAsia="en-GB"/>
        </w:rPr>
        <w:t>th</w:t>
      </w:r>
      <w:r w:rsidRPr="00A9139A">
        <w:rPr>
          <w:rFonts w:ascii="Arial" w:eastAsia="Times New Roman" w:hAnsi="Arial" w:cs="Arial"/>
          <w:color w:val="000000"/>
          <w:lang w:eastAsia="en-GB"/>
        </w:rPr>
        <w:t xml:space="preserve"> centur</w:t>
      </w:r>
      <w:r>
        <w:rPr>
          <w:rFonts w:ascii="Arial" w:eastAsia="Times New Roman" w:hAnsi="Arial" w:cs="Arial"/>
          <w:color w:val="000000"/>
          <w:lang w:eastAsia="en-GB"/>
        </w:rPr>
        <w:t>ies</w:t>
      </w:r>
      <w:r w:rsidRPr="00A9139A">
        <w:rPr>
          <w:rFonts w:ascii="Arial" w:eastAsia="Times New Roman" w:hAnsi="Arial" w:cs="Arial"/>
          <w:color w:val="000000"/>
          <w:lang w:eastAsia="en-GB"/>
        </w:rPr>
        <w:t xml:space="preserve"> were perceived as evil. Children were believed to be born stubborn. Children came under stern </w:t>
      </w:r>
      <w:r w:rsidRPr="00A9139A">
        <w:rPr>
          <w:rFonts w:ascii="Arial" w:eastAsia="Times New Roman" w:hAnsi="Arial" w:cs="Arial"/>
          <w:color w:val="000000"/>
          <w:lang w:eastAsia="en-GB"/>
        </w:rPr>
        <w:t>disciplin</w:t>
      </w:r>
      <w:r>
        <w:rPr>
          <w:rFonts w:ascii="Arial" w:eastAsia="Times New Roman" w:hAnsi="Arial" w:cs="Arial"/>
          <w:color w:val="000000"/>
          <w:lang w:eastAsia="en-GB"/>
        </w:rPr>
        <w:t>e,</w:t>
      </w:r>
      <w:r w:rsidRPr="00A9139A">
        <w:rPr>
          <w:rFonts w:ascii="Arial" w:eastAsia="Times New Roman" w:hAnsi="Arial" w:cs="Arial"/>
          <w:color w:val="000000"/>
          <w:lang w:eastAsia="en-GB"/>
        </w:rPr>
        <w:t xml:space="preserve"> and they had no chance of exerting their own will (Requena, 2019). Playing </w:t>
      </w:r>
      <w:r>
        <w:rPr>
          <w:rFonts w:ascii="Arial" w:eastAsia="Times New Roman" w:hAnsi="Arial" w:cs="Arial"/>
          <w:color w:val="000000"/>
          <w:lang w:eastAsia="en-GB"/>
        </w:rPr>
        <w:t xml:space="preserve">with </w:t>
      </w:r>
      <w:r w:rsidRPr="00A9139A">
        <w:rPr>
          <w:rFonts w:ascii="Arial" w:eastAsia="Times New Roman" w:hAnsi="Arial" w:cs="Arial"/>
          <w:color w:val="000000"/>
          <w:lang w:eastAsia="en-GB"/>
        </w:rPr>
        <w:t>toys was regarded as a privilege and not a normal routine.</w:t>
      </w:r>
      <w:r w:rsidRPr="00A9139A">
        <w:rPr>
          <w:rFonts w:ascii="Arial" w:eastAsia="Times New Roman" w:hAnsi="Arial" w:cs="Arial"/>
          <w:color w:val="000000"/>
          <w:shd w:val="clear" w:color="auto" w:fill="FFFFFF"/>
          <w:lang w:eastAsia="en-GB"/>
        </w:rPr>
        <w:t xml:space="preserve"> </w:t>
      </w:r>
      <w:r w:rsidRPr="00A9139A">
        <w:rPr>
          <w:rFonts w:ascii="Arial" w:eastAsia="Times New Roman" w:hAnsi="Arial" w:cs="Arial"/>
          <w:color w:val="000000"/>
          <w:lang w:eastAsia="en-GB"/>
        </w:rPr>
        <w:t xml:space="preserve">John Locke </w:t>
      </w:r>
      <w:r w:rsidRPr="00A9139A">
        <w:rPr>
          <w:rFonts w:ascii="Arial" w:eastAsia="Times New Roman" w:hAnsi="Arial" w:cs="Arial"/>
          <w:color w:val="000000"/>
          <w:lang w:eastAsia="en-GB"/>
        </w:rPr>
        <w:t>produced</w:t>
      </w:r>
      <w:r w:rsidRPr="00A9139A">
        <w:rPr>
          <w:rFonts w:ascii="Arial" w:eastAsia="Times New Roman" w:hAnsi="Arial" w:cs="Arial"/>
          <w:color w:val="000000"/>
          <w:lang w:eastAsia="en-GB"/>
        </w:rPr>
        <w:t xml:space="preserve"> the theory of Tabula Rasa, which postulates that children come into this world with an empty mind (Heath, 2019). In the argument of John Locke,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environment plays a key role in influencing the mind of a child at an early stage. Concisely, children are not good or </w:t>
      </w:r>
      <w:r w:rsidRPr="00A9139A">
        <w:rPr>
          <w:rFonts w:ascii="Arial" w:eastAsia="Times New Roman" w:hAnsi="Arial" w:cs="Arial"/>
          <w:color w:val="000000"/>
          <w:lang w:eastAsia="en-GB"/>
        </w:rPr>
        <w:t>bad,</w:t>
      </w:r>
      <w:r w:rsidRPr="00A9139A">
        <w:rPr>
          <w:rFonts w:ascii="Arial" w:eastAsia="Times New Roman" w:hAnsi="Arial" w:cs="Arial"/>
          <w:color w:val="000000"/>
          <w:lang w:eastAsia="en-GB"/>
        </w:rPr>
        <w:t xml:space="preserve"> but they are a product of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 xml:space="preserve">environment and education. Rousseau contended that children if given a space to develop under natural circumstances without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imposition of constraints by the society, will realize their full potential in the realms of education and morality (Rousseau, 1999). He subscribed to the belief that social institutions corrupt children of their goodness.</w:t>
      </w:r>
    </w:p>
    <w:p w14:paraId="2D7F8788"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07FCA5A1"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Changes since Victorian Time to Current Times- Policy and Legislations</w:t>
      </w:r>
    </w:p>
    <w:p w14:paraId="57C20A7E" w14:textId="189F0F4D" w:rsidR="00A9139A" w:rsidRDefault="00A9139A" w:rsidP="00A9139A">
      <w:pPr>
        <w:spacing w:after="0" w:line="240" w:lineRule="auto"/>
        <w:ind w:firstLine="720"/>
        <w:rPr>
          <w:rFonts w:ascii="Arial" w:eastAsia="Times New Roman" w:hAnsi="Arial" w:cs="Arial"/>
          <w:color w:val="000000"/>
          <w:lang w:eastAsia="en-GB"/>
        </w:rPr>
      </w:pPr>
      <w:r w:rsidRPr="00A9139A">
        <w:rPr>
          <w:rFonts w:ascii="Arial" w:eastAsia="Times New Roman" w:hAnsi="Arial" w:cs="Arial"/>
          <w:color w:val="000000"/>
          <w:lang w:eastAsia="en-GB"/>
        </w:rPr>
        <w:t>The sexual offen</w:t>
      </w:r>
      <w:r>
        <w:rPr>
          <w:rFonts w:ascii="Arial" w:eastAsia="Times New Roman" w:hAnsi="Arial" w:cs="Arial"/>
          <w:color w:val="000000"/>
          <w:lang w:eastAsia="en-GB"/>
        </w:rPr>
        <w:t>s</w:t>
      </w:r>
      <w:r w:rsidRPr="00A9139A">
        <w:rPr>
          <w:rFonts w:ascii="Arial" w:eastAsia="Times New Roman" w:hAnsi="Arial" w:cs="Arial"/>
          <w:color w:val="000000"/>
          <w:lang w:eastAsia="en-GB"/>
        </w:rPr>
        <w:t xml:space="preserve">e act of 2003 aimed at protecting children from sexual abuse. A child who is below 16 years </w:t>
      </w:r>
      <w:r>
        <w:rPr>
          <w:rFonts w:ascii="Arial" w:eastAsia="Times New Roman" w:hAnsi="Arial" w:cs="Arial"/>
          <w:color w:val="000000"/>
          <w:lang w:eastAsia="en-GB"/>
        </w:rPr>
        <w:t>cannot</w:t>
      </w:r>
      <w:r w:rsidRPr="00A9139A">
        <w:rPr>
          <w:rFonts w:ascii="Arial" w:eastAsia="Times New Roman" w:hAnsi="Arial" w:cs="Arial"/>
          <w:color w:val="000000"/>
          <w:lang w:eastAsia="en-GB"/>
        </w:rPr>
        <w:t xml:space="preserve"> provide consent (Davidson et al., 2008, 13). The introduction of the United Nations Conventions on the Rights of the Child (UNCRC) in 1991 ensured that every child has the right to life, non-discrimination, education</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protection from harm and abuse. The introduction of child development and neuroscience as disciplines of study contributed to chang</w:t>
      </w:r>
      <w:r>
        <w:rPr>
          <w:rFonts w:ascii="Arial" w:eastAsia="Times New Roman" w:hAnsi="Arial" w:cs="Arial"/>
          <w:color w:val="000000"/>
          <w:lang w:eastAsia="en-GB"/>
        </w:rPr>
        <w:t>ing</w:t>
      </w:r>
      <w:r w:rsidRPr="00A9139A">
        <w:rPr>
          <w:rFonts w:ascii="Arial" w:eastAsia="Times New Roman" w:hAnsi="Arial" w:cs="Arial"/>
          <w:color w:val="000000"/>
          <w:lang w:eastAsia="en-GB"/>
        </w:rPr>
        <w:t xml:space="preserve"> the lives of the children as these disciplines stress the importance of providing good childhood to all the children, good experiences, and </w:t>
      </w:r>
      <w:r>
        <w:rPr>
          <w:rFonts w:ascii="Arial" w:eastAsia="Times New Roman" w:hAnsi="Arial" w:cs="Arial"/>
          <w:color w:val="000000"/>
          <w:lang w:eastAsia="en-GB"/>
        </w:rPr>
        <w:t xml:space="preserve">a </w:t>
      </w:r>
      <w:r w:rsidRPr="00A9139A">
        <w:rPr>
          <w:rFonts w:ascii="Arial" w:eastAsia="Times New Roman" w:hAnsi="Arial" w:cs="Arial"/>
          <w:color w:val="000000"/>
          <w:lang w:eastAsia="en-GB"/>
        </w:rPr>
        <w:t xml:space="preserve">good environment. The impact of sociological factors </w:t>
      </w:r>
      <w:r>
        <w:rPr>
          <w:rFonts w:ascii="Arial" w:eastAsia="Times New Roman" w:hAnsi="Arial" w:cs="Arial"/>
          <w:color w:val="000000"/>
          <w:lang w:eastAsia="en-GB"/>
        </w:rPr>
        <w:t>i</w:t>
      </w:r>
      <w:r w:rsidRPr="00A9139A">
        <w:rPr>
          <w:rFonts w:ascii="Arial" w:eastAsia="Times New Roman" w:hAnsi="Arial" w:cs="Arial"/>
          <w:color w:val="000000"/>
          <w:lang w:eastAsia="en-GB"/>
        </w:rPr>
        <w:t>s now more parents spend more time with their children, Governments spend more money on services related to children, and National Health Service provides free healthcare services. </w:t>
      </w:r>
    </w:p>
    <w:p w14:paraId="7D9FB197"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4A1969AE"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Current Interventions to Help Vulnerable Children and Families</w:t>
      </w:r>
    </w:p>
    <w:p w14:paraId="4BF803E3" w14:textId="40C7FB90"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A range of approaches and interventions exist to support vulnerable children, young people</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families in tackling social inequalities and promulgating their health and development includ</w:t>
      </w:r>
      <w:r>
        <w:rPr>
          <w:rFonts w:ascii="Arial" w:eastAsia="Times New Roman" w:hAnsi="Arial" w:cs="Arial"/>
          <w:color w:val="000000"/>
          <w:lang w:eastAsia="en-GB"/>
        </w:rPr>
        <w:t>ing</w:t>
      </w:r>
      <w:r w:rsidRPr="00A9139A">
        <w:rPr>
          <w:rFonts w:ascii="Arial" w:eastAsia="Times New Roman" w:hAnsi="Arial" w:cs="Arial"/>
          <w:color w:val="000000"/>
          <w:lang w:eastAsia="en-GB"/>
        </w:rPr>
        <w:t xml:space="preserve"> universal health coverage and education. One of the aims of General Practice in England is to tackle the issue of health inequalities. Health inequalities are indicators of the rippling effects of socio-economic problems </w:t>
      </w:r>
      <w:r w:rsidRPr="00A9139A">
        <w:rPr>
          <w:rFonts w:ascii="Arial" w:eastAsia="Times New Roman" w:hAnsi="Arial" w:cs="Arial"/>
          <w:color w:val="000000"/>
          <w:lang w:eastAsia="en-GB"/>
        </w:rPr>
        <w:t>in each</w:t>
      </w:r>
      <w:r w:rsidRPr="00A9139A">
        <w:rPr>
          <w:rFonts w:ascii="Arial" w:eastAsia="Times New Roman" w:hAnsi="Arial" w:cs="Arial"/>
          <w:color w:val="000000"/>
          <w:lang w:eastAsia="en-GB"/>
        </w:rPr>
        <w:t xml:space="preserve"> society. The role of General Practice is to augment equitable access </w:t>
      </w:r>
      <w:r>
        <w:rPr>
          <w:rFonts w:ascii="Arial" w:eastAsia="Times New Roman" w:hAnsi="Arial" w:cs="Arial"/>
          <w:color w:val="000000"/>
          <w:lang w:eastAsia="en-GB"/>
        </w:rPr>
        <w:t>to</w:t>
      </w:r>
      <w:r w:rsidRPr="00A9139A">
        <w:rPr>
          <w:rFonts w:ascii="Arial" w:eastAsia="Times New Roman" w:hAnsi="Arial" w:cs="Arial"/>
          <w:color w:val="000000"/>
          <w:lang w:eastAsia="en-GB"/>
        </w:rPr>
        <w:t xml:space="preserve"> general practice </w:t>
      </w:r>
      <w:r w:rsidRPr="00A9139A">
        <w:rPr>
          <w:rFonts w:ascii="Arial" w:eastAsia="Times New Roman" w:hAnsi="Arial" w:cs="Arial"/>
          <w:color w:val="000000"/>
          <w:lang w:eastAsia="en-GB"/>
        </w:rPr>
        <w:t>services and</w:t>
      </w:r>
      <w:r w:rsidRPr="00A9139A">
        <w:rPr>
          <w:rFonts w:ascii="Arial" w:eastAsia="Times New Roman" w:hAnsi="Arial" w:cs="Arial"/>
          <w:color w:val="000000"/>
          <w:lang w:eastAsia="en-GB"/>
        </w:rPr>
        <w:t xml:space="preserve"> ensure that clinical practices reduce inequalities among vulnerable groups including children. GPs provide specific interventions to the child’s needs in specific situations such as obesity and cardiovascular diseases. </w:t>
      </w:r>
    </w:p>
    <w:p w14:paraId="7D1F69D0"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Conclusion</w:t>
      </w:r>
    </w:p>
    <w:p w14:paraId="392B594F" w14:textId="6652375B" w:rsidR="00A9139A" w:rsidRDefault="00A9139A" w:rsidP="00A9139A">
      <w:pPr>
        <w:spacing w:after="0" w:line="240" w:lineRule="auto"/>
        <w:ind w:firstLine="720"/>
        <w:rPr>
          <w:rFonts w:ascii="Arial" w:eastAsia="Times New Roman" w:hAnsi="Arial" w:cs="Arial"/>
          <w:color w:val="000000"/>
          <w:lang w:eastAsia="en-GB"/>
        </w:rPr>
      </w:pPr>
      <w:r>
        <w:rPr>
          <w:rFonts w:ascii="Arial" w:eastAsia="Times New Roman" w:hAnsi="Arial" w:cs="Arial"/>
          <w:color w:val="000000"/>
          <w:lang w:eastAsia="en-GB"/>
        </w:rPr>
        <w:t>T</w:t>
      </w:r>
      <w:r w:rsidRPr="00A9139A">
        <w:rPr>
          <w:rFonts w:ascii="Arial" w:eastAsia="Times New Roman" w:hAnsi="Arial" w:cs="Arial"/>
          <w:color w:val="000000"/>
          <w:lang w:eastAsia="en-GB"/>
        </w:rPr>
        <w:t xml:space="preserve">he lives of the children have improved over time due to policy interventions and legislation in the UK </w:t>
      </w:r>
      <w:r>
        <w:rPr>
          <w:rFonts w:ascii="Arial" w:eastAsia="Times New Roman" w:hAnsi="Arial" w:cs="Arial"/>
          <w:color w:val="000000"/>
          <w:lang w:eastAsia="en-GB"/>
        </w:rPr>
        <w:t>from</w:t>
      </w:r>
      <w:r w:rsidRPr="00A9139A">
        <w:rPr>
          <w:rFonts w:ascii="Arial" w:eastAsia="Times New Roman" w:hAnsi="Arial" w:cs="Arial"/>
          <w:color w:val="000000"/>
          <w:lang w:eastAsia="en-GB"/>
        </w:rPr>
        <w:t xml:space="preserve">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16</w:t>
      </w:r>
      <w:r w:rsidRPr="00A9139A">
        <w:rPr>
          <w:rFonts w:ascii="Arial" w:eastAsia="Times New Roman" w:hAnsi="Arial" w:cs="Arial"/>
          <w:color w:val="000000"/>
          <w:sz w:val="13"/>
          <w:szCs w:val="13"/>
          <w:vertAlign w:val="superscript"/>
          <w:lang w:eastAsia="en-GB"/>
        </w:rPr>
        <w:t>th</w:t>
      </w:r>
      <w:r w:rsidRPr="00A9139A">
        <w:rPr>
          <w:rFonts w:ascii="Arial" w:eastAsia="Times New Roman" w:hAnsi="Arial" w:cs="Arial"/>
          <w:color w:val="000000"/>
          <w:lang w:eastAsia="en-GB"/>
        </w:rPr>
        <w:t xml:space="preserve"> century through Victorian times to the present times. The historical transformations of the concept of childhood in three perspectives: legal, social</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biological have informed the legislative and policy transformations aimed at improving the lives of children and mitigating social inequalities. </w:t>
      </w:r>
    </w:p>
    <w:p w14:paraId="4D336052"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4F0DF235" w14:textId="77777777" w:rsidR="00A9139A" w:rsidRPr="00A9139A" w:rsidRDefault="00A9139A" w:rsidP="00A9139A">
      <w:pPr>
        <w:spacing w:after="0" w:line="240" w:lineRule="auto"/>
        <w:outlineLvl w:val="1"/>
        <w:rPr>
          <w:rFonts w:ascii="Times New Roman" w:eastAsia="Times New Roman" w:hAnsi="Times New Roman" w:cs="Times New Roman"/>
          <w:b/>
          <w:bCs/>
          <w:sz w:val="36"/>
          <w:szCs w:val="36"/>
          <w:lang w:eastAsia="en-GB"/>
        </w:rPr>
      </w:pPr>
      <w:r w:rsidRPr="00A9139A">
        <w:rPr>
          <w:rFonts w:ascii="Arial" w:eastAsia="Times New Roman" w:hAnsi="Arial" w:cs="Arial"/>
          <w:b/>
          <w:bCs/>
          <w:color w:val="000000"/>
          <w:lang w:eastAsia="en-GB"/>
        </w:rPr>
        <w:t>Suggestions and Recommendations for Improving the Lives of the Children</w:t>
      </w:r>
    </w:p>
    <w:p w14:paraId="6511B22B" w14:textId="799A07F5"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However, albeit the lives of the children have changed and have improved over time due to policy interventions and legislation in the UK, still </w:t>
      </w:r>
      <w:r>
        <w:rPr>
          <w:rFonts w:ascii="Arial" w:eastAsia="Times New Roman" w:hAnsi="Arial" w:cs="Arial"/>
          <w:color w:val="000000"/>
          <w:lang w:eastAsia="en-GB"/>
        </w:rPr>
        <w:t>many children are</w:t>
      </w:r>
      <w:r w:rsidRPr="00A9139A">
        <w:rPr>
          <w:rFonts w:ascii="Arial" w:eastAsia="Times New Roman" w:hAnsi="Arial" w:cs="Arial"/>
          <w:color w:val="000000"/>
          <w:lang w:eastAsia="en-GB"/>
        </w:rPr>
        <w:t xml:space="preserve"> living in poverty. According to the Rowntree Foundation (2021), 2.8 million children live in poverty hence the need for policy and legislative intervention to introduce free school meal</w:t>
      </w:r>
      <w:r>
        <w:rPr>
          <w:rFonts w:ascii="Arial" w:eastAsia="Times New Roman" w:hAnsi="Arial" w:cs="Arial"/>
          <w:color w:val="000000"/>
          <w:lang w:eastAsia="en-GB"/>
        </w:rPr>
        <w:t>s</w:t>
      </w:r>
      <w:r w:rsidRPr="00A9139A">
        <w:rPr>
          <w:rFonts w:ascii="Arial" w:eastAsia="Times New Roman" w:hAnsi="Arial" w:cs="Arial"/>
          <w:color w:val="000000"/>
          <w:lang w:eastAsia="en-GB"/>
        </w:rPr>
        <w:t xml:space="preserve"> for all primary school children (Harnold et al, 2021, 23). I recommend free school meals for every child on top of Free State education. This is because; having the right food will influence positively the holistic development of a child: physical, emotional, social</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intellectual. Amid all, food suffices as the most basic need, lower in the hierarchy of Maslow, hence the need to meet the need for food first. </w:t>
      </w:r>
    </w:p>
    <w:p w14:paraId="72ED106E" w14:textId="09F0D7D1" w:rsidR="00A9139A" w:rsidRDefault="00A9139A" w:rsidP="00A9139A">
      <w:pPr>
        <w:spacing w:after="0" w:line="240" w:lineRule="auto"/>
        <w:ind w:firstLine="720"/>
        <w:rPr>
          <w:rFonts w:ascii="Arial" w:eastAsia="Times New Roman" w:hAnsi="Arial" w:cs="Arial"/>
          <w:color w:val="000000"/>
          <w:lang w:eastAsia="en-GB"/>
        </w:rPr>
      </w:pPr>
      <w:r w:rsidRPr="00A9139A">
        <w:rPr>
          <w:rFonts w:ascii="Arial" w:eastAsia="Times New Roman" w:hAnsi="Arial" w:cs="Arial"/>
          <w:color w:val="000000"/>
          <w:lang w:eastAsia="en-GB"/>
        </w:rPr>
        <w:t xml:space="preserve">Children brought up by single parents and </w:t>
      </w:r>
      <w:r>
        <w:rPr>
          <w:rFonts w:ascii="Arial" w:eastAsia="Times New Roman" w:hAnsi="Arial" w:cs="Arial"/>
          <w:color w:val="000000"/>
          <w:lang w:eastAsia="en-GB"/>
        </w:rPr>
        <w:t xml:space="preserve">in </w:t>
      </w:r>
      <w:r w:rsidRPr="00A9139A">
        <w:rPr>
          <w:rFonts w:ascii="Arial" w:eastAsia="Times New Roman" w:hAnsi="Arial" w:cs="Arial"/>
          <w:color w:val="000000"/>
          <w:lang w:eastAsia="en-GB"/>
        </w:rPr>
        <w:t xml:space="preserve">troubled marriages registers lower levels of educational attainment, abusive parents increased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chances of mental health problems</w:t>
      </w:r>
      <w:r>
        <w:rPr>
          <w:rFonts w:ascii="Arial" w:eastAsia="Times New Roman" w:hAnsi="Arial" w:cs="Arial"/>
          <w:color w:val="000000"/>
          <w:lang w:eastAsia="en-GB"/>
        </w:rPr>
        <w:t>,</w:t>
      </w:r>
      <w:r w:rsidRPr="00A9139A">
        <w:rPr>
          <w:rFonts w:ascii="Arial" w:eastAsia="Times New Roman" w:hAnsi="Arial" w:cs="Arial"/>
          <w:color w:val="000000"/>
          <w:lang w:eastAsia="en-GB"/>
        </w:rPr>
        <w:t xml:space="preserve"> and early marriages (Pitkänen et al., 2021, 13). The government should set up specific interventions such as </w:t>
      </w:r>
      <w:r>
        <w:rPr>
          <w:rFonts w:ascii="Arial" w:eastAsia="Times New Roman" w:hAnsi="Arial" w:cs="Arial"/>
          <w:color w:val="000000"/>
          <w:lang w:eastAsia="en-GB"/>
        </w:rPr>
        <w:t xml:space="preserve">the </w:t>
      </w:r>
      <w:r w:rsidRPr="00A9139A">
        <w:rPr>
          <w:rFonts w:ascii="Arial" w:eastAsia="Times New Roman" w:hAnsi="Arial" w:cs="Arial"/>
          <w:color w:val="000000"/>
          <w:lang w:eastAsia="en-GB"/>
        </w:rPr>
        <w:t>introduction and implementation of compulsory relationship sex and education in schools aimed at addressing the need for healthy relationships. Government should set up rescue homes and care homes for children with extreme cases of mental health problems arising from troubled marriages</w:t>
      </w:r>
      <w:r w:rsidRPr="00A9139A">
        <w:rPr>
          <w:rFonts w:ascii="Arial" w:eastAsia="Times New Roman" w:hAnsi="Arial" w:cs="Arial"/>
          <w:color w:val="000000"/>
          <w:lang w:eastAsia="en-GB"/>
        </w:rPr>
        <w:t xml:space="preserve">. </w:t>
      </w:r>
    </w:p>
    <w:p w14:paraId="5CFC2323" w14:textId="77777777" w:rsidR="00A9139A" w:rsidRPr="00A9139A" w:rsidRDefault="00A9139A" w:rsidP="00A9139A">
      <w:pPr>
        <w:spacing w:after="0" w:line="240" w:lineRule="auto"/>
        <w:ind w:firstLine="720"/>
        <w:rPr>
          <w:rFonts w:ascii="Times New Roman" w:eastAsia="Times New Roman" w:hAnsi="Times New Roman" w:cs="Times New Roman"/>
          <w:sz w:val="24"/>
          <w:szCs w:val="24"/>
          <w:lang w:eastAsia="en-GB"/>
        </w:rPr>
      </w:pPr>
    </w:p>
    <w:p w14:paraId="0B9C52FC" w14:textId="77777777" w:rsidR="00A9139A" w:rsidRPr="00A9139A" w:rsidRDefault="00A9139A" w:rsidP="00A9139A">
      <w:pPr>
        <w:spacing w:after="0" w:line="240" w:lineRule="auto"/>
        <w:rPr>
          <w:rFonts w:ascii="Times New Roman" w:eastAsia="Times New Roman" w:hAnsi="Times New Roman" w:cs="Times New Roman"/>
          <w:sz w:val="24"/>
          <w:szCs w:val="24"/>
          <w:lang w:eastAsia="en-GB"/>
        </w:rPr>
      </w:pPr>
    </w:p>
    <w:p w14:paraId="07284D51" w14:textId="77777777" w:rsidR="00A9139A" w:rsidRPr="00A9139A" w:rsidRDefault="00A9139A" w:rsidP="00A9139A">
      <w:pPr>
        <w:spacing w:after="0" w:line="240" w:lineRule="auto"/>
        <w:jc w:val="center"/>
        <w:outlineLvl w:val="0"/>
        <w:rPr>
          <w:rFonts w:ascii="Times New Roman" w:eastAsia="Times New Roman" w:hAnsi="Times New Roman" w:cs="Times New Roman"/>
          <w:b/>
          <w:bCs/>
          <w:kern w:val="36"/>
          <w:sz w:val="48"/>
          <w:szCs w:val="48"/>
          <w:lang w:eastAsia="en-GB"/>
        </w:rPr>
      </w:pPr>
      <w:r w:rsidRPr="00A9139A">
        <w:rPr>
          <w:rFonts w:ascii="Arial" w:eastAsia="Times New Roman" w:hAnsi="Arial" w:cs="Arial"/>
          <w:b/>
          <w:bCs/>
          <w:color w:val="000000"/>
          <w:kern w:val="36"/>
          <w:lang w:eastAsia="en-GB"/>
        </w:rPr>
        <w:t>Reference List</w:t>
      </w:r>
    </w:p>
    <w:p w14:paraId="302ABFA5"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Barnett, R., 1996. 12. The evaluation of the higher education system in the United Kingdom. </w:t>
      </w:r>
      <w:r w:rsidRPr="00A9139A">
        <w:rPr>
          <w:rFonts w:ascii="Arial" w:eastAsia="Times New Roman" w:hAnsi="Arial" w:cs="Arial"/>
          <w:i/>
          <w:iCs/>
          <w:color w:val="000000"/>
          <w:lang w:eastAsia="en-GB"/>
        </w:rPr>
        <w:t>The Evaluation of higher education systems</w:t>
      </w:r>
      <w:r w:rsidRPr="00A9139A">
        <w:rPr>
          <w:rFonts w:ascii="Arial" w:eastAsia="Times New Roman" w:hAnsi="Arial" w:cs="Arial"/>
          <w:color w:val="000000"/>
          <w:lang w:eastAsia="en-GB"/>
        </w:rPr>
        <w:t>, p.144.</w:t>
      </w:r>
    </w:p>
    <w:p w14:paraId="7306DEA7"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Bourdieu, P., 2020. </w:t>
      </w:r>
      <w:r w:rsidRPr="00A9139A">
        <w:rPr>
          <w:rFonts w:ascii="Arial" w:eastAsia="Times New Roman" w:hAnsi="Arial" w:cs="Arial"/>
          <w:i/>
          <w:iCs/>
          <w:color w:val="000000"/>
          <w:lang w:eastAsia="en-GB"/>
        </w:rPr>
        <w:t>Belief and the Body</w:t>
      </w:r>
      <w:r w:rsidRPr="00A9139A">
        <w:rPr>
          <w:rFonts w:ascii="Arial" w:eastAsia="Times New Roman" w:hAnsi="Arial" w:cs="Arial"/>
          <w:color w:val="000000"/>
          <w:lang w:eastAsia="en-GB"/>
        </w:rPr>
        <w:t> (pp. 87-91). Routledge.</w:t>
      </w:r>
    </w:p>
    <w:p w14:paraId="699891F8"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Crown Prosecution Service (CPS) (2019) Prostitution and Exploitation of prostitution. (Online). Available at:  </w:t>
      </w:r>
      <w:hyperlink r:id="rId23" w:history="1">
        <w:r w:rsidRPr="00A9139A">
          <w:rPr>
            <w:rFonts w:ascii="Arial" w:eastAsia="Times New Roman" w:hAnsi="Arial" w:cs="Arial"/>
            <w:color w:val="000000"/>
            <w:u w:val="single"/>
            <w:lang w:eastAsia="en-GB"/>
          </w:rPr>
          <w:t>https://www.cps.gov.uk/legal-guidance/prostitution-and-exploitation-prostitution</w:t>
        </w:r>
      </w:hyperlink>
      <w:r w:rsidRPr="00A9139A">
        <w:rPr>
          <w:rFonts w:ascii="Arial" w:eastAsia="Times New Roman" w:hAnsi="Arial" w:cs="Arial"/>
          <w:color w:val="000000"/>
          <w:lang w:eastAsia="en-GB"/>
        </w:rPr>
        <w:t xml:space="preserve"> (Accessed: 27/03/2022). </w:t>
      </w:r>
    </w:p>
    <w:p w14:paraId="1D24C71D"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Crown Prosecution Service (CPS) (2019) Prostitution and Exploitation of prostitution. (Online). Available at: </w:t>
      </w:r>
      <w:hyperlink r:id="rId24" w:history="1">
        <w:r w:rsidRPr="00A9139A">
          <w:rPr>
            <w:rFonts w:ascii="Arial" w:eastAsia="Times New Roman" w:hAnsi="Arial" w:cs="Arial"/>
            <w:color w:val="000000"/>
            <w:u w:val="single"/>
            <w:lang w:eastAsia="en-GB"/>
          </w:rPr>
          <w:t>https://www.cps.gov.uk/legal-guidance/prostitution-and-exploitation-prostitution</w:t>
        </w:r>
      </w:hyperlink>
      <w:r w:rsidRPr="00A9139A">
        <w:rPr>
          <w:rFonts w:ascii="Arial" w:eastAsia="Times New Roman" w:hAnsi="Arial" w:cs="Arial"/>
          <w:color w:val="000000"/>
          <w:lang w:eastAsia="en-GB"/>
        </w:rPr>
        <w:t xml:space="preserve"> (Accessed: 27/03/2022). </w:t>
      </w:r>
    </w:p>
    <w:p w14:paraId="26F76C38"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Davidson, J., 2008. </w:t>
      </w:r>
      <w:r w:rsidRPr="00A9139A">
        <w:rPr>
          <w:rFonts w:ascii="Arial" w:eastAsia="Times New Roman" w:hAnsi="Arial" w:cs="Arial"/>
          <w:i/>
          <w:iCs/>
          <w:color w:val="000000"/>
          <w:lang w:eastAsia="en-GB"/>
        </w:rPr>
        <w:t>Child sexual abuse: Media representations and government reactions</w:t>
      </w:r>
      <w:r w:rsidRPr="00A9139A">
        <w:rPr>
          <w:rFonts w:ascii="Arial" w:eastAsia="Times New Roman" w:hAnsi="Arial" w:cs="Arial"/>
          <w:color w:val="000000"/>
          <w:lang w:eastAsia="en-GB"/>
        </w:rPr>
        <w:t>. Routledge-Cavendish.</w:t>
      </w:r>
    </w:p>
    <w:p w14:paraId="7CFF5B29"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DelGiudice, M., 2018. Middle childhood: An evolutionary-developmental synthesis. </w:t>
      </w:r>
      <w:r w:rsidRPr="00A9139A">
        <w:rPr>
          <w:rFonts w:ascii="Arial" w:eastAsia="Times New Roman" w:hAnsi="Arial" w:cs="Arial"/>
          <w:i/>
          <w:iCs/>
          <w:color w:val="000000"/>
          <w:lang w:eastAsia="en-GB"/>
        </w:rPr>
        <w:t>Handbook of life course health development</w:t>
      </w:r>
      <w:r w:rsidRPr="00A9139A">
        <w:rPr>
          <w:rFonts w:ascii="Arial" w:eastAsia="Times New Roman" w:hAnsi="Arial" w:cs="Arial"/>
          <w:color w:val="000000"/>
          <w:lang w:eastAsia="en-GB"/>
        </w:rPr>
        <w:t>, pp.95-107.</w:t>
      </w:r>
    </w:p>
    <w:p w14:paraId="6B592449"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GOV.UK (2021) </w:t>
      </w:r>
      <w:r w:rsidRPr="00A9139A">
        <w:rPr>
          <w:rFonts w:ascii="Arial" w:eastAsia="Times New Roman" w:hAnsi="Arial" w:cs="Arial"/>
          <w:i/>
          <w:iCs/>
          <w:color w:val="000000"/>
          <w:lang w:eastAsia="en-GB"/>
        </w:rPr>
        <w:t>Child Employment.</w:t>
      </w:r>
      <w:r w:rsidRPr="00A9139A">
        <w:rPr>
          <w:rFonts w:ascii="Arial" w:eastAsia="Times New Roman" w:hAnsi="Arial" w:cs="Arial"/>
          <w:color w:val="000000"/>
          <w:lang w:eastAsia="en-GB"/>
        </w:rPr>
        <w:t xml:space="preserve"> (Online) Available at: </w:t>
      </w:r>
      <w:hyperlink r:id="rId25" w:history="1">
        <w:r w:rsidRPr="00A9139A">
          <w:rPr>
            <w:rFonts w:ascii="Arial" w:eastAsia="Times New Roman" w:hAnsi="Arial" w:cs="Arial"/>
            <w:color w:val="000000"/>
            <w:u w:val="single"/>
            <w:lang w:eastAsia="en-GB"/>
          </w:rPr>
          <w:t>https://www.gov.uk/child-employment</w:t>
        </w:r>
      </w:hyperlink>
      <w:r w:rsidRPr="00A9139A">
        <w:rPr>
          <w:rFonts w:ascii="Arial" w:eastAsia="Times New Roman" w:hAnsi="Arial" w:cs="Arial"/>
          <w:color w:val="000000"/>
          <w:lang w:eastAsia="en-GB"/>
        </w:rPr>
        <w:t xml:space="preserve"> (Accessed: 27/03/2022). </w:t>
      </w:r>
    </w:p>
    <w:p w14:paraId="55D1F00A"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GOV.UK. (2021) </w:t>
      </w:r>
      <w:r w:rsidRPr="00A9139A">
        <w:rPr>
          <w:rFonts w:ascii="Arial" w:eastAsia="Times New Roman" w:hAnsi="Arial" w:cs="Arial"/>
          <w:i/>
          <w:iCs/>
          <w:color w:val="000000"/>
          <w:lang w:eastAsia="en-GB"/>
        </w:rPr>
        <w:t>School leaving age</w:t>
      </w:r>
      <w:r w:rsidRPr="00A9139A">
        <w:rPr>
          <w:rFonts w:ascii="Arial" w:eastAsia="Times New Roman" w:hAnsi="Arial" w:cs="Arial"/>
          <w:color w:val="000000"/>
          <w:lang w:eastAsia="en-GB"/>
        </w:rPr>
        <w:t xml:space="preserve">. (Online) Available at: </w:t>
      </w:r>
      <w:hyperlink r:id="rId26" w:history="1">
        <w:r w:rsidRPr="00A9139A">
          <w:rPr>
            <w:rFonts w:ascii="Arial" w:eastAsia="Times New Roman" w:hAnsi="Arial" w:cs="Arial"/>
            <w:color w:val="000000"/>
            <w:u w:val="single"/>
            <w:lang w:eastAsia="en-GB"/>
          </w:rPr>
          <w:t>https://www.gov.uk/know-when-you-can-leave-school</w:t>
        </w:r>
      </w:hyperlink>
      <w:r w:rsidRPr="00A9139A">
        <w:rPr>
          <w:rFonts w:ascii="Arial" w:eastAsia="Times New Roman" w:hAnsi="Arial" w:cs="Arial"/>
          <w:color w:val="000000"/>
          <w:lang w:eastAsia="en-GB"/>
        </w:rPr>
        <w:t xml:space="preserve"> (Accessed: 27/03/2022).</w:t>
      </w:r>
    </w:p>
    <w:p w14:paraId="71F2A2A5"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Harnold, S., Harper, A.I.D.A.N. and Stirling, A., 2021. The UK’s living standards crisis. </w:t>
      </w:r>
      <w:r w:rsidRPr="00A9139A">
        <w:rPr>
          <w:rFonts w:ascii="Arial" w:eastAsia="Times New Roman" w:hAnsi="Arial" w:cs="Arial"/>
          <w:i/>
          <w:iCs/>
          <w:color w:val="000000"/>
          <w:lang w:eastAsia="en-GB"/>
        </w:rPr>
        <w:t>The case for a Living Income. New Economics Foundation. Report downloadable from https://neweconomics. Org/2021/06/theuks-living-standards-crisis (accessed 19/7/2021)</w:t>
      </w:r>
      <w:r w:rsidRPr="00A9139A">
        <w:rPr>
          <w:rFonts w:ascii="Arial" w:eastAsia="Times New Roman" w:hAnsi="Arial" w:cs="Arial"/>
          <w:color w:val="000000"/>
          <w:lang w:eastAsia="en-GB"/>
        </w:rPr>
        <w:t>.</w:t>
      </w:r>
    </w:p>
    <w:p w14:paraId="04568D2E"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Heath, M.P., 2019. John Locke: The Individual Rights Meme. In </w:t>
      </w:r>
      <w:r w:rsidRPr="00A9139A">
        <w:rPr>
          <w:rFonts w:ascii="Arial" w:eastAsia="Times New Roman" w:hAnsi="Arial" w:cs="Arial"/>
          <w:i/>
          <w:iCs/>
          <w:color w:val="000000"/>
          <w:lang w:eastAsia="en-GB"/>
        </w:rPr>
        <w:t>The Christian Roots of Individualism</w:t>
      </w:r>
      <w:r w:rsidRPr="00A9139A">
        <w:rPr>
          <w:rFonts w:ascii="Arial" w:eastAsia="Times New Roman" w:hAnsi="Arial" w:cs="Arial"/>
          <w:color w:val="000000"/>
          <w:lang w:eastAsia="en-GB"/>
        </w:rPr>
        <w:t> (pp. 213-242). Palgrave Macmillan, Cham.</w:t>
      </w:r>
    </w:p>
    <w:p w14:paraId="0772CD4B"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Hilton, J., Dodd, E., Forster, J.J. and Smith, P.W., 2019. Projecting UK mortality by using Bayesian generalized additive models. </w:t>
      </w:r>
      <w:r w:rsidRPr="00A9139A">
        <w:rPr>
          <w:rFonts w:ascii="Arial" w:eastAsia="Times New Roman" w:hAnsi="Arial" w:cs="Arial"/>
          <w:i/>
          <w:iCs/>
          <w:color w:val="000000"/>
          <w:lang w:eastAsia="en-GB"/>
        </w:rPr>
        <w:t>Journal of the Royal Statistical Society: Series C (Applied Statistics)</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68</w:t>
      </w:r>
      <w:r w:rsidRPr="00A9139A">
        <w:rPr>
          <w:rFonts w:ascii="Arial" w:eastAsia="Times New Roman" w:hAnsi="Arial" w:cs="Arial"/>
          <w:color w:val="000000"/>
          <w:lang w:eastAsia="en-GB"/>
        </w:rPr>
        <w:t>(1), pp.29-49.</w:t>
      </w:r>
    </w:p>
    <w:p w14:paraId="5A3A76D5"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Huitt, W., 2007. Maslow's hierarchy of needs. </w:t>
      </w:r>
      <w:r w:rsidRPr="00A9139A">
        <w:rPr>
          <w:rFonts w:ascii="Arial" w:eastAsia="Times New Roman" w:hAnsi="Arial" w:cs="Arial"/>
          <w:i/>
          <w:iCs/>
          <w:color w:val="000000"/>
          <w:lang w:eastAsia="en-GB"/>
        </w:rPr>
        <w:t>Educational psychology interactive</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23</w:t>
      </w:r>
      <w:r w:rsidRPr="00A9139A">
        <w:rPr>
          <w:rFonts w:ascii="Arial" w:eastAsia="Times New Roman" w:hAnsi="Arial" w:cs="Arial"/>
          <w:color w:val="000000"/>
          <w:lang w:eastAsia="en-GB"/>
        </w:rPr>
        <w:t>.</w:t>
      </w:r>
    </w:p>
    <w:p w14:paraId="0FEDB940"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Kehily, M.J. ed., 2013. </w:t>
      </w:r>
      <w:r w:rsidRPr="00A9139A">
        <w:rPr>
          <w:rFonts w:ascii="Arial" w:eastAsia="Times New Roman" w:hAnsi="Arial" w:cs="Arial"/>
          <w:i/>
          <w:iCs/>
          <w:color w:val="000000"/>
          <w:lang w:eastAsia="en-GB"/>
        </w:rPr>
        <w:t>Understanding childhood: A cross-disciplinary approach</w:t>
      </w:r>
      <w:r w:rsidRPr="00A9139A">
        <w:rPr>
          <w:rFonts w:ascii="Arial" w:eastAsia="Times New Roman" w:hAnsi="Arial" w:cs="Arial"/>
          <w:color w:val="000000"/>
          <w:lang w:eastAsia="en-GB"/>
        </w:rPr>
        <w:t>. Policy Press.</w:t>
      </w:r>
    </w:p>
    <w:p w14:paraId="2DE886FF"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Leira, A., 2020. Combining work and family: Working mothers in Scandinavia and the European Community. In </w:t>
      </w:r>
      <w:r w:rsidRPr="00A9139A">
        <w:rPr>
          <w:rFonts w:ascii="Arial" w:eastAsia="Times New Roman" w:hAnsi="Arial" w:cs="Arial"/>
          <w:i/>
          <w:iCs/>
          <w:color w:val="000000"/>
          <w:lang w:eastAsia="en-GB"/>
        </w:rPr>
        <w:t>Economic restructuring and social exclusion</w:t>
      </w:r>
      <w:r w:rsidRPr="00A9139A">
        <w:rPr>
          <w:rFonts w:ascii="Arial" w:eastAsia="Times New Roman" w:hAnsi="Arial" w:cs="Arial"/>
          <w:color w:val="000000"/>
          <w:lang w:eastAsia="en-GB"/>
        </w:rPr>
        <w:t> (pp. 86-107). Routledge.</w:t>
      </w:r>
    </w:p>
    <w:p w14:paraId="4C8FA7B2" w14:textId="62674EB5"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Mathew, L.A., 2019. Right to sexual autonomy of children—implications of the UNCRC upon the Indian law on the age of consent. </w:t>
      </w:r>
      <w:r w:rsidRPr="00A9139A">
        <w:rPr>
          <w:rFonts w:ascii="Arial" w:eastAsia="Times New Roman" w:hAnsi="Arial" w:cs="Arial"/>
          <w:i/>
          <w:iCs/>
          <w:color w:val="000000"/>
          <w:lang w:eastAsia="en-GB"/>
        </w:rPr>
        <w:t xml:space="preserve">International Journal for Crime, </w:t>
      </w:r>
      <w:r w:rsidRPr="00A9139A">
        <w:rPr>
          <w:rFonts w:ascii="Arial" w:eastAsia="Times New Roman" w:hAnsi="Arial" w:cs="Arial"/>
          <w:i/>
          <w:iCs/>
          <w:color w:val="000000"/>
          <w:lang w:eastAsia="en-GB"/>
        </w:rPr>
        <w:t>Justice,</w:t>
      </w:r>
      <w:r w:rsidRPr="00A9139A">
        <w:rPr>
          <w:rFonts w:ascii="Arial" w:eastAsia="Times New Roman" w:hAnsi="Arial" w:cs="Arial"/>
          <w:i/>
          <w:iCs/>
          <w:color w:val="000000"/>
          <w:lang w:eastAsia="en-GB"/>
        </w:rPr>
        <w:t xml:space="preserve"> and Social Democracy</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8</w:t>
      </w:r>
      <w:r w:rsidRPr="00A9139A">
        <w:rPr>
          <w:rFonts w:ascii="Arial" w:eastAsia="Times New Roman" w:hAnsi="Arial" w:cs="Arial"/>
          <w:color w:val="000000"/>
          <w:lang w:eastAsia="en-GB"/>
        </w:rPr>
        <w:t>(2), p.121.</w:t>
      </w:r>
    </w:p>
    <w:p w14:paraId="3E21474F"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May, M., 1973. Innocence and experience: the evolution of the concept of juvenile delinquency in the mid-nineteenth century. </w:t>
      </w:r>
      <w:r w:rsidRPr="00A9139A">
        <w:rPr>
          <w:rFonts w:ascii="Arial" w:eastAsia="Times New Roman" w:hAnsi="Arial" w:cs="Arial"/>
          <w:i/>
          <w:iCs/>
          <w:color w:val="000000"/>
          <w:lang w:eastAsia="en-GB"/>
        </w:rPr>
        <w:t>Victorian Studies</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17</w:t>
      </w:r>
      <w:r w:rsidRPr="00A9139A">
        <w:rPr>
          <w:rFonts w:ascii="Arial" w:eastAsia="Times New Roman" w:hAnsi="Arial" w:cs="Arial"/>
          <w:color w:val="000000"/>
          <w:lang w:eastAsia="en-GB"/>
        </w:rPr>
        <w:t>(1), pp.7-29.</w:t>
      </w:r>
    </w:p>
    <w:p w14:paraId="1DB96DE7"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Pitkänen, J., Remes, H., Moustgaard, H. and Martikainen, P., 2021. Parental socioeconomic resources and adverse childhood experiences as predictors of not in education, employment, or training: a Finnish register-based longitudinal study. </w:t>
      </w:r>
      <w:r w:rsidRPr="00A9139A">
        <w:rPr>
          <w:rFonts w:ascii="Arial" w:eastAsia="Times New Roman" w:hAnsi="Arial" w:cs="Arial"/>
          <w:i/>
          <w:iCs/>
          <w:color w:val="000000"/>
          <w:lang w:eastAsia="en-GB"/>
        </w:rPr>
        <w:t>Journal of youth studies</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24</w:t>
      </w:r>
      <w:r w:rsidRPr="00A9139A">
        <w:rPr>
          <w:rFonts w:ascii="Arial" w:eastAsia="Times New Roman" w:hAnsi="Arial" w:cs="Arial"/>
          <w:color w:val="000000"/>
          <w:lang w:eastAsia="en-GB"/>
        </w:rPr>
        <w:t>(1), pp.1-18.</w:t>
      </w:r>
    </w:p>
    <w:p w14:paraId="6DBA0657"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Requena, B.G., 2019. Puritan Experience in 17th Century New England: The Witch-hunt Episode through the Works of John Winthrop and Cotton Mather. </w:t>
      </w:r>
      <w:r w:rsidRPr="00A9139A">
        <w:rPr>
          <w:rFonts w:ascii="Arial" w:eastAsia="Times New Roman" w:hAnsi="Arial" w:cs="Arial"/>
          <w:i/>
          <w:iCs/>
          <w:color w:val="000000"/>
          <w:lang w:eastAsia="en-GB"/>
        </w:rPr>
        <w:t>JACLR: Journal of Artistic Creation and Literary Research</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7</w:t>
      </w:r>
      <w:r w:rsidRPr="00A9139A">
        <w:rPr>
          <w:rFonts w:ascii="Arial" w:eastAsia="Times New Roman" w:hAnsi="Arial" w:cs="Arial"/>
          <w:color w:val="000000"/>
          <w:lang w:eastAsia="en-GB"/>
        </w:rPr>
        <w:t>(1), pp.56-71.</w:t>
      </w:r>
    </w:p>
    <w:p w14:paraId="14922621" w14:textId="46945364"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Roche, J., 1991. The Children Act 1989: Once a parent always a </w:t>
      </w:r>
      <w:r w:rsidRPr="00A9139A">
        <w:rPr>
          <w:rFonts w:ascii="Arial" w:eastAsia="Times New Roman" w:hAnsi="Arial" w:cs="Arial"/>
          <w:color w:val="000000"/>
          <w:lang w:eastAsia="en-GB"/>
        </w:rPr>
        <w:t>parent.</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The Journal of Social Welfare &amp; Family Law</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13</w:t>
      </w:r>
      <w:r w:rsidRPr="00A9139A">
        <w:rPr>
          <w:rFonts w:ascii="Arial" w:eastAsia="Times New Roman" w:hAnsi="Arial" w:cs="Arial"/>
          <w:color w:val="000000"/>
          <w:lang w:eastAsia="en-GB"/>
        </w:rPr>
        <w:t>(5), pp.345-361.</w:t>
      </w:r>
    </w:p>
    <w:p w14:paraId="45CD7078"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Rousseau, J.J., 1999. </w:t>
      </w:r>
      <w:r w:rsidRPr="00A9139A">
        <w:rPr>
          <w:rFonts w:ascii="Arial" w:eastAsia="Times New Roman" w:hAnsi="Arial" w:cs="Arial"/>
          <w:i/>
          <w:iCs/>
          <w:color w:val="000000"/>
          <w:lang w:eastAsia="en-GB"/>
        </w:rPr>
        <w:t>Discourse on the Origin of Inequality</w:t>
      </w:r>
      <w:r w:rsidRPr="00A9139A">
        <w:rPr>
          <w:rFonts w:ascii="Arial" w:eastAsia="Times New Roman" w:hAnsi="Arial" w:cs="Arial"/>
          <w:color w:val="000000"/>
          <w:lang w:eastAsia="en-GB"/>
        </w:rPr>
        <w:t>. Oxford University Press, USA.</w:t>
      </w:r>
    </w:p>
    <w:p w14:paraId="75607313"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Smith, P.C., 2018. Advancing Universal Health Coverage.</w:t>
      </w:r>
    </w:p>
    <w:p w14:paraId="102B84AF"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The National Archives (2021) </w:t>
      </w:r>
      <w:r w:rsidRPr="00A9139A">
        <w:rPr>
          <w:rFonts w:ascii="Arial" w:eastAsia="Times New Roman" w:hAnsi="Arial" w:cs="Arial"/>
          <w:i/>
          <w:iCs/>
          <w:color w:val="000000"/>
          <w:lang w:eastAsia="en-GB"/>
        </w:rPr>
        <w:t>1833 Factory Act.</w:t>
      </w:r>
      <w:r w:rsidRPr="00A9139A">
        <w:rPr>
          <w:rFonts w:ascii="Arial" w:eastAsia="Times New Roman" w:hAnsi="Arial" w:cs="Arial"/>
          <w:color w:val="000000"/>
          <w:lang w:eastAsia="en-GB"/>
        </w:rPr>
        <w:t xml:space="preserve"> (Online) Available at: </w:t>
      </w:r>
      <w:hyperlink r:id="rId27" w:history="1">
        <w:r w:rsidRPr="00A9139A">
          <w:rPr>
            <w:rFonts w:ascii="Arial" w:eastAsia="Times New Roman" w:hAnsi="Arial" w:cs="Arial"/>
            <w:color w:val="000000"/>
            <w:u w:val="single"/>
            <w:lang w:eastAsia="en-GB"/>
          </w:rPr>
          <w:t>https://www.nationalarchives.gov.uk/education/resources/1833-factory-act/</w:t>
        </w:r>
      </w:hyperlink>
      <w:r w:rsidRPr="00A9139A">
        <w:rPr>
          <w:rFonts w:ascii="Arial" w:eastAsia="Times New Roman" w:hAnsi="Arial" w:cs="Arial"/>
          <w:color w:val="000000"/>
          <w:lang w:eastAsia="en-GB"/>
        </w:rPr>
        <w:t xml:space="preserve"> (Accessed: 27/03/2022).</w:t>
      </w:r>
    </w:p>
    <w:p w14:paraId="708DECE3"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 xml:space="preserve">UNICEF (2016) </w:t>
      </w:r>
      <w:r w:rsidRPr="00A9139A">
        <w:rPr>
          <w:rFonts w:ascii="Arial" w:eastAsia="Times New Roman" w:hAnsi="Arial" w:cs="Arial"/>
          <w:i/>
          <w:iCs/>
          <w:color w:val="000000"/>
          <w:lang w:eastAsia="en-GB"/>
        </w:rPr>
        <w:t>Meet the children whose first jobs will impact their lives forever.</w:t>
      </w:r>
      <w:r w:rsidRPr="00A9139A">
        <w:rPr>
          <w:rFonts w:ascii="Arial" w:eastAsia="Times New Roman" w:hAnsi="Arial" w:cs="Arial"/>
          <w:color w:val="000000"/>
          <w:lang w:eastAsia="en-GB"/>
        </w:rPr>
        <w:t xml:space="preserve"> (Online) Available at: </w:t>
      </w:r>
      <w:hyperlink r:id="rId28" w:history="1">
        <w:r w:rsidRPr="00A9139A">
          <w:rPr>
            <w:rFonts w:ascii="Arial" w:eastAsia="Times New Roman" w:hAnsi="Arial" w:cs="Arial"/>
            <w:color w:val="000000"/>
            <w:u w:val="single"/>
            <w:lang w:eastAsia="en-GB"/>
          </w:rPr>
          <w:t>https://www.unicef.org.au/blog/stories/august-2016/child-labour-stories</w:t>
        </w:r>
      </w:hyperlink>
      <w:r w:rsidRPr="00A9139A">
        <w:rPr>
          <w:rFonts w:ascii="Arial" w:eastAsia="Times New Roman" w:hAnsi="Arial" w:cs="Arial"/>
          <w:color w:val="000000"/>
          <w:lang w:eastAsia="en-GB"/>
        </w:rPr>
        <w:t xml:space="preserve"> (Accessed: 27/03/2022).</w:t>
      </w:r>
    </w:p>
    <w:p w14:paraId="0FC5ACF7"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Ward, G., 1935. The Education of Factory Child Workers, 1833-1850. </w:t>
      </w:r>
      <w:r w:rsidRPr="00A9139A">
        <w:rPr>
          <w:rFonts w:ascii="Arial" w:eastAsia="Times New Roman" w:hAnsi="Arial" w:cs="Arial"/>
          <w:i/>
          <w:iCs/>
          <w:color w:val="000000"/>
          <w:lang w:eastAsia="en-GB"/>
        </w:rPr>
        <w:t>Economic History</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3</w:t>
      </w:r>
      <w:r w:rsidRPr="00A9139A">
        <w:rPr>
          <w:rFonts w:ascii="Arial" w:eastAsia="Times New Roman" w:hAnsi="Arial" w:cs="Arial"/>
          <w:color w:val="000000"/>
          <w:lang w:eastAsia="en-GB"/>
        </w:rPr>
        <w:t>(10), pp.110-124.</w:t>
      </w:r>
    </w:p>
    <w:p w14:paraId="2D8933CF"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Waters, T.E., Yang, R., Finet, C., Verhees, M.W. and Bosmans, G., 2022. An empirical test of prototype and revisionist models of attachment stability and change from middle childhood to adolescence: A 6</w:t>
      </w:r>
      <w:r w:rsidRPr="00A9139A">
        <w:rPr>
          <w:rFonts w:ascii="Cambria Math" w:eastAsia="Times New Roman" w:hAnsi="Cambria Math" w:cs="Times New Roman"/>
          <w:color w:val="000000"/>
          <w:lang w:eastAsia="en-GB"/>
        </w:rPr>
        <w:t>‐</w:t>
      </w:r>
      <w:r w:rsidRPr="00A9139A">
        <w:rPr>
          <w:rFonts w:ascii="Arial" w:eastAsia="Times New Roman" w:hAnsi="Arial" w:cs="Arial"/>
          <w:color w:val="000000"/>
          <w:lang w:eastAsia="en-GB"/>
        </w:rPr>
        <w:t>year longitudinal study. </w:t>
      </w:r>
      <w:r w:rsidRPr="00A9139A">
        <w:rPr>
          <w:rFonts w:ascii="Arial" w:eastAsia="Times New Roman" w:hAnsi="Arial" w:cs="Arial"/>
          <w:i/>
          <w:iCs/>
          <w:color w:val="000000"/>
          <w:lang w:eastAsia="en-GB"/>
        </w:rPr>
        <w:t>Child development</w:t>
      </w:r>
      <w:r w:rsidRPr="00A9139A">
        <w:rPr>
          <w:rFonts w:ascii="Arial" w:eastAsia="Times New Roman" w:hAnsi="Arial" w:cs="Arial"/>
          <w:color w:val="000000"/>
          <w:lang w:eastAsia="en-GB"/>
        </w:rPr>
        <w:t>, </w:t>
      </w:r>
      <w:r w:rsidRPr="00A9139A">
        <w:rPr>
          <w:rFonts w:ascii="Arial" w:eastAsia="Times New Roman" w:hAnsi="Arial" w:cs="Arial"/>
          <w:i/>
          <w:iCs/>
          <w:color w:val="000000"/>
          <w:lang w:eastAsia="en-GB"/>
        </w:rPr>
        <w:t>93</w:t>
      </w:r>
      <w:r w:rsidRPr="00A9139A">
        <w:rPr>
          <w:rFonts w:ascii="Arial" w:eastAsia="Times New Roman" w:hAnsi="Arial" w:cs="Arial"/>
          <w:color w:val="000000"/>
          <w:lang w:eastAsia="en-GB"/>
        </w:rPr>
        <w:t>(1), pp.225-236.</w:t>
      </w:r>
    </w:p>
    <w:p w14:paraId="039548E5" w14:textId="77777777" w:rsidR="00A9139A" w:rsidRPr="00A9139A" w:rsidRDefault="00A9139A" w:rsidP="00A9139A">
      <w:pPr>
        <w:spacing w:after="0" w:line="240" w:lineRule="auto"/>
        <w:ind w:hanging="720"/>
        <w:rPr>
          <w:rFonts w:ascii="Times New Roman" w:eastAsia="Times New Roman" w:hAnsi="Times New Roman" w:cs="Times New Roman"/>
          <w:sz w:val="24"/>
          <w:szCs w:val="24"/>
          <w:lang w:eastAsia="en-GB"/>
        </w:rPr>
      </w:pPr>
      <w:r w:rsidRPr="00A9139A">
        <w:rPr>
          <w:rFonts w:ascii="Arial" w:eastAsia="Times New Roman" w:hAnsi="Arial" w:cs="Arial"/>
          <w:color w:val="000000"/>
          <w:lang w:eastAsia="en-GB"/>
        </w:rPr>
        <w:t>Zimring, F.E., 2013. </w:t>
      </w:r>
      <w:r w:rsidRPr="00A9139A">
        <w:rPr>
          <w:rFonts w:ascii="Arial" w:eastAsia="Times New Roman" w:hAnsi="Arial" w:cs="Arial"/>
          <w:i/>
          <w:iCs/>
          <w:color w:val="000000"/>
          <w:lang w:eastAsia="en-GB"/>
        </w:rPr>
        <w:t>The changing legal world of adolescence</w:t>
      </w:r>
      <w:r w:rsidRPr="00A9139A">
        <w:rPr>
          <w:rFonts w:ascii="Arial" w:eastAsia="Times New Roman" w:hAnsi="Arial" w:cs="Arial"/>
          <w:color w:val="000000"/>
          <w:lang w:eastAsia="en-GB"/>
        </w:rPr>
        <w:t> (Vol. 19). Quid Pro Books.</w:t>
      </w:r>
    </w:p>
    <w:p w14:paraId="1BFDAF1B" w14:textId="77777777" w:rsidR="00A9139A" w:rsidRDefault="00A9139A"/>
    <w:sectPr w:rsidR="00A9139A" w:rsidSect="00A9139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NrM0NzA2tzQyNDJQ0lEKTi0uzszPAykwrAUABOPLniwAAAA="/>
  </w:docVars>
  <w:rsids>
    <w:rsidRoot w:val="00A9139A"/>
    <w:rsid w:val="006164C1"/>
    <w:rsid w:val="00A913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4BED2"/>
  <w15:chartTrackingRefBased/>
  <w15:docId w15:val="{5969D44A-6692-463A-A1AA-9B36212BC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139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9139A"/>
    <w:rPr>
      <w:color w:val="0000FF"/>
      <w:u w:val="single"/>
    </w:rPr>
  </w:style>
  <w:style w:type="character" w:customStyle="1" w:styleId="apple-tab-span">
    <w:name w:val="apple-tab-span"/>
    <w:basedOn w:val="DefaultParagraphFont"/>
    <w:rsid w:val="00A9139A"/>
  </w:style>
  <w:style w:type="paragraph" w:styleId="NoSpacing">
    <w:name w:val="No Spacing"/>
    <w:link w:val="NoSpacingChar"/>
    <w:uiPriority w:val="1"/>
    <w:qFormat/>
    <w:rsid w:val="00A9139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139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059563">
      <w:bodyDiv w:val="1"/>
      <w:marLeft w:val="0"/>
      <w:marRight w:val="0"/>
      <w:marTop w:val="0"/>
      <w:marBottom w:val="0"/>
      <w:divBdr>
        <w:top w:val="none" w:sz="0" w:space="0" w:color="auto"/>
        <w:left w:val="none" w:sz="0" w:space="0" w:color="auto"/>
        <w:bottom w:val="none" w:sz="0" w:space="0" w:color="auto"/>
        <w:right w:val="none" w:sz="0" w:space="0" w:color="auto"/>
      </w:divBdr>
    </w:div>
    <w:div w:id="536622794">
      <w:bodyDiv w:val="1"/>
      <w:marLeft w:val="0"/>
      <w:marRight w:val="0"/>
      <w:marTop w:val="0"/>
      <w:marBottom w:val="0"/>
      <w:divBdr>
        <w:top w:val="none" w:sz="0" w:space="0" w:color="auto"/>
        <w:left w:val="none" w:sz="0" w:space="0" w:color="auto"/>
        <w:bottom w:val="none" w:sz="0" w:space="0" w:color="auto"/>
        <w:right w:val="none" w:sz="0" w:space="0" w:color="auto"/>
      </w:divBdr>
    </w:div>
    <w:div w:id="960458364">
      <w:bodyDiv w:val="1"/>
      <w:marLeft w:val="0"/>
      <w:marRight w:val="0"/>
      <w:marTop w:val="0"/>
      <w:marBottom w:val="0"/>
      <w:divBdr>
        <w:top w:val="none" w:sz="0" w:space="0" w:color="auto"/>
        <w:left w:val="none" w:sz="0" w:space="0" w:color="auto"/>
        <w:bottom w:val="none" w:sz="0" w:space="0" w:color="auto"/>
        <w:right w:val="none" w:sz="0" w:space="0" w:color="auto"/>
      </w:divBdr>
    </w:div>
    <w:div w:id="977954881">
      <w:bodyDiv w:val="1"/>
      <w:marLeft w:val="0"/>
      <w:marRight w:val="0"/>
      <w:marTop w:val="0"/>
      <w:marBottom w:val="0"/>
      <w:divBdr>
        <w:top w:val="none" w:sz="0" w:space="0" w:color="auto"/>
        <w:left w:val="none" w:sz="0" w:space="0" w:color="auto"/>
        <w:bottom w:val="none" w:sz="0" w:space="0" w:color="auto"/>
        <w:right w:val="none" w:sz="0" w:space="0" w:color="auto"/>
      </w:divBdr>
    </w:div>
    <w:div w:id="1762676882">
      <w:bodyDiv w:val="1"/>
      <w:marLeft w:val="0"/>
      <w:marRight w:val="0"/>
      <w:marTop w:val="0"/>
      <w:marBottom w:val="0"/>
      <w:divBdr>
        <w:top w:val="none" w:sz="0" w:space="0" w:color="auto"/>
        <w:left w:val="none" w:sz="0" w:space="0" w:color="auto"/>
        <w:bottom w:val="none" w:sz="0" w:space="0" w:color="auto"/>
        <w:right w:val="none" w:sz="0" w:space="0" w:color="auto"/>
      </w:divBdr>
    </w:div>
    <w:div w:id="1828129308">
      <w:bodyDiv w:val="1"/>
      <w:marLeft w:val="0"/>
      <w:marRight w:val="0"/>
      <w:marTop w:val="0"/>
      <w:marBottom w:val="0"/>
      <w:divBdr>
        <w:top w:val="none" w:sz="0" w:space="0" w:color="auto"/>
        <w:left w:val="none" w:sz="0" w:space="0" w:color="auto"/>
        <w:bottom w:val="none" w:sz="0" w:space="0" w:color="auto"/>
        <w:right w:val="none" w:sz="0" w:space="0" w:color="auto"/>
      </w:divBdr>
    </w:div>
    <w:div w:id="18285507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cs.google.com/document/d/1Jls50_p3e2pNzV0oqMZTpK7i8qaSJD1p/edit" TargetMode="External"/><Relationship Id="rId18" Type="http://schemas.openxmlformats.org/officeDocument/2006/relationships/hyperlink" Target="https://docs.google.com/document/d/1Jls50_p3e2pNzV0oqMZTpK7i8qaSJD1p/edit" TargetMode="External"/><Relationship Id="rId26" Type="http://schemas.openxmlformats.org/officeDocument/2006/relationships/hyperlink" Target="https://www.gov.uk/know-when-you-can-leave-school" TargetMode="External"/><Relationship Id="rId3" Type="http://schemas.openxmlformats.org/officeDocument/2006/relationships/customXml" Target="../customXml/item3.xml"/><Relationship Id="rId21" Type="http://schemas.openxmlformats.org/officeDocument/2006/relationships/hyperlink" Target="https://docs.google.com/document/d/1Jls50_p3e2pNzV0oqMZTpK7i8qaSJD1p/edit" TargetMode="External"/><Relationship Id="rId7" Type="http://schemas.openxmlformats.org/officeDocument/2006/relationships/webSettings" Target="webSettings.xml"/><Relationship Id="rId12" Type="http://schemas.openxmlformats.org/officeDocument/2006/relationships/hyperlink" Target="https://docs.google.com/document/d/1Jls50_p3e2pNzV0oqMZTpK7i8qaSJD1p/edit" TargetMode="External"/><Relationship Id="rId17" Type="http://schemas.openxmlformats.org/officeDocument/2006/relationships/hyperlink" Target="https://docs.google.com/document/d/1Jls50_p3e2pNzV0oqMZTpK7i8qaSJD1p/edit" TargetMode="External"/><Relationship Id="rId25" Type="http://schemas.openxmlformats.org/officeDocument/2006/relationships/hyperlink" Target="https://www.gov.uk/child-employment" TargetMode="External"/><Relationship Id="rId2" Type="http://schemas.openxmlformats.org/officeDocument/2006/relationships/customXml" Target="../customXml/item2.xml"/><Relationship Id="rId16" Type="http://schemas.openxmlformats.org/officeDocument/2006/relationships/hyperlink" Target="https://docs.google.com/document/d/1Jls50_p3e2pNzV0oqMZTpK7i8qaSJD1p/edit" TargetMode="External"/><Relationship Id="rId20" Type="http://schemas.openxmlformats.org/officeDocument/2006/relationships/hyperlink" Target="https://docs.google.com/document/d/1Jls50_p3e2pNzV0oqMZTpK7i8qaSJD1p/edit"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cs.google.com/document/d/1Jls50_p3e2pNzV0oqMZTpK7i8qaSJD1p/edit" TargetMode="External"/><Relationship Id="rId24" Type="http://schemas.openxmlformats.org/officeDocument/2006/relationships/hyperlink" Target="https://www.cps.gov.uk/legal-guidance/prostitution-and-exploitation-prostitution" TargetMode="External"/><Relationship Id="rId5" Type="http://schemas.openxmlformats.org/officeDocument/2006/relationships/styles" Target="styles.xml"/><Relationship Id="rId15" Type="http://schemas.openxmlformats.org/officeDocument/2006/relationships/hyperlink" Target="https://docs.google.com/document/d/1Jls50_p3e2pNzV0oqMZTpK7i8qaSJD1p/edit" TargetMode="External"/><Relationship Id="rId23" Type="http://schemas.openxmlformats.org/officeDocument/2006/relationships/hyperlink" Target="https://www.cps.gov.uk/legal-guidance/prostitution-and-exploitation-prostitution" TargetMode="External"/><Relationship Id="rId28" Type="http://schemas.openxmlformats.org/officeDocument/2006/relationships/hyperlink" Target="https://www.unicef.org.au/blog/stories/august-2016/child-labour-stories" TargetMode="External"/><Relationship Id="rId10" Type="http://schemas.openxmlformats.org/officeDocument/2006/relationships/image" Target="media/image3.jpg"/><Relationship Id="rId19" Type="http://schemas.openxmlformats.org/officeDocument/2006/relationships/hyperlink" Target="https://docs.google.com/document/d/1Jls50_p3e2pNzV0oqMZTpK7i8qaSJD1p/edit"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docs.google.com/document/d/1Jls50_p3e2pNzV0oqMZTpK7i8qaSJD1p/edit" TargetMode="External"/><Relationship Id="rId22" Type="http://schemas.openxmlformats.org/officeDocument/2006/relationships/hyperlink" Target="https://docs.google.com/document/d/1Jls50_p3e2pNzV0oqMZTpK7i8qaSJD1p/edit" TargetMode="External"/><Relationship Id="rId27" Type="http://schemas.openxmlformats.org/officeDocument/2006/relationships/hyperlink" Target="https://www.nationalarchives.gov.uk/education/resources/1833-factory-act/"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A2BAB7FE3554F6B92F5A74861BA1C2B"/>
        <w:category>
          <w:name w:val="General"/>
          <w:gallery w:val="placeholder"/>
        </w:category>
        <w:types>
          <w:type w:val="bbPlcHdr"/>
        </w:types>
        <w:behaviors>
          <w:behavior w:val="content"/>
        </w:behaviors>
        <w:guid w:val="{A2ECAECF-5EAA-466C-A68A-A8E30604AA22}"/>
      </w:docPartPr>
      <w:docPartBody>
        <w:p w:rsidR="00000000" w:rsidRDefault="00ED20B0" w:rsidP="00ED20B0">
          <w:pPr>
            <w:pStyle w:val="EA2BAB7FE3554F6B92F5A74861BA1C2B"/>
          </w:pPr>
          <w:r>
            <w:rPr>
              <w:rFonts w:asciiTheme="majorHAnsi" w:eastAsiaTheme="majorEastAsia" w:hAnsiTheme="majorHAnsi" w:cstheme="majorBidi"/>
              <w:caps/>
              <w:color w:val="4472C4" w:themeColor="accent1"/>
              <w:sz w:val="80"/>
              <w:szCs w:val="80"/>
            </w:rPr>
            <w:t>[Document title]</w:t>
          </w:r>
        </w:p>
      </w:docPartBody>
    </w:docPart>
    <w:docPart>
      <w:docPartPr>
        <w:name w:val="6F23FCFB0FBD4C06898DD5BB496CE3BE"/>
        <w:category>
          <w:name w:val="General"/>
          <w:gallery w:val="placeholder"/>
        </w:category>
        <w:types>
          <w:type w:val="bbPlcHdr"/>
        </w:types>
        <w:behaviors>
          <w:behavior w:val="content"/>
        </w:behaviors>
        <w:guid w:val="{E697BCCA-7F78-404C-9598-9282DFBEB33B}"/>
      </w:docPartPr>
      <w:docPartBody>
        <w:p w:rsidR="00000000" w:rsidRDefault="00ED20B0" w:rsidP="00ED20B0">
          <w:pPr>
            <w:pStyle w:val="6F23FCFB0FBD4C06898DD5BB496CE3B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0B0"/>
    <w:rsid w:val="00ED2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A2BAB7FE3554F6B92F5A74861BA1C2B">
    <w:name w:val="EA2BAB7FE3554F6B92F5A74861BA1C2B"/>
    <w:rsid w:val="00ED20B0"/>
  </w:style>
  <w:style w:type="paragraph" w:customStyle="1" w:styleId="6F23FCFB0FBD4C06898DD5BB496CE3BE">
    <w:name w:val="6F23FCFB0FBD4C06898DD5BB496CE3BE"/>
    <w:rsid w:val="00ED20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student NAME: TEODORA Nikolova</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020f20b92a3665f156ed80530e3c64e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0660ddfb70755a906355a8c8507c83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3D731B-4E07-4C2A-BB95-685E6C6266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DEA50F0-DF83-4582-A3FD-16D97CA05F51}">
  <ds:schemaRefs>
    <ds:schemaRef ds:uri="http://schemas.microsoft.com/sharepoint/v3/contenttype/forms"/>
  </ds:schemaRefs>
</ds:datastoreItem>
</file>

<file path=customXml/itemProps4.xml><?xml version="1.0" encoding="utf-8"?>
<ds:datastoreItem xmlns:ds="http://schemas.openxmlformats.org/officeDocument/2006/customXml" ds:itemID="{A7EFB819-6C40-4109-9BC5-5A038586BC19}">
  <ds:schemaRefs>
    <ds:schemaRef ds:uri="http://purl.org/dc/elements/1.1/"/>
    <ds:schemaRef ds:uri="http://schemas.microsoft.com/office/2006/metadata/properties"/>
    <ds:schemaRef ds:uri="7b23fa32-4003-4364-bee1-595462966394"/>
    <ds:schemaRef ds:uri="http://purl.org/dc/terms/"/>
    <ds:schemaRef ds:uri="http://schemas.microsoft.com/office/2006/documentManagement/types"/>
    <ds:schemaRef ds:uri="f54e4810-f1f5-4bce-aa8e-e4722dc561be"/>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2940</Words>
  <Characters>16758</Characters>
  <Application>Microsoft Office Word</Application>
  <DocSecurity>0</DocSecurity>
  <Lines>139</Lines>
  <Paragraphs>39</Paragraphs>
  <ScaleCrop>false</ScaleCrop>
  <Company>Student ID:2009133</Company>
  <LinksUpToDate>false</LinksUpToDate>
  <CharactersWithSpaces>19659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Children, Young People and Families</dc:title>
  <dc:subject>BMHP:(5004_LON)</dc:subject>
  <dc:creator>Teodora Nikolova (2009133)</dc:creator>
  <cp:keywords/>
  <dc:description/>
  <cp:lastModifiedBy>Teodora Nikolova (2009133)</cp:lastModifiedBy>
  <cp:revision>1</cp:revision>
  <dcterms:created xsi:type="dcterms:W3CDTF">2022-04-19T10:16:00Z</dcterms:created>
  <dcterms:modified xsi:type="dcterms:W3CDTF">2022-04-19T10:54:00Z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