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996A88" w14:textId="77777777" w:rsidR="001D32A3" w:rsidRDefault="001D32A3" w:rsidP="00DF3E29">
      <w:pPr>
        <w:spacing w:line="480" w:lineRule="auto"/>
        <w:rPr>
          <w:rFonts w:ascii="Times New Roman" w:hAnsi="Times New Roman" w:cs="Times New Roman"/>
          <w:b/>
          <w:bCs/>
          <w:sz w:val="24"/>
          <w:szCs w:val="24"/>
        </w:rPr>
      </w:pPr>
    </w:p>
    <w:p w14:paraId="400E7DAA" w14:textId="77777777" w:rsidR="001D32A3" w:rsidRDefault="001D32A3" w:rsidP="00DF3E29">
      <w:pPr>
        <w:spacing w:line="480" w:lineRule="auto"/>
        <w:rPr>
          <w:rFonts w:ascii="Times New Roman" w:hAnsi="Times New Roman" w:cs="Times New Roman"/>
          <w:b/>
          <w:bCs/>
          <w:sz w:val="24"/>
          <w:szCs w:val="24"/>
        </w:rPr>
      </w:pPr>
    </w:p>
    <w:p w14:paraId="69334971" w14:textId="77777777" w:rsidR="001D32A3" w:rsidRDefault="001D32A3" w:rsidP="00DF3E29">
      <w:pPr>
        <w:spacing w:line="480" w:lineRule="auto"/>
        <w:rPr>
          <w:rFonts w:ascii="Times New Roman" w:hAnsi="Times New Roman" w:cs="Times New Roman"/>
          <w:b/>
          <w:bCs/>
          <w:sz w:val="24"/>
          <w:szCs w:val="24"/>
        </w:rPr>
      </w:pPr>
    </w:p>
    <w:p w14:paraId="50A2D56D" w14:textId="77777777" w:rsidR="001D32A3" w:rsidRDefault="001D32A3" w:rsidP="00DF3E29">
      <w:pPr>
        <w:spacing w:line="480" w:lineRule="auto"/>
        <w:rPr>
          <w:rFonts w:ascii="Times New Roman" w:hAnsi="Times New Roman" w:cs="Times New Roman"/>
          <w:b/>
          <w:bCs/>
          <w:sz w:val="24"/>
          <w:szCs w:val="24"/>
        </w:rPr>
      </w:pPr>
    </w:p>
    <w:p w14:paraId="3DD15315" w14:textId="32FFA152" w:rsidR="001D32A3" w:rsidRDefault="001D32A3" w:rsidP="001D32A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The Crown Prosecutor</w:t>
      </w:r>
    </w:p>
    <w:p w14:paraId="13DCA474" w14:textId="129DAB91" w:rsidR="001D32A3" w:rsidRDefault="001D32A3" w:rsidP="001D32A3">
      <w:pPr>
        <w:spacing w:line="480" w:lineRule="auto"/>
        <w:jc w:val="center"/>
        <w:rPr>
          <w:rFonts w:ascii="Times New Roman" w:hAnsi="Times New Roman" w:cs="Times New Roman"/>
          <w:b/>
          <w:bCs/>
          <w:sz w:val="24"/>
          <w:szCs w:val="24"/>
        </w:rPr>
      </w:pPr>
    </w:p>
    <w:p w14:paraId="2CAE5D91" w14:textId="38485BB8" w:rsidR="00435DE3" w:rsidRDefault="00435DE3" w:rsidP="00435DE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name:Eugen Florea</w:t>
      </w:r>
    </w:p>
    <w:p w14:paraId="44CE695E" w14:textId="12DC65A6" w:rsidR="001D32A3" w:rsidRDefault="00435DE3" w:rsidP="001D32A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number:2225235</w:t>
      </w:r>
    </w:p>
    <w:p w14:paraId="308D120C" w14:textId="252A36C6" w:rsidR="001D32A3" w:rsidRDefault="00435DE3" w:rsidP="001D32A3">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Module name:Criminal Litigation(BMLW4000)</w:t>
      </w:r>
    </w:p>
    <w:p w14:paraId="4E69F249" w14:textId="5FEF9A77" w:rsidR="001D32A3" w:rsidRDefault="001D32A3" w:rsidP="001D32A3">
      <w:pPr>
        <w:spacing w:line="480" w:lineRule="auto"/>
        <w:jc w:val="center"/>
        <w:rPr>
          <w:rFonts w:ascii="Times New Roman" w:hAnsi="Times New Roman" w:cs="Times New Roman"/>
          <w:b/>
          <w:bCs/>
          <w:sz w:val="24"/>
          <w:szCs w:val="24"/>
        </w:rPr>
      </w:pPr>
    </w:p>
    <w:p w14:paraId="71616844" w14:textId="0E66F8D6" w:rsidR="001D32A3" w:rsidRDefault="001D32A3" w:rsidP="001D32A3">
      <w:pPr>
        <w:rPr>
          <w:rFonts w:ascii="Times New Roman" w:hAnsi="Times New Roman" w:cs="Times New Roman"/>
          <w:b/>
          <w:bCs/>
          <w:sz w:val="24"/>
          <w:szCs w:val="24"/>
        </w:rPr>
      </w:pPr>
      <w:r>
        <w:rPr>
          <w:rFonts w:ascii="Times New Roman" w:hAnsi="Times New Roman" w:cs="Times New Roman"/>
          <w:b/>
          <w:bCs/>
          <w:sz w:val="24"/>
          <w:szCs w:val="24"/>
        </w:rPr>
        <w:br w:type="page"/>
      </w:r>
    </w:p>
    <w:p w14:paraId="57A71E5F" w14:textId="226D1922"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lastRenderedPageBreak/>
        <w:t>Introduction</w:t>
      </w:r>
    </w:p>
    <w:p w14:paraId="1301DBC0" w14:textId="77777777"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Crown Prosecutors hold a pivotal position in the criminal justice system, ensuring that the rule of law is upheld and justice is pursued. Their responsibilities span from meticulous case preparation and providing legal advice to making charging decisions based on the public interest. They are the face of the prosecution during trials, advocating for justice while adhering to strict ethical obligations. Plea bargaining and victim support are among the varied roles they undertake in their pursuit of justice. The effective functioning of Crown Prosecutors is essential to ensure that only strong cases go to trial, resources are used efficiently, and the public's trust in the justice system is maintained. By understanding the significance of their role and adhering to ethical principles, Crown Prosecutors contribute significantly to the fair and equitable administration of justice in society.</w:t>
      </w:r>
    </w:p>
    <w:p w14:paraId="03E1DAF8" w14:textId="2C2180C9"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b/>
          <w:bCs/>
          <w:sz w:val="24"/>
          <w:szCs w:val="24"/>
        </w:rPr>
        <w:t>The Role of A Crown Prosecutor</w:t>
      </w:r>
    </w:p>
    <w:p w14:paraId="0E2B63E3" w14:textId="77777777"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In the criminal justice system of many countries, Crown Prosecutors play a vital role in upholding the rule of law and seeking justice for society. Acting on behalf of the state, they represent the interests of the Crown and strive to hold individuals accountable for alleged criminal offenses. This discussion delves into the multifaceted responsibilities of Crown Prosecutors and the impact they have on the justice system.</w:t>
      </w:r>
    </w:p>
    <w:p w14:paraId="7543FD64" w14:textId="7F0208A0"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Case Preparation and Legal Advice</w:t>
      </w:r>
    </w:p>
    <w:p w14:paraId="48DBCC53" w14:textId="2CDB2E87"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One of the primary duties of Crown Prosecutors is meticulous case preparation. As legal representatives of the state, they shoulder the responsibility of thoroughly reviewing evidence, witness statements, and expert reports</w:t>
      </w:r>
      <w:r w:rsidR="00203E27" w:rsidRPr="00DF3E29">
        <w:rPr>
          <w:rFonts w:ascii="Times New Roman" w:hAnsi="Times New Roman" w:cs="Times New Roman"/>
          <w:sz w:val="24"/>
          <w:szCs w:val="24"/>
        </w:rPr>
        <w:t xml:space="preserve"> (Karlsen et al., 2023)</w:t>
      </w:r>
      <w:r w:rsidRPr="00DF3E29">
        <w:rPr>
          <w:rFonts w:ascii="Times New Roman" w:hAnsi="Times New Roman" w:cs="Times New Roman"/>
          <w:sz w:val="24"/>
          <w:szCs w:val="24"/>
        </w:rPr>
        <w:t xml:space="preserve">. The strength of a prosecution case heavily relies on this phase, as prosecutors must assess the available evidence to determine </w:t>
      </w:r>
      <w:r w:rsidRPr="00DF3E29">
        <w:rPr>
          <w:rFonts w:ascii="Times New Roman" w:hAnsi="Times New Roman" w:cs="Times New Roman"/>
          <w:sz w:val="24"/>
          <w:szCs w:val="24"/>
        </w:rPr>
        <w:lastRenderedPageBreak/>
        <w:t>whether there is a reasonable likelihood of conviction. Their decisions significantly influence the direction of the case, ensuring that only cases with a reasonable chance of success go to trial. Moreover, Crown Prosecutors provide crucial legal advice to law enforcement agencies during the investigative process</w:t>
      </w:r>
      <w:r w:rsidR="00881F7C" w:rsidRPr="00DF3E29">
        <w:rPr>
          <w:rFonts w:ascii="Times New Roman" w:hAnsi="Times New Roman" w:cs="Times New Roman"/>
          <w:sz w:val="24"/>
          <w:szCs w:val="24"/>
        </w:rPr>
        <w:t xml:space="preserve"> (Soubise, 2023)</w:t>
      </w:r>
      <w:r w:rsidRPr="00DF3E29">
        <w:rPr>
          <w:rFonts w:ascii="Times New Roman" w:hAnsi="Times New Roman" w:cs="Times New Roman"/>
          <w:sz w:val="24"/>
          <w:szCs w:val="24"/>
        </w:rPr>
        <w:t>. This advisory role is vital in guiding the police on legal aspects, gathering evidence effectively, and adhering to procedures to ensure the integrity of the case. By providing well-informed counsel, Crown Prosecutors contribute to the quality and reliability of the evidence presented in court.</w:t>
      </w:r>
    </w:p>
    <w:p w14:paraId="6458DC92" w14:textId="77777777"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Charging Decisions and the Public Interest</w:t>
      </w:r>
    </w:p>
    <w:p w14:paraId="6B121FF7" w14:textId="055467BF"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authority to make charging decisions rests with Crown Prosecutors, reflecting the gravity of their role. They must carefully assess the available evidence, legal principles, and the public interest before deciding to bring charges against an individual</w:t>
      </w:r>
      <w:r w:rsidR="00D54D54" w:rsidRPr="00DF3E29">
        <w:rPr>
          <w:rFonts w:ascii="Times New Roman" w:hAnsi="Times New Roman" w:cs="Times New Roman"/>
          <w:sz w:val="24"/>
          <w:szCs w:val="24"/>
        </w:rPr>
        <w:t xml:space="preserve"> (Soubise, 2023)</w:t>
      </w:r>
      <w:r w:rsidRPr="00DF3E29">
        <w:rPr>
          <w:rFonts w:ascii="Times New Roman" w:hAnsi="Times New Roman" w:cs="Times New Roman"/>
          <w:sz w:val="24"/>
          <w:szCs w:val="24"/>
        </w:rPr>
        <w:t>. This assessment ensures that the criminal justice system is not overwhelmed by frivolous cases and that valuable resources are channelled toward significant offenses. Considering the public interest is paramount for Crown Prosecutors. They must weigh the seriousness of the offense, the impact on victims and society, and the need to maintain public trust in the legal system. Striking the balance between accountability and rehabilitation ensures that the justice system functions equitably.</w:t>
      </w:r>
    </w:p>
    <w:p w14:paraId="79CEA8E2" w14:textId="77777777"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Court Representation and Ethical Obligations</w:t>
      </w:r>
    </w:p>
    <w:p w14:paraId="2208AD28" w14:textId="2D083098"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In the courtroom, Crown Prosecutors take centre stage as they represent the prosecution during criminal trials. Their role is multifaceted, encompassing the presentation of evidence, examination of witnesses, and addressing the court and the jury</w:t>
      </w:r>
      <w:r w:rsidR="00C025CC" w:rsidRPr="00DF3E29">
        <w:rPr>
          <w:rFonts w:ascii="Times New Roman" w:hAnsi="Times New Roman" w:cs="Times New Roman"/>
          <w:sz w:val="24"/>
          <w:szCs w:val="24"/>
        </w:rPr>
        <w:t xml:space="preserve"> (Galleguillos &amp; Figueroa, 2023)</w:t>
      </w:r>
      <w:r w:rsidRPr="00DF3E29">
        <w:rPr>
          <w:rFonts w:ascii="Times New Roman" w:hAnsi="Times New Roman" w:cs="Times New Roman"/>
          <w:sz w:val="24"/>
          <w:szCs w:val="24"/>
        </w:rPr>
        <w:t xml:space="preserve">. The effectiveness of their advocacy can sway the outcome of a case and determine whether justice is served. Adhering to strict ethical guidelines is a fundamental principle that guides </w:t>
      </w:r>
      <w:r w:rsidRPr="00DF3E29">
        <w:rPr>
          <w:rFonts w:ascii="Times New Roman" w:hAnsi="Times New Roman" w:cs="Times New Roman"/>
          <w:sz w:val="24"/>
          <w:szCs w:val="24"/>
        </w:rPr>
        <w:lastRenderedPageBreak/>
        <w:t>Crown Prosecutors throughout their work. They must act with utmost integrity, ensuring that all relevant evidence is disclosed to the defence, even if it weakens the prosecution's case. This duty of disclosure ensures a fair and transparent trial, upholding the principles of justice.</w:t>
      </w:r>
    </w:p>
    <w:p w14:paraId="6FB1E502" w14:textId="77777777"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Plea Bargaining and Victim Support</w:t>
      </w:r>
    </w:p>
    <w:p w14:paraId="24997AF5" w14:textId="35FC63FB" w:rsidR="004D1870"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In some jurisdictions, Crown Prosecutors engage in plea bargaining, offering the accused the opportunity to plead guilty to lesser charges or in exchange for a reduced sentence. This negotiation process saves time and resources, and can provide a sense of closure to victims. However, prosecutors must balance the pursuit of justice with the need to avoid undermining the seriousness of certain offenses through plea agreements</w:t>
      </w:r>
      <w:r w:rsidR="00D1160A" w:rsidRPr="00DF3E29">
        <w:rPr>
          <w:rFonts w:ascii="Times New Roman" w:hAnsi="Times New Roman" w:cs="Times New Roman"/>
          <w:sz w:val="24"/>
          <w:szCs w:val="24"/>
        </w:rPr>
        <w:t xml:space="preserve"> (Galleguillos &amp; Figueroa, 2023)</w:t>
      </w:r>
      <w:r w:rsidRPr="00DF3E29">
        <w:rPr>
          <w:rFonts w:ascii="Times New Roman" w:hAnsi="Times New Roman" w:cs="Times New Roman"/>
          <w:sz w:val="24"/>
          <w:szCs w:val="24"/>
        </w:rPr>
        <w:t>. Crow Prosecutors also play a crucial role in supporting victims and witnesses. By liaising with them and providing information about the legal process, court dates, and available support services, prosecutors ensure that victims are not left isolated in their pursuit of justice. Victim support is essential for building trust in the criminal justice system and encouraging cooperation with the prosecution.</w:t>
      </w:r>
    </w:p>
    <w:p w14:paraId="32251849" w14:textId="5B577414" w:rsidR="0054066E" w:rsidRPr="00DF3E29" w:rsidRDefault="004D1870"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Crown Prosecutors hold a pivotal position in the criminal justice system, ensuring that the rule of law is upheld and justice is pursued. Their responsibilities span from meticulous case preparation and providing legal advice to making charging decisions based on the public interest</w:t>
      </w:r>
      <w:r w:rsidR="00E0007D" w:rsidRPr="00DF3E29">
        <w:rPr>
          <w:rFonts w:ascii="Times New Roman" w:hAnsi="Times New Roman" w:cs="Times New Roman"/>
          <w:sz w:val="24"/>
          <w:szCs w:val="24"/>
        </w:rPr>
        <w:t xml:space="preserve"> (Porter, 2019)</w:t>
      </w:r>
      <w:r w:rsidRPr="00DF3E29">
        <w:rPr>
          <w:rFonts w:ascii="Times New Roman" w:hAnsi="Times New Roman" w:cs="Times New Roman"/>
          <w:sz w:val="24"/>
          <w:szCs w:val="24"/>
        </w:rPr>
        <w:t>. They are the face of the prosecution during trials, advocating for justice while adhering to strict ethical obligations. Plea bargaining and victim support are among the varied roles they undertake in their pursuit of justice. The effective functioning of Crown Prosecutors is essential to ensure that only strong cases go to trial, resources are used efficiently, and the public's trust in the justice system is maintained</w:t>
      </w:r>
      <w:r w:rsidR="001F4442" w:rsidRPr="00DF3E29">
        <w:rPr>
          <w:rFonts w:ascii="Times New Roman" w:hAnsi="Times New Roman" w:cs="Times New Roman"/>
          <w:sz w:val="24"/>
          <w:szCs w:val="24"/>
        </w:rPr>
        <w:t xml:space="preserve"> (Soubise, 2023)</w:t>
      </w:r>
      <w:r w:rsidRPr="00DF3E29">
        <w:rPr>
          <w:rFonts w:ascii="Times New Roman" w:hAnsi="Times New Roman" w:cs="Times New Roman"/>
          <w:sz w:val="24"/>
          <w:szCs w:val="24"/>
        </w:rPr>
        <w:t xml:space="preserve">. By understanding the significance of their role </w:t>
      </w:r>
      <w:r w:rsidRPr="00DF3E29">
        <w:rPr>
          <w:rFonts w:ascii="Times New Roman" w:hAnsi="Times New Roman" w:cs="Times New Roman"/>
          <w:sz w:val="24"/>
          <w:szCs w:val="24"/>
        </w:rPr>
        <w:lastRenderedPageBreak/>
        <w:t>and adhering to ethical principles, Crown Prosecutors contribute significantly to the fair and equitable administration of justice in society.</w:t>
      </w:r>
    </w:p>
    <w:p w14:paraId="33826AD5" w14:textId="3C80AFF9" w:rsidR="004D1870" w:rsidRPr="00DF3E29" w:rsidRDefault="004D1870"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Tests Used When Making Charging Decisions.</w:t>
      </w:r>
    </w:p>
    <w:p w14:paraId="5F04230A" w14:textId="32E3A646"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criminal justice system's charging judgments are crucial because they determine whether a suspect should be prosecuted for alleged criminal offences. In this process, the role of the prosecutor is crucial, and the prosecution's conclusions must be grounded in fairness, fact, and the public's interest</w:t>
      </w:r>
      <w:r w:rsidR="00E47449" w:rsidRPr="00DF3E29">
        <w:rPr>
          <w:rFonts w:ascii="Times New Roman" w:hAnsi="Times New Roman" w:cs="Times New Roman"/>
          <w:sz w:val="24"/>
          <w:szCs w:val="24"/>
        </w:rPr>
        <w:t xml:space="preserve"> (Porter, 2019)</w:t>
      </w:r>
      <w:r w:rsidRPr="00DF3E29">
        <w:rPr>
          <w:rFonts w:ascii="Times New Roman" w:hAnsi="Times New Roman" w:cs="Times New Roman"/>
          <w:sz w:val="24"/>
          <w:szCs w:val="24"/>
        </w:rPr>
        <w:t>. The Code for Crown Prosecutors in England and Wales outlines the standards for choosing whether to file charges. The Full Code Test and the Threshold Test are two crucial tests utilized in this process</w:t>
      </w:r>
      <w:r w:rsidR="00F2237B" w:rsidRPr="00DF3E29">
        <w:rPr>
          <w:rFonts w:ascii="Times New Roman" w:hAnsi="Times New Roman" w:cs="Times New Roman"/>
          <w:sz w:val="24"/>
          <w:szCs w:val="24"/>
        </w:rPr>
        <w:t xml:space="preserve">("Guidelines on the Role of Prosecutors," 1990) </w:t>
      </w:r>
      <w:r w:rsidRPr="00DF3E29">
        <w:rPr>
          <w:rFonts w:ascii="Times New Roman" w:hAnsi="Times New Roman" w:cs="Times New Roman"/>
          <w:sz w:val="24"/>
          <w:szCs w:val="24"/>
        </w:rPr>
        <w:t xml:space="preserve">. In-depth analysis of these tests, their use, and their importance in guaranteeing fair and just charging decisions are covered in </w:t>
      </w:r>
      <w:r w:rsidR="00835860" w:rsidRPr="00DF3E29">
        <w:rPr>
          <w:rFonts w:ascii="Times New Roman" w:hAnsi="Times New Roman" w:cs="Times New Roman"/>
          <w:sz w:val="24"/>
          <w:szCs w:val="24"/>
        </w:rPr>
        <w:t>this discussion. The possibility of incorrect convictions and unfair prosecutions is reduced by prosecutors' rigorous application of these principles, which guarantees that only cases with a reasonable likelihood of success are prosecuted. The criminal justice system stays accountable and efficient in its pursuit of justice by sustaining these high standards.</w:t>
      </w:r>
    </w:p>
    <w:p w14:paraId="5845453C" w14:textId="12FD168F"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The Full Code Test</w:t>
      </w:r>
    </w:p>
    <w:p w14:paraId="2199B59E"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Evidential Stage and the Public Interest Stage are the two phases of the Full Code Test. It establishes a high bar for filing charges in order to protect people from unjust or unfounded accusations.</w:t>
      </w:r>
    </w:p>
    <w:p w14:paraId="13F75AA6" w14:textId="7FA374C9"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 xml:space="preserve">1.Evidence Stage </w:t>
      </w:r>
    </w:p>
    <w:p w14:paraId="720BEB76" w14:textId="4CEA7795"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sz w:val="24"/>
          <w:szCs w:val="24"/>
        </w:rPr>
        <w:t>Prosecutors must decide during the evidential stage whether there is enough evidence to offer a realistic chance of conviction for each suspect on each charge</w:t>
      </w:r>
      <w:r w:rsidR="00ED5CAB" w:rsidRPr="00DF3E29">
        <w:rPr>
          <w:rFonts w:ascii="Times New Roman" w:hAnsi="Times New Roman" w:cs="Times New Roman"/>
          <w:sz w:val="24"/>
          <w:szCs w:val="24"/>
        </w:rPr>
        <w:t xml:space="preserve"> (Marstaller, 2016)</w:t>
      </w:r>
      <w:r w:rsidRPr="00DF3E29">
        <w:rPr>
          <w:rFonts w:ascii="Times New Roman" w:hAnsi="Times New Roman" w:cs="Times New Roman"/>
          <w:sz w:val="24"/>
          <w:szCs w:val="24"/>
        </w:rPr>
        <w:t xml:space="preserve">. The proof must </w:t>
      </w:r>
      <w:r w:rsidRPr="00DF3E29">
        <w:rPr>
          <w:rFonts w:ascii="Times New Roman" w:hAnsi="Times New Roman" w:cs="Times New Roman"/>
          <w:sz w:val="24"/>
          <w:szCs w:val="24"/>
        </w:rPr>
        <w:lastRenderedPageBreak/>
        <w:t>be believable, dependable, and admissible. The risk of injustices is decreased because only cases with solid chances of success move on to the next phase thanks to this objective appraisal.</w:t>
      </w:r>
    </w:p>
    <w:p w14:paraId="2E492E76"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Prosecutors take into account a number of variables at the Evidential Stage:</w:t>
      </w:r>
    </w:p>
    <w:p w14:paraId="2D701C36"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a) Admissibility of Evidence: Prosecutors determine whether the evidence can be utilized against the suspect and submitted in court.</w:t>
      </w:r>
    </w:p>
    <w:p w14:paraId="62FB45A2"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b) Reliability: The legitimacy of the evidence in court depends on how trustworthy it is. The accuracy and reliability of the evidence given are carefully examined by prosecutors.</w:t>
      </w:r>
    </w:p>
    <w:p w14:paraId="2EC94309"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c) Credibility: To guarantee that the evidence can withstand cross-examination and legal challenges, its credibility must be assessed.</w:t>
      </w:r>
    </w:p>
    <w:p w14:paraId="56B32F19"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d) Material Impact: All additional information, including unexamined material and reasonable avenues of inquiry, that may have an impact on whether the evidence is sufficient is taken into account.</w:t>
      </w:r>
    </w:p>
    <w:p w14:paraId="55A5BD56" w14:textId="3CC44253"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b/>
          <w:bCs/>
          <w:sz w:val="24"/>
          <w:szCs w:val="24"/>
        </w:rPr>
        <w:t>2. Public Interest Stage</w:t>
      </w:r>
    </w:p>
    <w:p w14:paraId="630851F9" w14:textId="5003DEB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Prosecutors move on to the Public Interest Stage if the Evidential Stage requirements are satisfied. Here, the emphasis changes to figuring out if a prosecution is necessary in the interest of the public</w:t>
      </w:r>
      <w:r w:rsidR="00ED5CAB" w:rsidRPr="00DF3E29">
        <w:rPr>
          <w:rFonts w:ascii="Times New Roman" w:hAnsi="Times New Roman" w:cs="Times New Roman"/>
          <w:sz w:val="24"/>
          <w:szCs w:val="24"/>
        </w:rPr>
        <w:t xml:space="preserve"> (Marstaller, 2016)</w:t>
      </w:r>
      <w:r w:rsidRPr="00DF3E29">
        <w:rPr>
          <w:rFonts w:ascii="Times New Roman" w:hAnsi="Times New Roman" w:cs="Times New Roman"/>
          <w:sz w:val="24"/>
          <w:szCs w:val="24"/>
        </w:rPr>
        <w:t>. The conclusion emphasizes societal impact, justice, and proportionality while also taking into account broader factors beyond the facts.</w:t>
      </w:r>
    </w:p>
    <w:p w14:paraId="45D8EE24"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Prosecutors take into account many criteria throughout the Public Interest Stage, including:</w:t>
      </w:r>
    </w:p>
    <w:p w14:paraId="34EB459E"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 xml:space="preserve">a) </w:t>
      </w:r>
      <w:r w:rsidRPr="00DF3E29">
        <w:rPr>
          <w:rFonts w:ascii="Times New Roman" w:hAnsi="Times New Roman" w:cs="Times New Roman"/>
          <w:b/>
          <w:bCs/>
          <w:sz w:val="24"/>
          <w:szCs w:val="24"/>
        </w:rPr>
        <w:t>The Seriousness of the Offence</w:t>
      </w:r>
      <w:r w:rsidRPr="00DF3E29">
        <w:rPr>
          <w:rFonts w:ascii="Times New Roman" w:hAnsi="Times New Roman" w:cs="Times New Roman"/>
          <w:sz w:val="24"/>
          <w:szCs w:val="24"/>
        </w:rPr>
        <w:t>: The likelihood of prosecution depends on the seriousness of the offence committed.</w:t>
      </w:r>
    </w:p>
    <w:p w14:paraId="1999D5AB"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lastRenderedPageBreak/>
        <w:t>b</w:t>
      </w:r>
      <w:r w:rsidRPr="00DF3E29">
        <w:rPr>
          <w:rFonts w:ascii="Times New Roman" w:hAnsi="Times New Roman" w:cs="Times New Roman"/>
          <w:b/>
          <w:bCs/>
          <w:sz w:val="24"/>
          <w:szCs w:val="24"/>
        </w:rPr>
        <w:t>) Suspect's Culpability</w:t>
      </w:r>
      <w:r w:rsidRPr="00DF3E29">
        <w:rPr>
          <w:rFonts w:ascii="Times New Roman" w:hAnsi="Times New Roman" w:cs="Times New Roman"/>
          <w:sz w:val="24"/>
          <w:szCs w:val="24"/>
        </w:rPr>
        <w:t>: Taking into account elements including premeditation, benefit from criminal activity, and prior criminal history, the level of the suspect's culpability decides whether or not prosecution is required.</w:t>
      </w:r>
    </w:p>
    <w:p w14:paraId="3FD85E57"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c</w:t>
      </w:r>
      <w:r w:rsidRPr="00DF3E29">
        <w:rPr>
          <w:rFonts w:ascii="Times New Roman" w:hAnsi="Times New Roman" w:cs="Times New Roman"/>
          <w:b/>
          <w:bCs/>
          <w:sz w:val="24"/>
          <w:szCs w:val="24"/>
        </w:rPr>
        <w:t>) Impact on the Victim and Community</w:t>
      </w:r>
      <w:r w:rsidRPr="00DF3E29">
        <w:rPr>
          <w:rFonts w:ascii="Times New Roman" w:hAnsi="Times New Roman" w:cs="Times New Roman"/>
          <w:sz w:val="24"/>
          <w:szCs w:val="24"/>
        </w:rPr>
        <w:t>: The victim's vulnerability, the effect on the community, and any prejudices present are all taken into consideration.</w:t>
      </w:r>
    </w:p>
    <w:p w14:paraId="4AF5324B"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 xml:space="preserve">d) </w:t>
      </w:r>
      <w:r w:rsidRPr="00DF3E29">
        <w:rPr>
          <w:rFonts w:ascii="Times New Roman" w:hAnsi="Times New Roman" w:cs="Times New Roman"/>
          <w:b/>
          <w:bCs/>
          <w:sz w:val="24"/>
          <w:szCs w:val="24"/>
        </w:rPr>
        <w:t>The Suspect's Age and Maturity</w:t>
      </w:r>
      <w:r w:rsidRPr="00DF3E29">
        <w:rPr>
          <w:rFonts w:ascii="Times New Roman" w:hAnsi="Times New Roman" w:cs="Times New Roman"/>
          <w:sz w:val="24"/>
          <w:szCs w:val="24"/>
        </w:rPr>
        <w:t>: The age of the suspect is an important consideration, especially in cases involving children and adolescents. The best interests of the child and youth justice concepts are taken into account.</w:t>
      </w:r>
    </w:p>
    <w:p w14:paraId="3534BB2C"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 xml:space="preserve">e) </w:t>
      </w:r>
      <w:r w:rsidRPr="00DF3E29">
        <w:rPr>
          <w:rFonts w:ascii="Times New Roman" w:hAnsi="Times New Roman" w:cs="Times New Roman"/>
          <w:b/>
          <w:bCs/>
          <w:sz w:val="24"/>
          <w:szCs w:val="24"/>
        </w:rPr>
        <w:t>Proportionality:</w:t>
      </w:r>
      <w:r w:rsidRPr="00DF3E29">
        <w:rPr>
          <w:rFonts w:ascii="Times New Roman" w:hAnsi="Times New Roman" w:cs="Times New Roman"/>
          <w:sz w:val="24"/>
          <w:szCs w:val="24"/>
        </w:rPr>
        <w:t xml:space="preserve"> The charges should fairly reflect the nature of the offence, and the prosecution should be commensurate to the expected outcome.</w:t>
      </w:r>
    </w:p>
    <w:p w14:paraId="4C2BE009" w14:textId="0ACB52D0"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 xml:space="preserve">f) </w:t>
      </w:r>
      <w:r w:rsidRPr="00DF3E29">
        <w:rPr>
          <w:rFonts w:ascii="Times New Roman" w:hAnsi="Times New Roman" w:cs="Times New Roman"/>
          <w:b/>
          <w:bCs/>
          <w:sz w:val="24"/>
          <w:szCs w:val="24"/>
        </w:rPr>
        <w:t>Cost and Resources:</w:t>
      </w:r>
      <w:r w:rsidRPr="00DF3E29">
        <w:rPr>
          <w:rFonts w:ascii="Times New Roman" w:hAnsi="Times New Roman" w:cs="Times New Roman"/>
          <w:sz w:val="24"/>
          <w:szCs w:val="24"/>
        </w:rPr>
        <w:t xml:space="preserve"> The prosecution's cost-effectiveness is taken into account along with the resources at hand.</w:t>
      </w:r>
    </w:p>
    <w:p w14:paraId="5CB2B572"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 xml:space="preserve">g) </w:t>
      </w:r>
      <w:r w:rsidRPr="00DF3E29">
        <w:rPr>
          <w:rFonts w:ascii="Times New Roman" w:hAnsi="Times New Roman" w:cs="Times New Roman"/>
          <w:b/>
          <w:bCs/>
          <w:sz w:val="24"/>
          <w:szCs w:val="24"/>
        </w:rPr>
        <w:t>Protection of Information Sources</w:t>
      </w:r>
      <w:r w:rsidRPr="00DF3E29">
        <w:rPr>
          <w:rFonts w:ascii="Times New Roman" w:hAnsi="Times New Roman" w:cs="Times New Roman"/>
          <w:sz w:val="24"/>
          <w:szCs w:val="24"/>
        </w:rPr>
        <w:t>: Cases that could expose confidential information and jeopardize national security or current investigations are handled with extra caution.</w:t>
      </w:r>
    </w:p>
    <w:p w14:paraId="2DF64A86" w14:textId="1AA0ED29"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Threshold Evaluation</w:t>
      </w:r>
    </w:p>
    <w:p w14:paraId="75994798"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Full Code Test is a rule, whereas the Threshold Test is an exception that only seldom applies. When the Full Code Test cannot be fully completed but some requirements are met, it permits an early charging determination.</w:t>
      </w:r>
    </w:p>
    <w:p w14:paraId="3F727F15" w14:textId="1E88F121"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1. First condition - Reasonable Grounds to Suspect</w:t>
      </w:r>
    </w:p>
    <w:p w14:paraId="6B17B441"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Prosecutors must have solid reasons to believe the individual they are charging committed the crime. This need makes sure that accusations are not made without a solid foundation.</w:t>
      </w:r>
    </w:p>
    <w:p w14:paraId="2F5FB5C0" w14:textId="06974413"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b/>
          <w:bCs/>
          <w:sz w:val="24"/>
          <w:szCs w:val="24"/>
        </w:rPr>
        <w:lastRenderedPageBreak/>
        <w:t>2. Second condition - Realistic Prospect of Conviction</w:t>
      </w:r>
    </w:p>
    <w:p w14:paraId="0D6E6959"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Prosecutors must think that additional evidence can be gathered within a reasonable time frame, affording a realistic probability of conviction, even though the Full Code Test may not currently be met.</w:t>
      </w:r>
    </w:p>
    <w:p w14:paraId="394054F2" w14:textId="741B5282"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b/>
          <w:bCs/>
          <w:sz w:val="24"/>
          <w:szCs w:val="24"/>
        </w:rPr>
        <w:t>3. Third condition - Justification for Immediate Charging</w:t>
      </w:r>
    </w:p>
    <w:p w14:paraId="647ED327"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severity of the crime or the circumstances must call for an instant charging decision, which would otherwise be justified by the Full Code Test.</w:t>
      </w:r>
    </w:p>
    <w:p w14:paraId="315E8834" w14:textId="57393B9D" w:rsidR="00C47B18" w:rsidRPr="00DF3E29" w:rsidRDefault="00C47B18" w:rsidP="00DF3E29">
      <w:pPr>
        <w:spacing w:line="480" w:lineRule="auto"/>
        <w:rPr>
          <w:rFonts w:ascii="Times New Roman" w:hAnsi="Times New Roman" w:cs="Times New Roman"/>
          <w:b/>
          <w:bCs/>
          <w:sz w:val="24"/>
          <w:szCs w:val="24"/>
        </w:rPr>
      </w:pPr>
      <w:r w:rsidRPr="00DF3E29">
        <w:rPr>
          <w:rFonts w:ascii="Times New Roman" w:hAnsi="Times New Roman" w:cs="Times New Roman"/>
          <w:b/>
          <w:bCs/>
          <w:sz w:val="24"/>
          <w:szCs w:val="24"/>
        </w:rPr>
        <w:t>4. Fourth condition - Substantial Grounds to Object to Bail</w:t>
      </w:r>
    </w:p>
    <w:p w14:paraId="08422C5E" w14:textId="77777777"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If the prosecution wants to deny bail due to risks like reoffending, fleeing, or interfering with witnesses, they must provide compelling evidence.</w:t>
      </w:r>
    </w:p>
    <w:p w14:paraId="17FE1E9C" w14:textId="49B0CF93" w:rsidR="00C47B18" w:rsidRPr="00DF3E29"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b/>
          <w:bCs/>
          <w:sz w:val="24"/>
          <w:szCs w:val="24"/>
        </w:rPr>
        <w:t>5. Fifth condition - Public Interest in Charging</w:t>
      </w:r>
    </w:p>
    <w:p w14:paraId="29A5B4E3" w14:textId="063BAD5E" w:rsidR="00373982" w:rsidRDefault="00C47B18" w:rsidP="00DF3E29">
      <w:pPr>
        <w:spacing w:line="480" w:lineRule="auto"/>
        <w:rPr>
          <w:rFonts w:ascii="Times New Roman" w:hAnsi="Times New Roman" w:cs="Times New Roman"/>
          <w:sz w:val="24"/>
          <w:szCs w:val="24"/>
        </w:rPr>
      </w:pPr>
      <w:r w:rsidRPr="00DF3E29">
        <w:rPr>
          <w:rFonts w:ascii="Times New Roman" w:hAnsi="Times New Roman" w:cs="Times New Roman"/>
          <w:sz w:val="24"/>
          <w:szCs w:val="24"/>
        </w:rPr>
        <w:t>The Public Interest Stage of the Full Code Test's considerations must be taken into account as prosecutors determine whether it is in the public interest to charge the defendant.</w:t>
      </w:r>
    </w:p>
    <w:p w14:paraId="3A76919E" w14:textId="77777777" w:rsidR="00373982" w:rsidRDefault="00373982">
      <w:pPr>
        <w:rPr>
          <w:rFonts w:ascii="Times New Roman" w:hAnsi="Times New Roman" w:cs="Times New Roman"/>
          <w:sz w:val="24"/>
          <w:szCs w:val="24"/>
        </w:rPr>
      </w:pPr>
      <w:r>
        <w:rPr>
          <w:rFonts w:ascii="Times New Roman" w:hAnsi="Times New Roman" w:cs="Times New Roman"/>
          <w:sz w:val="24"/>
          <w:szCs w:val="24"/>
        </w:rPr>
        <w:br w:type="page"/>
      </w:r>
    </w:p>
    <w:p w14:paraId="0F79E573" w14:textId="77777777" w:rsidR="00373982" w:rsidRDefault="00373982" w:rsidP="003C7E34">
      <w:pPr>
        <w:tabs>
          <w:tab w:val="left" w:pos="1020"/>
        </w:tabs>
        <w:spacing w:line="480" w:lineRule="auto"/>
        <w:ind w:hanging="720"/>
        <w:jc w:val="center"/>
        <w:rPr>
          <w:rFonts w:ascii="Times New Roman" w:eastAsia="Calibri" w:hAnsi="Times New Roman" w:cs="Times New Roman"/>
          <w:color w:val="000000"/>
          <w:kern w:val="0"/>
          <w:sz w:val="24"/>
          <w:szCs w:val="24"/>
          <w:shd w:val="clear" w:color="auto" w:fill="FFFFFF"/>
          <w:lang w:val="en-US"/>
          <w14:ligatures w14:val="none"/>
        </w:rPr>
      </w:pPr>
      <w:r w:rsidRPr="00373982">
        <w:rPr>
          <w:rFonts w:ascii="Times New Roman" w:eastAsia="Calibri" w:hAnsi="Times New Roman" w:cs="Times New Roman"/>
          <w:color w:val="000000"/>
          <w:kern w:val="0"/>
          <w:sz w:val="24"/>
          <w:szCs w:val="24"/>
          <w:shd w:val="clear" w:color="auto" w:fill="FFFFFF"/>
          <w:lang w:val="en-US"/>
          <w14:ligatures w14:val="none"/>
        </w:rPr>
        <w:lastRenderedPageBreak/>
        <w:t>References</w:t>
      </w:r>
    </w:p>
    <w:p w14:paraId="73F1B0E1" w14:textId="31B53332" w:rsidR="00373982" w:rsidRPr="00373982" w:rsidRDefault="00373982" w:rsidP="00373982">
      <w:pPr>
        <w:tabs>
          <w:tab w:val="left" w:pos="1020"/>
        </w:tabs>
        <w:spacing w:line="480" w:lineRule="auto"/>
        <w:ind w:hanging="720"/>
        <w:rPr>
          <w:rFonts w:ascii="Times New Roman" w:eastAsia="Calibri" w:hAnsi="Times New Roman" w:cs="Times New Roman"/>
          <w:color w:val="000000"/>
          <w:kern w:val="0"/>
          <w:sz w:val="24"/>
          <w:szCs w:val="24"/>
          <w:shd w:val="clear" w:color="auto" w:fill="FFFFFF"/>
          <w:lang w:val="en-US"/>
          <w14:ligatures w14:val="none"/>
        </w:rPr>
      </w:pPr>
      <w:r w:rsidRPr="00373982">
        <w:rPr>
          <w:rFonts w:ascii="Times New Roman" w:eastAsia="Times New Roman" w:hAnsi="Times New Roman" w:cs="Times New Roman"/>
          <w:i/>
          <w:iCs/>
          <w:color w:val="000000"/>
          <w:kern w:val="0"/>
          <w:sz w:val="24"/>
          <w:szCs w:val="24"/>
          <w:lang w:val="en-US"/>
          <w14:ligatures w14:val="none"/>
        </w:rPr>
        <w:t>Guidelines on the Role of Prosecutors</w:t>
      </w:r>
      <w:r w:rsidRPr="00373982">
        <w:rPr>
          <w:rFonts w:ascii="Times New Roman" w:eastAsia="Times New Roman" w:hAnsi="Times New Roman" w:cs="Times New Roman"/>
          <w:color w:val="000000"/>
          <w:kern w:val="0"/>
          <w:sz w:val="24"/>
          <w:szCs w:val="24"/>
          <w:lang w:val="en-US"/>
          <w14:ligatures w14:val="none"/>
        </w:rPr>
        <w:t>. (1990, September 7). OHCHR. </w:t>
      </w:r>
      <w:hyperlink r:id="rId6" w:anchor=":~:text=Prosecutors%20shall%20give%20due%20attention,the%20investigation%20of%20such%20offences" w:history="1">
        <w:r w:rsidRPr="00373982">
          <w:rPr>
            <w:rFonts w:ascii="Times New Roman" w:eastAsia="Times New Roman" w:hAnsi="Times New Roman" w:cs="Times New Roman"/>
            <w:color w:val="000000"/>
            <w:kern w:val="0"/>
            <w:sz w:val="24"/>
            <w:szCs w:val="24"/>
            <w:u w:val="single"/>
            <w:lang w:val="en-US"/>
            <w14:ligatures w14:val="none"/>
          </w:rPr>
          <w:t>https://www.ohchr.org/en/instruments-mechanisms/instruments/guidelines-role-prosecutors#:~:text=Prosecutors%20shall%20give%20due%20attention,the%20investigation%20of%20such%20offences</w:t>
        </w:r>
      </w:hyperlink>
    </w:p>
    <w:p w14:paraId="1A1B8DCB" w14:textId="77777777" w:rsidR="00373982" w:rsidRPr="00373982" w:rsidRDefault="00373982" w:rsidP="00373982">
      <w:pPr>
        <w:tabs>
          <w:tab w:val="left" w:pos="1020"/>
        </w:tabs>
        <w:spacing w:line="480" w:lineRule="auto"/>
        <w:ind w:hanging="720"/>
        <w:rPr>
          <w:rFonts w:ascii="Times New Roman" w:eastAsia="Calibri" w:hAnsi="Times New Roman" w:cs="Times New Roman"/>
          <w:kern w:val="0"/>
          <w:sz w:val="24"/>
          <w:szCs w:val="24"/>
          <w:lang w:val="en-US"/>
          <w14:ligatures w14:val="none"/>
        </w:rPr>
      </w:pPr>
      <w:r w:rsidRPr="00373982">
        <w:rPr>
          <w:rFonts w:ascii="Times New Roman" w:eastAsia="Calibri" w:hAnsi="Times New Roman" w:cs="Times New Roman"/>
          <w:kern w:val="0"/>
          <w:sz w:val="24"/>
          <w:szCs w:val="24"/>
          <w:lang w:val="en-US"/>
          <w14:ligatures w14:val="none"/>
        </w:rPr>
        <w:t>Karlsen, S., Howard, J., Carver, N., Mogilnicka, M. and Pantazis, C., 2023. Available evidence suggests that prevalence and risk of female genital cutting/mutilation in the UK is much lower than widely presumed-policies based on exaggerated estimates are harmful to girls and women from affected communities. </w:t>
      </w:r>
      <w:r w:rsidRPr="00373982">
        <w:rPr>
          <w:rFonts w:ascii="Times New Roman" w:eastAsia="Calibri" w:hAnsi="Times New Roman" w:cs="Times New Roman"/>
          <w:i/>
          <w:iCs/>
          <w:kern w:val="0"/>
          <w:sz w:val="24"/>
          <w:szCs w:val="24"/>
          <w:lang w:val="en-US"/>
          <w14:ligatures w14:val="none"/>
        </w:rPr>
        <w:t>International journal of impotence research</w:t>
      </w:r>
      <w:r w:rsidRPr="00373982">
        <w:rPr>
          <w:rFonts w:ascii="Times New Roman" w:eastAsia="Calibri" w:hAnsi="Times New Roman" w:cs="Times New Roman"/>
          <w:kern w:val="0"/>
          <w:sz w:val="24"/>
          <w:szCs w:val="24"/>
          <w:lang w:val="en-US"/>
          <w14:ligatures w14:val="none"/>
        </w:rPr>
        <w:t>, </w:t>
      </w:r>
      <w:r w:rsidRPr="00373982">
        <w:rPr>
          <w:rFonts w:ascii="Times New Roman" w:eastAsia="Calibri" w:hAnsi="Times New Roman" w:cs="Times New Roman"/>
          <w:i/>
          <w:iCs/>
          <w:kern w:val="0"/>
          <w:sz w:val="24"/>
          <w:szCs w:val="24"/>
          <w:lang w:val="en-US"/>
          <w14:ligatures w14:val="none"/>
        </w:rPr>
        <w:t>35</w:t>
      </w:r>
      <w:r w:rsidRPr="00373982">
        <w:rPr>
          <w:rFonts w:ascii="Times New Roman" w:eastAsia="Calibri" w:hAnsi="Times New Roman" w:cs="Times New Roman"/>
          <w:kern w:val="0"/>
          <w:sz w:val="24"/>
          <w:szCs w:val="24"/>
          <w:lang w:val="en-US"/>
          <w14:ligatures w14:val="none"/>
        </w:rPr>
        <w:t>(3), pp.212-215.</w:t>
      </w:r>
    </w:p>
    <w:p w14:paraId="2E1B6782" w14:textId="77777777" w:rsidR="00373982" w:rsidRPr="00373982" w:rsidRDefault="00373982" w:rsidP="00373982">
      <w:pPr>
        <w:tabs>
          <w:tab w:val="left" w:pos="1020"/>
        </w:tabs>
        <w:spacing w:line="480" w:lineRule="auto"/>
        <w:ind w:hanging="720"/>
        <w:rPr>
          <w:rFonts w:ascii="Times New Roman" w:eastAsia="Calibri" w:hAnsi="Times New Roman" w:cs="Times New Roman"/>
          <w:kern w:val="0"/>
          <w:sz w:val="24"/>
          <w:szCs w:val="24"/>
          <w:lang w:val="en-US"/>
          <w14:ligatures w14:val="none"/>
        </w:rPr>
      </w:pPr>
      <w:r w:rsidRPr="00373982">
        <w:rPr>
          <w:rFonts w:ascii="Times New Roman" w:eastAsia="Calibri" w:hAnsi="Times New Roman" w:cs="Times New Roman"/>
          <w:kern w:val="0"/>
          <w:sz w:val="24"/>
          <w:szCs w:val="24"/>
          <w:lang w:val="en-US"/>
          <w14:ligatures w14:val="none"/>
        </w:rPr>
        <w:t>Galleguillos, S. and Figueroa, U.O., 2023. Is it part of my job? Prosecution and restorative justice in Chile. </w:t>
      </w:r>
      <w:r w:rsidRPr="00373982">
        <w:rPr>
          <w:rFonts w:ascii="Times New Roman" w:eastAsia="Calibri" w:hAnsi="Times New Roman" w:cs="Times New Roman"/>
          <w:i/>
          <w:iCs/>
          <w:kern w:val="0"/>
          <w:sz w:val="24"/>
          <w:szCs w:val="24"/>
          <w:lang w:val="en-US"/>
          <w14:ligatures w14:val="none"/>
        </w:rPr>
        <w:t>Criminology &amp; Criminal Justice</w:t>
      </w:r>
      <w:r w:rsidRPr="00373982">
        <w:rPr>
          <w:rFonts w:ascii="Times New Roman" w:eastAsia="Calibri" w:hAnsi="Times New Roman" w:cs="Times New Roman"/>
          <w:kern w:val="0"/>
          <w:sz w:val="24"/>
          <w:szCs w:val="24"/>
          <w:lang w:val="en-US"/>
          <w14:ligatures w14:val="none"/>
        </w:rPr>
        <w:t>, p.17488958231175994.</w:t>
      </w:r>
    </w:p>
    <w:p w14:paraId="6C5EB9FE" w14:textId="77777777" w:rsidR="00373982" w:rsidRPr="00373982" w:rsidRDefault="00373982" w:rsidP="00373982">
      <w:pPr>
        <w:tabs>
          <w:tab w:val="left" w:pos="1020"/>
        </w:tabs>
        <w:spacing w:line="480" w:lineRule="auto"/>
        <w:ind w:hanging="720"/>
        <w:rPr>
          <w:rFonts w:ascii="Times New Roman" w:eastAsia="Calibri" w:hAnsi="Times New Roman" w:cs="Times New Roman"/>
          <w:kern w:val="0"/>
          <w:sz w:val="24"/>
          <w:szCs w:val="24"/>
          <w:lang w:val="en-US"/>
          <w14:ligatures w14:val="none"/>
        </w:rPr>
      </w:pPr>
      <w:r w:rsidRPr="00373982">
        <w:rPr>
          <w:rFonts w:ascii="Times New Roman" w:eastAsia="Calibri" w:hAnsi="Times New Roman" w:cs="Times New Roman"/>
          <w:kern w:val="0"/>
          <w:sz w:val="24"/>
          <w:szCs w:val="24"/>
          <w:lang w:val="en-US"/>
          <w14:ligatures w14:val="none"/>
        </w:rPr>
        <w:t>Marstaller, M.L., 2016. The Legality Principle: An Effective Way to Minimise the European Prosecutors' Influence on Substantive Criminalisation: Comparing the German Staatsanwaltschaft and the Crown Prosecution Service in England and Wales. </w:t>
      </w:r>
      <w:r w:rsidRPr="00373982">
        <w:rPr>
          <w:rFonts w:ascii="Times New Roman" w:eastAsia="Calibri" w:hAnsi="Times New Roman" w:cs="Times New Roman"/>
          <w:i/>
          <w:iCs/>
          <w:kern w:val="0"/>
          <w:sz w:val="24"/>
          <w:szCs w:val="24"/>
          <w:lang w:val="en-US"/>
          <w14:ligatures w14:val="none"/>
        </w:rPr>
        <w:t>Eur. Crim. L. Rev.</w:t>
      </w:r>
      <w:r w:rsidRPr="00373982">
        <w:rPr>
          <w:rFonts w:ascii="Times New Roman" w:eastAsia="Calibri" w:hAnsi="Times New Roman" w:cs="Times New Roman"/>
          <w:kern w:val="0"/>
          <w:sz w:val="24"/>
          <w:szCs w:val="24"/>
          <w:lang w:val="en-US"/>
          <w14:ligatures w14:val="none"/>
        </w:rPr>
        <w:t>, </w:t>
      </w:r>
      <w:r w:rsidRPr="00373982">
        <w:rPr>
          <w:rFonts w:ascii="Times New Roman" w:eastAsia="Calibri" w:hAnsi="Times New Roman" w:cs="Times New Roman"/>
          <w:i/>
          <w:iCs/>
          <w:kern w:val="0"/>
          <w:sz w:val="24"/>
          <w:szCs w:val="24"/>
          <w:lang w:val="en-US"/>
          <w14:ligatures w14:val="none"/>
        </w:rPr>
        <w:t>6</w:t>
      </w:r>
      <w:r w:rsidRPr="00373982">
        <w:rPr>
          <w:rFonts w:ascii="Times New Roman" w:eastAsia="Calibri" w:hAnsi="Times New Roman" w:cs="Times New Roman"/>
          <w:kern w:val="0"/>
          <w:sz w:val="24"/>
          <w:szCs w:val="24"/>
          <w:lang w:val="en-US"/>
          <w14:ligatures w14:val="none"/>
        </w:rPr>
        <w:t>, p.161.</w:t>
      </w:r>
    </w:p>
    <w:p w14:paraId="09124854" w14:textId="77777777" w:rsidR="00373982" w:rsidRPr="00373982" w:rsidRDefault="00373982" w:rsidP="00373982">
      <w:pPr>
        <w:tabs>
          <w:tab w:val="left" w:pos="1020"/>
        </w:tabs>
        <w:spacing w:line="480" w:lineRule="auto"/>
        <w:ind w:hanging="720"/>
        <w:rPr>
          <w:rFonts w:ascii="Times New Roman" w:eastAsia="Calibri" w:hAnsi="Times New Roman" w:cs="Times New Roman"/>
          <w:kern w:val="0"/>
          <w:sz w:val="24"/>
          <w:szCs w:val="24"/>
          <w:lang w:val="en-US"/>
          <w14:ligatures w14:val="none"/>
        </w:rPr>
      </w:pPr>
      <w:r w:rsidRPr="00373982">
        <w:rPr>
          <w:rFonts w:ascii="Times New Roman" w:eastAsia="Calibri" w:hAnsi="Times New Roman" w:cs="Times New Roman"/>
          <w:kern w:val="0"/>
          <w:sz w:val="24"/>
          <w:szCs w:val="24"/>
          <w:lang w:val="en-US"/>
          <w14:ligatures w14:val="none"/>
        </w:rPr>
        <w:t>Porter, A., 2019. Prosecuting domestic abuse in England and Wales: Crown Prosecution Service ‘working practice’and new public managerialism. </w:t>
      </w:r>
      <w:r w:rsidRPr="00373982">
        <w:rPr>
          <w:rFonts w:ascii="Times New Roman" w:eastAsia="Calibri" w:hAnsi="Times New Roman" w:cs="Times New Roman"/>
          <w:i/>
          <w:iCs/>
          <w:kern w:val="0"/>
          <w:sz w:val="24"/>
          <w:szCs w:val="24"/>
          <w:lang w:val="en-US"/>
          <w14:ligatures w14:val="none"/>
        </w:rPr>
        <w:t>Social &amp; Legal Studies</w:t>
      </w:r>
      <w:r w:rsidRPr="00373982">
        <w:rPr>
          <w:rFonts w:ascii="Times New Roman" w:eastAsia="Calibri" w:hAnsi="Times New Roman" w:cs="Times New Roman"/>
          <w:kern w:val="0"/>
          <w:sz w:val="24"/>
          <w:szCs w:val="24"/>
          <w:lang w:val="en-US"/>
          <w14:ligatures w14:val="none"/>
        </w:rPr>
        <w:t>, </w:t>
      </w:r>
      <w:r w:rsidRPr="00373982">
        <w:rPr>
          <w:rFonts w:ascii="Times New Roman" w:eastAsia="Calibri" w:hAnsi="Times New Roman" w:cs="Times New Roman"/>
          <w:i/>
          <w:iCs/>
          <w:kern w:val="0"/>
          <w:sz w:val="24"/>
          <w:szCs w:val="24"/>
          <w:lang w:val="en-US"/>
          <w14:ligatures w14:val="none"/>
        </w:rPr>
        <w:t>28</w:t>
      </w:r>
      <w:r w:rsidRPr="00373982">
        <w:rPr>
          <w:rFonts w:ascii="Times New Roman" w:eastAsia="Calibri" w:hAnsi="Times New Roman" w:cs="Times New Roman"/>
          <w:kern w:val="0"/>
          <w:sz w:val="24"/>
          <w:szCs w:val="24"/>
          <w:lang w:val="en-US"/>
          <w14:ligatures w14:val="none"/>
        </w:rPr>
        <w:t>(4), pp.493-516.</w:t>
      </w:r>
    </w:p>
    <w:p w14:paraId="1D6D6628" w14:textId="77777777" w:rsidR="00373982" w:rsidRPr="00373982" w:rsidRDefault="00373982" w:rsidP="00373982">
      <w:pPr>
        <w:tabs>
          <w:tab w:val="left" w:pos="1020"/>
        </w:tabs>
        <w:spacing w:line="480" w:lineRule="auto"/>
        <w:ind w:hanging="720"/>
        <w:rPr>
          <w:rFonts w:ascii="Times New Roman" w:eastAsia="Calibri" w:hAnsi="Times New Roman" w:cs="Times New Roman"/>
          <w:kern w:val="0"/>
          <w:sz w:val="24"/>
          <w:szCs w:val="24"/>
          <w:lang w:val="en-US"/>
          <w14:ligatures w14:val="none"/>
        </w:rPr>
      </w:pPr>
      <w:r w:rsidRPr="00373982">
        <w:rPr>
          <w:rFonts w:ascii="Times New Roman" w:eastAsia="Calibri" w:hAnsi="Times New Roman" w:cs="Times New Roman"/>
          <w:kern w:val="0"/>
          <w:sz w:val="24"/>
          <w:szCs w:val="24"/>
          <w:lang w:val="en-US"/>
          <w14:ligatures w14:val="none"/>
        </w:rPr>
        <w:t>Soubise, L., 2023. Professional identity, legitimacy and managerialism at the Crown Prosecution Service. </w:t>
      </w:r>
      <w:r w:rsidRPr="00373982">
        <w:rPr>
          <w:rFonts w:ascii="Times New Roman" w:eastAsia="Calibri" w:hAnsi="Times New Roman" w:cs="Times New Roman"/>
          <w:i/>
          <w:iCs/>
          <w:kern w:val="0"/>
          <w:sz w:val="24"/>
          <w:szCs w:val="24"/>
          <w:lang w:val="en-US"/>
          <w14:ligatures w14:val="none"/>
        </w:rPr>
        <w:t>Legal Studies</w:t>
      </w:r>
      <w:r w:rsidRPr="00373982">
        <w:rPr>
          <w:rFonts w:ascii="Times New Roman" w:eastAsia="Calibri" w:hAnsi="Times New Roman" w:cs="Times New Roman"/>
          <w:kern w:val="0"/>
          <w:sz w:val="24"/>
          <w:szCs w:val="24"/>
          <w:lang w:val="en-US"/>
          <w14:ligatures w14:val="none"/>
        </w:rPr>
        <w:t>, pp.1-18.</w:t>
      </w:r>
    </w:p>
    <w:p w14:paraId="25DC0F17" w14:textId="77777777" w:rsidR="00C47B18" w:rsidRPr="00373982" w:rsidRDefault="00C47B18" w:rsidP="00373982">
      <w:pPr>
        <w:spacing w:line="480" w:lineRule="auto"/>
        <w:ind w:hanging="720"/>
        <w:rPr>
          <w:rFonts w:ascii="Times New Roman" w:hAnsi="Times New Roman" w:cs="Times New Roman"/>
          <w:sz w:val="24"/>
          <w:szCs w:val="24"/>
        </w:rPr>
      </w:pPr>
    </w:p>
    <w:p w14:paraId="55193F28" w14:textId="77777777" w:rsidR="00C47B18" w:rsidRPr="00373982" w:rsidRDefault="00C47B18" w:rsidP="00373982">
      <w:pPr>
        <w:spacing w:line="480" w:lineRule="auto"/>
        <w:ind w:left="720" w:hanging="720"/>
        <w:rPr>
          <w:rFonts w:ascii="Times New Roman" w:hAnsi="Times New Roman" w:cs="Times New Roman"/>
          <w:sz w:val="24"/>
          <w:szCs w:val="24"/>
        </w:rPr>
      </w:pPr>
    </w:p>
    <w:p w14:paraId="0148841B" w14:textId="3A580D0A" w:rsidR="004D1870" w:rsidRPr="00373982" w:rsidRDefault="004D1870" w:rsidP="00373982">
      <w:pPr>
        <w:spacing w:line="480" w:lineRule="auto"/>
        <w:ind w:left="720" w:hanging="720"/>
        <w:rPr>
          <w:rFonts w:ascii="Times New Roman" w:hAnsi="Times New Roman" w:cs="Times New Roman"/>
          <w:sz w:val="24"/>
          <w:szCs w:val="24"/>
        </w:rPr>
      </w:pPr>
    </w:p>
    <w:p w14:paraId="3922E73A" w14:textId="77777777" w:rsidR="004D1870" w:rsidRPr="00373982" w:rsidRDefault="004D1870" w:rsidP="00373982">
      <w:pPr>
        <w:spacing w:line="480" w:lineRule="auto"/>
        <w:ind w:hanging="720"/>
        <w:rPr>
          <w:rFonts w:ascii="Times New Roman" w:hAnsi="Times New Roman" w:cs="Times New Roman"/>
          <w:sz w:val="24"/>
          <w:szCs w:val="24"/>
        </w:rPr>
      </w:pPr>
    </w:p>
    <w:p w14:paraId="702B4507" w14:textId="77777777" w:rsidR="004D1870" w:rsidRPr="00373982" w:rsidRDefault="004D1870" w:rsidP="00373982">
      <w:pPr>
        <w:spacing w:line="480" w:lineRule="auto"/>
        <w:ind w:hanging="720"/>
        <w:rPr>
          <w:rFonts w:ascii="Times New Roman" w:hAnsi="Times New Roman" w:cs="Times New Roman"/>
          <w:sz w:val="24"/>
          <w:szCs w:val="24"/>
        </w:rPr>
      </w:pPr>
    </w:p>
    <w:sectPr w:rsidR="004D1870" w:rsidRPr="0037398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C49A0" w14:textId="77777777" w:rsidR="006E20D4" w:rsidRDefault="006E20D4" w:rsidP="00845366">
      <w:pPr>
        <w:spacing w:after="0" w:line="240" w:lineRule="auto"/>
      </w:pPr>
      <w:r>
        <w:separator/>
      </w:r>
    </w:p>
  </w:endnote>
  <w:endnote w:type="continuationSeparator" w:id="0">
    <w:p w14:paraId="1AD8E89A" w14:textId="77777777" w:rsidR="006E20D4" w:rsidRDefault="006E20D4" w:rsidP="0084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D9BCC" w14:textId="77777777" w:rsidR="006E20D4" w:rsidRDefault="006E20D4" w:rsidP="00845366">
      <w:pPr>
        <w:spacing w:after="0" w:line="240" w:lineRule="auto"/>
      </w:pPr>
      <w:r>
        <w:separator/>
      </w:r>
    </w:p>
  </w:footnote>
  <w:footnote w:type="continuationSeparator" w:id="0">
    <w:p w14:paraId="68BBABA3" w14:textId="77777777" w:rsidR="006E20D4" w:rsidRDefault="006E20D4" w:rsidP="0084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1FEC7" w14:textId="2361AF4B" w:rsidR="00845366" w:rsidRDefault="00845366">
    <w:pPr>
      <w:pStyle w:val="Header"/>
    </w:pPr>
    <w:r>
      <w:tab/>
    </w:r>
    <w:r>
      <w:tab/>
    </w:r>
    <w:r>
      <w:fldChar w:fldCharType="begin"/>
    </w:r>
    <w:r>
      <w:instrText xml:space="preserve"> PAGE   \* MERGEFORMAT </w:instrText>
    </w:r>
    <w:r>
      <w:fldChar w:fldCharType="separate"/>
    </w:r>
    <w:r>
      <w:rPr>
        <w:noProof/>
      </w:rPr>
      <w:t>9</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2sDAwNzc2NzU0NTFW0lEKTi0uzszPAykwrAUAkKZQ4SwAAAA="/>
  </w:docVars>
  <w:rsids>
    <w:rsidRoot w:val="004D1870"/>
    <w:rsid w:val="001D32A3"/>
    <w:rsid w:val="001F4442"/>
    <w:rsid w:val="00203E27"/>
    <w:rsid w:val="00373982"/>
    <w:rsid w:val="003C7E34"/>
    <w:rsid w:val="00435DE3"/>
    <w:rsid w:val="004D1870"/>
    <w:rsid w:val="0054066E"/>
    <w:rsid w:val="006774B4"/>
    <w:rsid w:val="006E20D4"/>
    <w:rsid w:val="00835860"/>
    <w:rsid w:val="00845366"/>
    <w:rsid w:val="00881F7C"/>
    <w:rsid w:val="00C025CC"/>
    <w:rsid w:val="00C47B18"/>
    <w:rsid w:val="00D1160A"/>
    <w:rsid w:val="00D54D54"/>
    <w:rsid w:val="00DF3E29"/>
    <w:rsid w:val="00E0007D"/>
    <w:rsid w:val="00E47449"/>
    <w:rsid w:val="00ED5CAB"/>
    <w:rsid w:val="00EE2B05"/>
    <w:rsid w:val="00F22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5282"/>
  <w15:chartTrackingRefBased/>
  <w15:docId w15:val="{A5201B7F-863E-4ED8-98D9-22CF7E4AD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366"/>
    <w:rPr>
      <w:lang w:val="en-GB"/>
    </w:rPr>
  </w:style>
  <w:style w:type="paragraph" w:styleId="Footer">
    <w:name w:val="footer"/>
    <w:basedOn w:val="Normal"/>
    <w:link w:val="FooterChar"/>
    <w:uiPriority w:val="99"/>
    <w:unhideWhenUsed/>
    <w:rsid w:val="0084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36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442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hchr.org/en/instruments-mechanisms/instruments/guidelines-role-prosecutor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Eugen Florea (2225235)</cp:lastModifiedBy>
  <cp:revision>18</cp:revision>
  <dcterms:created xsi:type="dcterms:W3CDTF">2023-07-31T20:14:00Z</dcterms:created>
  <dcterms:modified xsi:type="dcterms:W3CDTF">2023-07-31T21:44:00Z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8c7a098551a96445b8694931242d24e206b19699149088e71b9fb0fc8bcac2a1</vt:lpwstr>
  </property>
</Properties>
</file>