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20"/>
        <w:jc w:val="center"/>
      </w:pPr>
      <w:r>
        <w:rPr>
          <w:rFonts w:ascii="Arial" w:cs="Arial" w:eastAsia="Arial" w:hAnsi="Arial"/>
          <w:b/>
          <w:bCs/>
          <w:color w:val="1F3864"/>
          <w:sz w:val="36"/>
          <w:szCs w:val="36"/>
        </w:rPr>
        <w:t xml:space="preserve">Global Risks 2026–2028: Implications for Sustainable Development</w:t>
      </w:r>
    </w:p>
    <w:p>
      <w:pPr>
        <w:spacing w:after="360"/>
        <w:jc w:val="center"/>
      </w:pPr>
      <w:r>
        <w:rPr>
          <w:rFonts w:ascii="Arial" w:cs="Arial" w:eastAsia="Arial" w:hAnsi="Arial"/>
          <w:i/>
          <w:iCs/>
          <w:color w:val="595959"/>
          <w:sz w:val="22"/>
          <w:szCs w:val="22"/>
        </w:rPr>
        <w:t xml:space="preserve">BMSP6015 — The Green Economy  |  Student ID: 2507302</w:t>
      </w:r>
    </w:p>
    <w:p>
      <w:pPr>
        <w:pBdr>
          <w:bottom w:val="single" w:color="2E75B6" w:sz="6" w:space="1"/>
        </w:pBdr>
        <w:spacing w:after="280"/>
      </w:pPr>
    </w:p>
    <w:p>
      <w:pPr>
        <w:pStyle w:val="Heading1"/>
        <w:spacing w:after="160" w:before="320"/>
      </w:pPr>
      <w:r>
        <w:rPr>
          <w:rFonts w:ascii="Arial" w:cs="Arial" w:eastAsia="Arial" w:hAnsi="Arial"/>
          <w:b/>
          <w:bCs/>
          <w:sz w:val="28"/>
          <w:szCs w:val="28"/>
        </w:rPr>
        <w:t xml:space="preserve">Executive Summary</w:t>
      </w:r>
    </w:p>
    <w:p>
      <w:pPr>
        <w:spacing w:after="200" w:line="360"/>
        <w:jc w:val="both"/>
      </w:pPr>
      <w:r>
        <w:rPr>
          <w:rFonts w:ascii="Arial" w:cs="Arial" w:eastAsia="Arial" w:hAnsi="Arial"/>
          <w:sz w:val="24"/>
          <w:szCs w:val="24"/>
        </w:rPr>
        <w:t xml:space="preserve">The World Economic Forum's Global Risks Report 2026 identifies geoeconomic confrontation, misinformation and disinformation, and societal polarisation as the three most severe risks over the two-year horizon to 2028, with economic downturn recording one of the largest rises in severity scores compared with the previous year's findings (WEF, 2026). Drawing on responses from over 1,300 global experts, only 1% of respondents anticipate a calm outlook across either the two- or ten-year timeframe (WEF, 2026). This report analyses the top three two-year risks through the frameworks of weak and strong sustainability, industrial ecology, the Environmental Kuznets Curve, and ecological economics, assessing their combined impact on the United Nations Sustainable Development Goals (SDGs). The central argument — and this report's own assessment — is that geoeconomic confrontation, informational disorder, and fiscal contraction are not parallel threats but a mutually reinforcing system that dismantles the cooperative infrastructure on which sustainable development depends. SDG 13 (Climate Action), SDG 10 (Reduced Inequalities), and SDG 16 (Peace, Justice and Strong Institutions) face the most acute structural pressure. Strong sustainability — treating irreplaceable natural capital as a binding constraint rather than a factor to be substituted — is not merely a more rigorous standard; given the convergence of these risks, it is the only internally coherent one.</w:t>
      </w:r>
    </w:p>
    <w:p>
      <w:pPr>
        <w:pStyle w:val="Heading1"/>
        <w:spacing w:after="160" w:before="320"/>
      </w:pPr>
      <w:r>
        <w:rPr>
          <w:rFonts w:ascii="Arial" w:cs="Arial" w:eastAsia="Arial" w:hAnsi="Arial"/>
          <w:b/>
          <w:bCs/>
          <w:sz w:val="28"/>
          <w:szCs w:val="28"/>
        </w:rPr>
        <w:t xml:space="preserve">1.0  Introduction</w:t>
      </w:r>
    </w:p>
    <w:p>
      <w:pPr>
        <w:spacing w:after="200" w:line="360"/>
        <w:jc w:val="both"/>
      </w:pPr>
      <w:r>
        <w:rPr>
          <w:rFonts w:ascii="Arial" w:cs="Arial" w:eastAsia="Arial" w:hAnsi="Arial"/>
          <w:sz w:val="24"/>
          <w:szCs w:val="24"/>
        </w:rPr>
        <w:t xml:space="preserve">The World Economic Forum (WEF) publishes its Global Risks Report annually, drawing on the Global Risks Perception Survey (GRPS) of experts from academia, business, government, and civil society (WEF, 2026). The 2026 edition — the 21st — characterises the current conjuncture as an age of competition, in which cooperative multilateral mechanisms are giving way to strategic rivalry between state and economic blocs, and uncertainty is identified as the defining theme across all three time horizons (WEF, 2026). Sustainable development, defined by the Brundtland Commission (1987, p. 43) as development that meets present needs without compromising future generations' ability to meet their own, is operationalised through the UN's 17 SDGs across 193 member states (UN, 2015). The UN Sustainable Development Solutions Network (2024) estimates that only 17% of SDG targets are currently on track globally — a figure that contextualises the analysis below not as theoretical risk but as measurable developmental regression. This report analyses the three risks dominating the two-year horizon, evaluates each through sustainability frameworks, offers an independent critical assessment of the WEF's own analytical choices, and concludes with four recommendations for businesses and policymakers navigating this environment.</w:t>
      </w:r>
    </w:p>
    <w:p>
      <w:pPr>
        <w:pStyle w:val="Heading1"/>
        <w:spacing w:after="160" w:before="320"/>
      </w:pPr>
      <w:r>
        <w:rPr>
          <w:rFonts w:ascii="Arial" w:cs="Arial" w:eastAsia="Arial" w:hAnsi="Arial"/>
          <w:b/>
          <w:bCs/>
          <w:sz w:val="28"/>
          <w:szCs w:val="28"/>
        </w:rPr>
        <w:t xml:space="preserve">2.0  Risk 1: Geoeconomic Confrontation</w:t>
      </w:r>
    </w:p>
    <w:p>
      <w:pPr>
        <w:pStyle w:val="Heading2"/>
        <w:spacing w:after="120" w:before="240"/>
      </w:pPr>
      <w:r>
        <w:rPr>
          <w:rFonts w:ascii="Arial" w:cs="Arial" w:eastAsia="Arial" w:hAnsi="Arial"/>
          <w:b/>
          <w:bCs/>
          <w:sz w:val="25"/>
          <w:szCs w:val="25"/>
        </w:rPr>
        <w:t xml:space="preserve">2.1  Risk Overview</w:t>
      </w:r>
    </w:p>
    <w:p>
      <w:pPr>
        <w:spacing w:after="200" w:line="360"/>
        <w:jc w:val="both"/>
      </w:pPr>
      <w:r>
        <w:rPr>
          <w:rFonts w:ascii="Arial" w:cs="Arial" w:eastAsia="Arial" w:hAnsi="Arial"/>
          <w:sz w:val="24"/>
          <w:szCs w:val="24"/>
        </w:rPr>
        <w:t xml:space="preserve">Geoeconomic confrontation ranks as the most severe two-year risk in the 2026 GRPS, rising two places from last year to be identified by 18% of respondents as the risk most likely to cause a major global crisis in 2026 (WEF, 2026). The WEF defines it as the weaponisation of economic levers — sanctions, investment controls, subsidies, and trade restrictions — to build strategic self-sufficiency and constrain geopolitical rivals (WEF, 2026). Only 6% of respondents anticipate a reinvigoration of the rules-based international order, whilst 68% expect a multipolar or fragmented system (WEF, 2026). Supply chain resilience has displaced efficiency as the primary organising principle of global commerce, and the structural consequences are already visible in rising input costs, technology transfer restrictions, and the reorientation of critical mineral flows along geopolitical lines.</w:t>
      </w:r>
    </w:p>
    <w:p>
      <w:pPr>
        <w:pStyle w:val="Heading2"/>
        <w:spacing w:after="120" w:before="240"/>
      </w:pPr>
      <w:r>
        <w:rPr>
          <w:rFonts w:ascii="Arial" w:cs="Arial" w:eastAsia="Arial" w:hAnsi="Arial"/>
          <w:b/>
          <w:bCs/>
          <w:sz w:val="25"/>
          <w:szCs w:val="25"/>
        </w:rPr>
        <w:t xml:space="preserve">2.2  Theoretical Frameworks and Sustainability Implications</w:t>
      </w:r>
    </w:p>
    <w:p>
      <w:pPr>
        <w:spacing w:after="200" w:line="360"/>
        <w:jc w:val="both"/>
      </w:pPr>
      <w:r>
        <w:rPr>
          <w:rFonts w:ascii="Arial" w:cs="Arial" w:eastAsia="Arial" w:hAnsi="Arial"/>
          <w:sz w:val="24"/>
          <w:szCs w:val="24"/>
        </w:rPr>
        <w:t xml:space="preserve">Weak sustainability, associated with Solow (1974) and Hartwick (1977), holds that natural capital can be substituted by manufactured capital provided the total capital stock does not decline. Strong sustainability, as articulated by Daly (1990) and Costanza and Daly (1992), rejects this substitutability: certain natural systems — stable climate, functioning ecosystems, critical mineral reserves — provide services that no manufactured equivalent can replicate. Geoeconomic confrontation directly undermines the strong sustainability standard by accelerating extraction of ecologically sensitive minerals, depleting the natural capital stocks that the net zero transition requires (IEA, 2021). As geopolitical rivalry concentrates control of lithium, cobalt, and rare earth elements — minerals for which the Democratic Republic of Congo, China, and Chile collectively account for the majority of global supply — firms dependent on imported clean energy technology face simultaneous supply disruption and rising decarbonisation costs. Tesla's 2023 battery supply chain restructuring and the EU's Critical Raw Materials Act are corporate and policy responses to exactly this dynamic (European Commission, 2023).</w:t>
      </w:r>
    </w:p>
    <w:p>
      <w:pPr>
        <w:spacing w:after="200" w:line="360"/>
        <w:jc w:val="both"/>
      </w:pPr>
      <w:r>
        <w:rPr>
          <w:rFonts w:ascii="Arial" w:cs="Arial" w:eastAsia="Arial" w:hAnsi="Arial"/>
          <w:sz w:val="24"/>
          <w:szCs w:val="24"/>
        </w:rPr>
        <w:t xml:space="preserve">Industrial ecology, as defined by Graedel and Allenby (2010), treats the industrial economy as analogous to a natural ecosystem in which outputs from one process serve as inputs for another. Applied to critical mineral supply chains, this framework exposes linear extraction models as generators of cascading waste flows and stranded decommissioning liabilities that weak sustainability analyses ignore. The Environmental Kuznets Curve (EKC) posits that environmental degradation initially rises with economic development before declining as wealth enables regulatory capacity and technology diffusion (Kuznets, 1955; Stern, 2004), but this relationship presupposes functioning multilateral markets (Dinda, 2004). Trade fragmentation prolongs the ascending portion of the curve for developing economies that account for the majority of future emissions growth, directly threatening SDG 13. Global low-carbon investment reached $2.1 trillion in 2024 but decelerated below Paris Agreement-compliance pace (WEF, 2026), whilst the global Gini coefficient stands at approximately 0.63, with the lowest human development quartile most exposed to commodity shocks yet least equipped to absorb them (World Bank, 2023a; UNDP, 2024).</w:t>
      </w:r>
    </w:p>
    <w:p>
      <w:pPr>
        <w:pStyle w:val="Heading2"/>
        <w:spacing w:after="120" w:before="240"/>
      </w:pPr>
      <w:r>
        <w:rPr>
          <w:rFonts w:ascii="Arial" w:cs="Arial" w:eastAsia="Arial" w:hAnsi="Arial"/>
          <w:b/>
          <w:bCs/>
          <w:sz w:val="25"/>
          <w:szCs w:val="25"/>
        </w:rPr>
        <w:t xml:space="preserve">2.3  Critical Assessment</w:t>
      </w:r>
    </w:p>
    <w:p>
      <w:pPr>
        <w:spacing w:after="200" w:line="360"/>
        <w:jc w:val="both"/>
      </w:pPr>
      <w:r>
        <w:rPr>
          <w:rFonts w:ascii="Arial" w:cs="Arial" w:eastAsia="Arial" w:hAnsi="Arial"/>
          <w:sz w:val="24"/>
          <w:szCs w:val="24"/>
        </w:rPr>
        <w:t xml:space="preserve">The WEF's categorisation of geoeconomic confrontation as primarily an economic and geopolitical risk underestimates its environmental consequence — and this is, in this report's assessment, the most significant analytical error in the 2026 edition. Ecological economics, rooted in Daly and Farley's (2011) insight that the economy is a subsystem of finite Earth ecosystems, identifies this categorical separation as the core structural flaw in conventional risk modelling. Global CO₂ emissions rose approximately 60% between 1990 and 2022 despite apparent decoupling in the UK and EU (IEA, 2023), confirming that nationally recorded progress can displace rather than eliminate environmental harm. Meadows et al. (1972) modelled the systemic consequences of unconstrained resource competition, and their central finding — that rivalry for finite resources drives system instability — is more, not less, applicable to a world in which approximately half of global GDP is estimated to be moderately or highly dependent on nature (WEF, 2020). The WEF might counter that its mandate is risk identification rather than systemic redesign; but a report whose explicit purpose is to inform strategic decision-making should, in this assessment, identify root causes rather than symptoms. The absence of a causal link between geoeconomic confrontation and accelerated natural capital depletion in the 2026 edition represents a missed opportunity that future editions should correct.</w:t>
      </w:r>
    </w:p>
    <w:p>
      <w:pPr>
        <w:pStyle w:val="Heading1"/>
        <w:spacing w:after="160" w:before="320"/>
      </w:pPr>
      <w:r>
        <w:rPr>
          <w:rFonts w:ascii="Arial" w:cs="Arial" w:eastAsia="Arial" w:hAnsi="Arial"/>
          <w:b/>
          <w:bCs/>
          <w:sz w:val="28"/>
          <w:szCs w:val="28"/>
        </w:rPr>
        <w:t xml:space="preserve">3.0  Risk 2: Misinformation and Disinformation</w:t>
      </w:r>
    </w:p>
    <w:p>
      <w:pPr>
        <w:pStyle w:val="Heading2"/>
        <w:spacing w:after="120" w:before="240"/>
      </w:pPr>
      <w:r>
        <w:rPr>
          <w:rFonts w:ascii="Arial" w:cs="Arial" w:eastAsia="Arial" w:hAnsi="Arial"/>
          <w:b/>
          <w:bCs/>
          <w:sz w:val="25"/>
          <w:szCs w:val="25"/>
        </w:rPr>
        <w:t xml:space="preserve">3.1  Risk Overview</w:t>
      </w:r>
    </w:p>
    <w:p>
      <w:pPr>
        <w:spacing w:after="200" w:line="360"/>
        <w:jc w:val="both"/>
      </w:pPr>
      <w:r>
        <w:rPr>
          <w:rFonts w:ascii="Arial" w:cs="Arial" w:eastAsia="Arial" w:hAnsi="Arial"/>
          <w:sz w:val="24"/>
          <w:szCs w:val="24"/>
        </w:rPr>
        <w:t xml:space="preserve">Misinformation and disinformation rank second in the two-year outlook and appear consistently across all three WEF time horizons, a cross-cutting characteristic that distinguishes it from the more horizon-specific risks (WEF, 2026). The WEF distinguishes misinformation — the inadvertent spread of false information — from disinformation, which involves deliberate deployment for political or commercial advantage (WEF, 2026). A Reuters Institute survey found that 58% of respondents globally are concerned about their ability to distinguish truth from falsehood in online news (Reuters Institute, 2025), and the lowering of production costs for synthetic media through artificial intelligence has enabled state and non-state actors to sustain persistent information operations at a scale previously impossible.</w:t>
      </w:r>
    </w:p>
    <w:p>
      <w:pPr>
        <w:pStyle w:val="Heading2"/>
        <w:spacing w:after="120" w:before="240"/>
      </w:pPr>
      <w:r>
        <w:rPr>
          <w:rFonts w:ascii="Arial" w:cs="Arial" w:eastAsia="Arial" w:hAnsi="Arial"/>
          <w:b/>
          <w:bCs/>
          <w:sz w:val="25"/>
          <w:szCs w:val="25"/>
        </w:rPr>
        <w:t xml:space="preserve">3.2  Theoretical Frameworks and Sustainability Implications</w:t>
      </w:r>
    </w:p>
    <w:p>
      <w:pPr>
        <w:spacing w:after="200" w:line="360"/>
        <w:jc w:val="both"/>
      </w:pPr>
      <w:r>
        <w:rPr>
          <w:rFonts w:ascii="Arial" w:cs="Arial" w:eastAsia="Arial" w:hAnsi="Arial"/>
          <w:sz w:val="24"/>
          <w:szCs w:val="24"/>
        </w:rPr>
        <w:t xml:space="preserve">Digital platform architecture incentivises engagement over accuracy, with algorithmic amplification favouring emotionally divisive content (Vosoughi et al., 2018). Cook et al. (2013) found that 97% of actively publishing climate scientists affirm anthropogenic warming, yet organised denial campaigns maintain public scepticism beyond what scientific uncertainty warrants, eroding the political cost-tolerance for climate regulation that SDG 13 requires. Zuboff's (2019) analysis of surveillance capitalism demonstrates that platform business models are architecturally incompatible with epistemic health: engagement maximisation and truth maximisation are in structural tension, and absent regulatory intervention, platforms have no commercial incentive to resolve that tension in favour of accuracy. Ostrom's (1990) research established that effective collective resource management depends on communication, trust, and enforcement capacity — precisely the institutional prerequisites that widespread disinformation degrades. The WEF records that 68% of countries surveyed experienced rule-of-law decline in 2025, with 83% of OECD members scoring lower than in the previous year (WEF, 2026), suggesting that informational disorder is translating into measurable institutional erosion relevant to SDG 16.</w:t>
      </w:r>
    </w:p>
    <w:p>
      <w:pPr>
        <w:pStyle w:val="Heading2"/>
        <w:spacing w:after="120" w:before="240"/>
      </w:pPr>
      <w:r>
        <w:rPr>
          <w:rFonts w:ascii="Arial" w:cs="Arial" w:eastAsia="Arial" w:hAnsi="Arial"/>
          <w:b/>
          <w:bCs/>
          <w:sz w:val="25"/>
          <w:szCs w:val="25"/>
        </w:rPr>
        <w:t xml:space="preserve">3.3  Critical Assessment</w:t>
      </w:r>
    </w:p>
    <w:p>
      <w:pPr>
        <w:spacing w:after="200" w:line="360"/>
        <w:jc w:val="both"/>
      </w:pPr>
      <w:r>
        <w:rPr>
          <w:rFonts w:ascii="Arial" w:cs="Arial" w:eastAsia="Arial" w:hAnsi="Arial"/>
          <w:sz w:val="24"/>
          <w:szCs w:val="24"/>
        </w:rPr>
        <w:t xml:space="preserve">The WEF identifies the risk accurately but, in this report's assessment, stops short of structural governance solutions. The 2026 edition favours multi-stakeholder engagement whilst avoiding explicit advocacy for platform regulation — a restraint that may reflect the composition of the report's authoring network, which includes major technology stakeholders. Simon's (1981) optimistic argument that information markets self-correct through reputational mechanisms deserves acknowledgement; but the empirical record of social media's role in Brexit disinformation (Cadwalladr, 2019), Covid-19 misinformation (Roozenbeek et al., 2020), and climate denial campaigns (Supran &amp; Oreskes, 2017) indicates that self-correction fails precisely where the stakes are highest. Ostrom's (1990) principles — defined boundaries, congruent rules, graduated sanctions, and collective choice arrangements — provide a well-established framework for treating digital information ecosystems as common-pool resources, and the WEF's failure to apply this framework is a substantive gap. More fundamentally, misinformation and geoeconomic confrontation are presented as parallel risks when they are better understood as causally connected: state actors routinely deploy information operations as instruments of economic confrontation, and a risk framework that treats them as analytically independent will systematically underestimate the severity of both.</w:t>
      </w:r>
    </w:p>
    <w:p>
      <w:pPr>
        <w:pStyle w:val="Heading1"/>
        <w:spacing w:after="160" w:before="320"/>
      </w:pPr>
      <w:r>
        <w:rPr>
          <w:rFonts w:ascii="Arial" w:cs="Arial" w:eastAsia="Arial" w:hAnsi="Arial"/>
          <w:b/>
          <w:bCs/>
          <w:sz w:val="28"/>
          <w:szCs w:val="28"/>
        </w:rPr>
        <w:t xml:space="preserve">4.0  Risk 3: Economic Downturn</w:t>
      </w:r>
    </w:p>
    <w:p>
      <w:pPr>
        <w:pStyle w:val="Heading2"/>
        <w:spacing w:after="120" w:before="240"/>
      </w:pPr>
      <w:r>
        <w:rPr>
          <w:rFonts w:ascii="Arial" w:cs="Arial" w:eastAsia="Arial" w:hAnsi="Arial"/>
          <w:b/>
          <w:bCs/>
          <w:sz w:val="25"/>
          <w:szCs w:val="25"/>
        </w:rPr>
        <w:t xml:space="preserve">4.1  Risk Overview</w:t>
      </w:r>
    </w:p>
    <w:p>
      <w:pPr>
        <w:spacing w:after="200" w:line="360"/>
        <w:jc w:val="both"/>
      </w:pPr>
      <w:r>
        <w:rPr>
          <w:rFonts w:ascii="Arial" w:cs="Arial" w:eastAsia="Arial" w:hAnsi="Arial"/>
          <w:sz w:val="24"/>
          <w:szCs w:val="24"/>
        </w:rPr>
        <w:t xml:space="preserve">Economic downturn recorded one of the largest increases in severity score in the 2026 GRPS, rising eight positions in the two-year rankings (WEF, 2026). The principal drivers are sovereign debt pressures — approximately 45% of OECD sovereign debt matures between 2025 and 2027 — alongside potential asset bubbles in AI infrastructure and persistent inflationary pressures in energy and food markets (WEF, 2026). UNCTAD (2023) projects global growth will struggle to reach 2.6% in 2026, below the post-war historical average. Fiscal headroom for sustainability investment is contracting at precisely the moment that structural transition towards low-carbon economies requires maximum capital allocation, creating a procyclical dynamic in which economic stress and environmental risk reinforce one another.</w:t>
      </w:r>
    </w:p>
    <w:p>
      <w:pPr>
        <w:pStyle w:val="Heading2"/>
        <w:spacing w:after="120" w:before="240"/>
      </w:pPr>
      <w:r>
        <w:rPr>
          <w:rFonts w:ascii="Arial" w:cs="Arial" w:eastAsia="Arial" w:hAnsi="Arial"/>
          <w:b/>
          <w:bCs/>
          <w:sz w:val="25"/>
          <w:szCs w:val="25"/>
        </w:rPr>
        <w:t xml:space="preserve">4.2  Theoretical Frameworks and Sustainability Implications</w:t>
      </w:r>
    </w:p>
    <w:p>
      <w:pPr>
        <w:spacing w:after="200" w:line="360"/>
        <w:jc w:val="both"/>
      </w:pPr>
      <w:r>
        <w:rPr>
          <w:rFonts w:ascii="Arial" w:cs="Arial" w:eastAsia="Arial" w:hAnsi="Arial"/>
          <w:sz w:val="24"/>
          <w:szCs w:val="24"/>
        </w:rPr>
        <w:t xml:space="preserve">Ricardo's (1817) theory of diminishing returns provides a useful frame: as competition for finite productive resources intensifies, returns decline and costs escalate, concentrating wealth whilst reducing the public fiscal surplus available for long-term investment. Romer (1990) challenges this through endogenous growth theory, arguing that technological innovation continuously expands the productivity frontier; but in energy, food, and mineral extraction — the sectors most disrupted by geoeconomic confrontation — Ricardian constraints remain empirically relevant, as rising extraction costs for lower-grade ores confirm (IRENA, 2023). The SDG financing gap stands at $4.2 trillion annually (UNCTAD, 2023), and strong sustainability challenges the weak sustainability assumption that private capital can substitute for that gap. Private capital systematically avoids non-substitutable natural capital — biodiversity, carbon sinks, soil health — because these assets generate no market return, and this category contracts most severely during downturns (Costanza &amp; Daly, 1992). The 2008–2009 financial crisis increased inequality in 21 of 31 OECD countries within three years (Atkinson &amp; Morelli, 2011; OECD, 2011), and Pigou's (1920) externalities framework identifies the underlying market failure: inadequately priced carbon and biodiversity loss mean market signals incentivise risk accumulation precisely when political pressure to reduce corrective regulation is strongest.</w:t>
      </w:r>
    </w:p>
    <w:p>
      <w:pPr>
        <w:pStyle w:val="Heading2"/>
        <w:spacing w:after="120" w:before="240"/>
      </w:pPr>
      <w:r>
        <w:rPr>
          <w:rFonts w:ascii="Arial" w:cs="Arial" w:eastAsia="Arial" w:hAnsi="Arial"/>
          <w:b/>
          <w:bCs/>
          <w:sz w:val="25"/>
          <w:szCs w:val="25"/>
        </w:rPr>
        <w:t xml:space="preserve">4.3  Critical Assessment</w:t>
      </w:r>
    </w:p>
    <w:p>
      <w:pPr>
        <w:spacing w:after="200" w:line="360"/>
        <w:jc w:val="both"/>
      </w:pPr>
      <w:r>
        <w:rPr>
          <w:rFonts w:ascii="Arial" w:cs="Arial" w:eastAsia="Arial" w:hAnsi="Arial"/>
          <w:sz w:val="24"/>
          <w:szCs w:val="24"/>
        </w:rPr>
        <w:t xml:space="preserve">The WEF's implicit treatment of economic stability as a prerequisite for environmental action inverts the causal relationship that ecological economics identifies. Ecosystem collapse generates direct economic shocks through agricultural productivity losses, infrastructure damage, and forced migration (Daly &amp; Farley, 2011); the World Bank (2021) estimates that nature-related economic losses could reach $2.7 trillion annually by 2030 under a partial ecosystem collapse scenario. In this assessment, the WEF's separation of economic and environmental risk categories is not merely a presentational choice — it is a substantive analytical error that leads decision-makers to sequence environmental action after economic stabilisation, when in reality the two are inseparable. Investors applying weak sustainability screens will systematically misjudge the systemic risk embedded in portfolios with high natural capital exposure, including energy, agriculture, and water infrastructure. Romer's (1990) optimism about technological substitution is defensible for renewable energy hardware; it does not extend to the biodiversity, soil health, and hydrological stability on which all productive systems ultimately depend.</w:t>
      </w:r>
    </w:p>
    <w:p>
      <w:pPr>
        <w:pStyle w:val="Heading1"/>
        <w:spacing w:after="160" w:before="320"/>
      </w:pPr>
      <w:r>
        <w:rPr>
          <w:rFonts w:ascii="Arial" w:cs="Arial" w:eastAsia="Arial" w:hAnsi="Arial"/>
          <w:b/>
          <w:bCs/>
          <w:sz w:val="28"/>
          <w:szCs w:val="28"/>
        </w:rPr>
        <w:t xml:space="preserve">5.0  Discussion: Interconnections and Sustainability Implications</w:t>
      </w:r>
    </w:p>
    <w:p>
      <w:pPr>
        <w:spacing w:after="200" w:line="360"/>
        <w:jc w:val="both"/>
      </w:pPr>
      <w:r>
        <w:rPr>
          <w:rFonts w:ascii="Arial" w:cs="Arial" w:eastAsia="Arial" w:hAnsi="Arial"/>
          <w:sz w:val="24"/>
          <w:szCs w:val="24"/>
        </w:rPr>
        <w:t xml:space="preserve">The three risks form an interconnected system rather than a set of parallel threats, and Table 1 below maps their individual implications across SDG 13, SDG 10, and SDG 16. Geoeconomic confrontation fuels economic instability through supply chain disruption and technology access restrictions; economic instability intensifies societal polarisation, creating conditions conducive to misinformation; and misinformation reduces governments' capacity to coordinate the multilateral responses that both risks demand. This positive feedback loop collectively degrades the institutional prerequisites for sustainable development (Daly &amp; Farley, 2011).</w:t>
      </w:r>
    </w:p>
    <w:p>
      <w:pPr>
        <w:spacing w:after="100"/>
        <w:jc w:val="center"/>
      </w:pPr>
      <w:r>
        <w:rPr>
          <w:rFonts w:ascii="Arial" w:cs="Arial" w:eastAsia="Arial" w:hAnsi="Arial"/>
          <w:i/>
          <w:iCs/>
          <w:sz w:val="20"/>
          <w:szCs w:val="20"/>
        </w:rPr>
        <w:t xml:space="preserve">Table 1. Mapping of top three two-year WEF risks against key Sustainable Development Goals (Author's own, based on WEF, 2026; UN, 2015)</w:t>
      </w:r>
    </w:p>
    <w:tbl>
      <w:tblPr>
        <w:tblW w:type="dxa" w:w="9320"/>
        <w:tblBorders>
          <w:top w:val="single" w:color="auto" w:sz="4"/>
          <w:left w:val="single" w:color="auto" w:sz="4"/>
          <w:bottom w:val="single" w:color="auto" w:sz="4"/>
          <w:right w:val="single" w:color="auto" w:sz="4"/>
          <w:insideH w:val="single" w:color="auto" w:sz="4"/>
          <w:insideV w:val="single" w:color="auto" w:sz="4"/>
        </w:tblBorders>
      </w:tblPr>
      <w:tblGrid>
        <w:gridCol w:w="2600"/>
        <w:gridCol w:w="2240"/>
        <w:gridCol w:w="2240"/>
        <w:gridCol w:w="2240"/>
      </w:tblGrid>
      <w:tr>
        <w:tc>
          <w:tcPr>
            <w:tcW w:type="dxa" w:w="2600"/>
            <w:tcBorders>
              <w:top w:val="single" w:color="AAAAAA" w:sz="4"/>
              <w:left w:val="single" w:color="AAAAAA" w:sz="4"/>
              <w:bottom w:val="single" w:color="AAAAAA" w:sz="4"/>
              <w:right w:val="single" w:color="AAAAAA" w:sz="4"/>
            </w:tcBorders>
            <w:shd w:fill="D5E0F3" w:val="clear"/>
            <w:tcMar>
              <w:top w:type="dxa" w:w="80"/>
              <w:left w:type="dxa" w:w="120"/>
              <w:bottom w:type="dxa" w:w="80"/>
              <w:right w:type="dxa" w:w="120"/>
            </w:tcMar>
          </w:tcPr>
          <w:p>
            <w:pPr>
              <w:spacing w:after="0"/>
            </w:pPr>
            <w:r>
              <w:rPr>
                <w:rFonts w:ascii="Arial" w:cs="Arial" w:eastAsia="Arial" w:hAnsi="Arial"/>
                <w:b/>
                <w:bCs/>
                <w:sz w:val="20"/>
                <w:szCs w:val="20"/>
              </w:rPr>
              <w:t xml:space="preserve">Risk</w:t>
            </w:r>
          </w:p>
        </w:tc>
        <w:tc>
          <w:tcPr>
            <w:tcW w:type="dxa" w:w="2240"/>
            <w:tcBorders>
              <w:top w:val="single" w:color="AAAAAA" w:sz="4"/>
              <w:left w:val="single" w:color="AAAAAA" w:sz="4"/>
              <w:bottom w:val="single" w:color="AAAAAA" w:sz="4"/>
              <w:right w:val="single" w:color="AAAAAA" w:sz="4"/>
            </w:tcBorders>
            <w:shd w:fill="D5E0F3" w:val="clear"/>
            <w:tcMar>
              <w:top w:type="dxa" w:w="80"/>
              <w:left w:type="dxa" w:w="120"/>
              <w:bottom w:type="dxa" w:w="80"/>
              <w:right w:type="dxa" w:w="120"/>
            </w:tcMar>
          </w:tcPr>
          <w:p>
            <w:pPr>
              <w:spacing w:after="0"/>
            </w:pPr>
            <w:r>
              <w:rPr>
                <w:rFonts w:ascii="Arial" w:cs="Arial" w:eastAsia="Arial" w:hAnsi="Arial"/>
                <w:b/>
                <w:bCs/>
                <w:sz w:val="20"/>
                <w:szCs w:val="20"/>
              </w:rPr>
              <w:t xml:space="preserve">SDG 13 — Climate Action</w:t>
            </w:r>
          </w:p>
        </w:tc>
        <w:tc>
          <w:tcPr>
            <w:tcW w:type="dxa" w:w="2240"/>
            <w:tcBorders>
              <w:top w:val="single" w:color="AAAAAA" w:sz="4"/>
              <w:left w:val="single" w:color="AAAAAA" w:sz="4"/>
              <w:bottom w:val="single" w:color="AAAAAA" w:sz="4"/>
              <w:right w:val="single" w:color="AAAAAA" w:sz="4"/>
            </w:tcBorders>
            <w:shd w:fill="D5E0F3" w:val="clear"/>
            <w:tcMar>
              <w:top w:type="dxa" w:w="80"/>
              <w:left w:type="dxa" w:w="120"/>
              <w:bottom w:type="dxa" w:w="80"/>
              <w:right w:type="dxa" w:w="120"/>
            </w:tcMar>
          </w:tcPr>
          <w:p>
            <w:pPr>
              <w:spacing w:after="0"/>
            </w:pPr>
            <w:r>
              <w:rPr>
                <w:rFonts w:ascii="Arial" w:cs="Arial" w:eastAsia="Arial" w:hAnsi="Arial"/>
                <w:b/>
                <w:bCs/>
                <w:sz w:val="20"/>
                <w:szCs w:val="20"/>
              </w:rPr>
              <w:t xml:space="preserve">SDG 10 — Reduced Inequalities</w:t>
            </w:r>
          </w:p>
        </w:tc>
        <w:tc>
          <w:tcPr>
            <w:tcW w:type="dxa" w:w="2240"/>
            <w:tcBorders>
              <w:top w:val="single" w:color="AAAAAA" w:sz="4"/>
              <w:left w:val="single" w:color="AAAAAA" w:sz="4"/>
              <w:bottom w:val="single" w:color="AAAAAA" w:sz="4"/>
              <w:right w:val="single" w:color="AAAAAA" w:sz="4"/>
            </w:tcBorders>
            <w:shd w:fill="D5E0F3" w:val="clear"/>
            <w:tcMar>
              <w:top w:type="dxa" w:w="80"/>
              <w:left w:type="dxa" w:w="120"/>
              <w:bottom w:type="dxa" w:w="80"/>
              <w:right w:type="dxa" w:w="120"/>
            </w:tcMar>
          </w:tcPr>
          <w:p>
            <w:pPr>
              <w:spacing w:after="0"/>
            </w:pPr>
            <w:r>
              <w:rPr>
                <w:rFonts w:ascii="Arial" w:cs="Arial" w:eastAsia="Arial" w:hAnsi="Arial"/>
                <w:b/>
                <w:bCs/>
                <w:sz w:val="20"/>
                <w:szCs w:val="20"/>
              </w:rPr>
              <w:t xml:space="preserve">SDG 16 — Peace, Justice &amp; Institutions</w:t>
            </w:r>
          </w:p>
        </w:tc>
      </w:tr>
      <w:tr>
        <w:tc>
          <w:tcPr>
            <w:tcW w:type="dxa" w:w="2600"/>
            <w:tcBorders>
              <w:top w:val="single" w:color="AAAAAA" w:sz="4"/>
              <w:left w:val="single" w:color="AAAAAA" w:sz="4"/>
              <w:bottom w:val="single" w:color="AAAAAA" w:sz="4"/>
              <w:right w:val="single" w:color="AAAAAA" w:sz="4"/>
            </w:tcBorders>
            <w:shd w:fill="EEF4FB"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Geoeconomic Confrontation</w:t>
            </w:r>
          </w:p>
        </w:tc>
        <w:tc>
          <w:tcPr>
            <w:tcW w:type="dxa" w:w="2240"/>
            <w:tcBorders>
              <w:top w:val="single" w:color="AAAAAA" w:sz="4"/>
              <w:left w:val="single" w:color="AAAAAA" w:sz="4"/>
              <w:bottom w:val="single" w:color="AAAAAA" w:sz="4"/>
              <w:right w:val="single" w:color="AAAAAA" w:sz="4"/>
            </w:tcBorders>
            <w:shd w:fill="EEF4FB"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Delays low-carbon investment; fragments technology transfer</w:t>
            </w:r>
          </w:p>
        </w:tc>
        <w:tc>
          <w:tcPr>
            <w:tcW w:type="dxa" w:w="2240"/>
            <w:tcBorders>
              <w:top w:val="single" w:color="AAAAAA" w:sz="4"/>
              <w:left w:val="single" w:color="AAAAAA" w:sz="4"/>
              <w:bottom w:val="single" w:color="AAAAAA" w:sz="4"/>
              <w:right w:val="single" w:color="AAAAAA" w:sz="4"/>
            </w:tcBorders>
            <w:shd w:fill="EEF4FB"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Commodity shocks hit lowest-HDI quartile hardest</w:t>
            </w:r>
          </w:p>
        </w:tc>
        <w:tc>
          <w:tcPr>
            <w:tcW w:type="dxa" w:w="2240"/>
            <w:tcBorders>
              <w:top w:val="single" w:color="AAAAAA" w:sz="4"/>
              <w:left w:val="single" w:color="AAAAAA" w:sz="4"/>
              <w:bottom w:val="single" w:color="AAAAAA" w:sz="4"/>
              <w:right w:val="single" w:color="AAAAAA" w:sz="4"/>
            </w:tcBorders>
            <w:shd w:fill="EEF4FB"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Erodes multilateral rules-based order</w:t>
            </w:r>
          </w:p>
        </w:tc>
      </w:tr>
      <w:tr>
        <w:tc>
          <w:tcPr>
            <w:tcW w:type="dxa" w:w="2600"/>
            <w:tcBorders>
              <w:top w:val="single" w:color="AAAAAA" w:sz="4"/>
              <w:left w:val="single" w:color="AAAAAA" w:sz="4"/>
              <w:bottom w:val="single" w:color="AAAAAA" w:sz="4"/>
              <w:right w:val="single" w:color="AAAAAA" w:sz="4"/>
            </w:tcBorders>
            <w:shd w:fill="FFFFFF"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Misinformation &amp; Disinformation</w:t>
            </w:r>
          </w:p>
        </w:tc>
        <w:tc>
          <w:tcPr>
            <w:tcW w:type="dxa" w:w="2240"/>
            <w:tcBorders>
              <w:top w:val="single" w:color="AAAAAA" w:sz="4"/>
              <w:left w:val="single" w:color="AAAAAA" w:sz="4"/>
              <w:bottom w:val="single" w:color="AAAAAA" w:sz="4"/>
              <w:right w:val="single" w:color="AAAAAA" w:sz="4"/>
            </w:tcBorders>
            <w:shd w:fill="FFFFFF"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Sustains climate scepticism; reduces policy mandate</w:t>
            </w:r>
          </w:p>
        </w:tc>
        <w:tc>
          <w:tcPr>
            <w:tcW w:type="dxa" w:w="2240"/>
            <w:tcBorders>
              <w:top w:val="single" w:color="AAAAAA" w:sz="4"/>
              <w:left w:val="single" w:color="AAAAAA" w:sz="4"/>
              <w:bottom w:val="single" w:color="AAAAAA" w:sz="4"/>
              <w:right w:val="single" w:color="AAAAAA" w:sz="4"/>
            </w:tcBorders>
            <w:shd w:fill="FFFFFF"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Amplifies polarisation; mutes marginalised voices</w:t>
            </w:r>
          </w:p>
        </w:tc>
        <w:tc>
          <w:tcPr>
            <w:tcW w:type="dxa" w:w="2240"/>
            <w:tcBorders>
              <w:top w:val="single" w:color="AAAAAA" w:sz="4"/>
              <w:left w:val="single" w:color="AAAAAA" w:sz="4"/>
              <w:bottom w:val="single" w:color="AAAAAA" w:sz="4"/>
              <w:right w:val="single" w:color="AAAAAA" w:sz="4"/>
            </w:tcBorders>
            <w:shd w:fill="FFFFFF"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Degrades trust, rule-of-law, democratic accountability</w:t>
            </w:r>
          </w:p>
        </w:tc>
      </w:tr>
      <w:tr>
        <w:tc>
          <w:tcPr>
            <w:tcW w:type="dxa" w:w="2600"/>
            <w:tcBorders>
              <w:top w:val="single" w:color="AAAAAA" w:sz="4"/>
              <w:left w:val="single" w:color="AAAAAA" w:sz="4"/>
              <w:bottom w:val="single" w:color="AAAAAA" w:sz="4"/>
              <w:right w:val="single" w:color="AAAAAA" w:sz="4"/>
            </w:tcBorders>
            <w:shd w:fill="EEF4FB"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Economic Downturn</w:t>
            </w:r>
          </w:p>
        </w:tc>
        <w:tc>
          <w:tcPr>
            <w:tcW w:type="dxa" w:w="2240"/>
            <w:tcBorders>
              <w:top w:val="single" w:color="AAAAAA" w:sz="4"/>
              <w:left w:val="single" w:color="AAAAAA" w:sz="4"/>
              <w:bottom w:val="single" w:color="AAAAAA" w:sz="4"/>
              <w:right w:val="single" w:color="AAAAAA" w:sz="4"/>
            </w:tcBorders>
            <w:shd w:fill="EEF4FB"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Cuts sustainability investment; weakens carbon pricing</w:t>
            </w:r>
          </w:p>
        </w:tc>
        <w:tc>
          <w:tcPr>
            <w:tcW w:type="dxa" w:w="2240"/>
            <w:tcBorders>
              <w:top w:val="single" w:color="AAAAAA" w:sz="4"/>
              <w:left w:val="single" w:color="AAAAAA" w:sz="4"/>
              <w:bottom w:val="single" w:color="AAAAAA" w:sz="4"/>
              <w:right w:val="single" w:color="AAAAAA" w:sz="4"/>
            </w:tcBorders>
            <w:shd w:fill="EEF4FB"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Raises Gini; concentrates austerity on vulnerable groups</w:t>
            </w:r>
          </w:p>
        </w:tc>
        <w:tc>
          <w:tcPr>
            <w:tcW w:type="dxa" w:w="2240"/>
            <w:tcBorders>
              <w:top w:val="single" w:color="AAAAAA" w:sz="4"/>
              <w:left w:val="single" w:color="AAAAAA" w:sz="4"/>
              <w:bottom w:val="single" w:color="AAAAAA" w:sz="4"/>
              <w:right w:val="single" w:color="AAAAAA" w:sz="4"/>
            </w:tcBorders>
            <w:shd w:fill="EEF4FB" w:val="clear"/>
            <w:tcMar>
              <w:top w:type="dxa" w:w="80"/>
              <w:left w:type="dxa" w:w="120"/>
              <w:bottom w:type="dxa" w:w="80"/>
              <w:right w:type="dxa" w:w="120"/>
            </w:tcMar>
          </w:tcPr>
          <w:p>
            <w:pPr>
              <w:spacing w:after="0"/>
            </w:pPr>
            <w:r>
              <w:rPr>
                <w:rFonts w:ascii="Arial" w:cs="Arial" w:eastAsia="Arial" w:hAnsi="Arial"/>
                <w:b w:val="false"/>
                <w:bCs w:val="false"/>
                <w:sz w:val="20"/>
                <w:szCs w:val="20"/>
              </w:rPr>
              <w:t xml:space="preserve">Fiscal stress weakens institutional capacity</w:t>
            </w:r>
          </w:p>
        </w:tc>
      </w:tr>
    </w:tbl>
    <w:p>
      <w:pPr>
        <w:spacing w:after="200"/>
      </w:pPr>
    </w:p>
    <w:p>
      <w:pPr>
        <w:spacing w:after="200" w:line="360"/>
        <w:jc w:val="both"/>
      </w:pPr>
      <w:r>
        <w:rPr>
          <w:rFonts w:ascii="Arial" w:cs="Arial" w:eastAsia="Arial" w:hAnsi="Arial"/>
          <w:sz w:val="24"/>
          <w:szCs w:val="24"/>
        </w:rPr>
        <w:t xml:space="preserve">The weak versus strong sustainability distinction clarifies what is at stake. Weak sustainability would permit substitution of depleted natural capital with manufactured alternatives provided economic growth continues (Solow, 1974; Hartwick, 1977). The convergence of these three risks makes even this weaker standard unattainable: geoeconomic confrontation restricts the technology transfer required for substitution; economic downturn reduces the capital to fund it; and misinformation undermines the democratic consensus to mandate it. Dyllick and Muff (2016) argue that genuinely sustainable business — Business Sustainability 3.0 — defines value in terms of societal contribution rather than capital substitution. The current risk environment makes that framing not idealistic but structurally necessary. The WEF's own identification of inequality as the most interconnected global risk for the second consecutive year (WEF, 2026) points toward a conclusion the report stops short of drawing: that reducing inequality, strengthening institutions, and protecting natural capital are not separate policy domains but components of a single systemic response.</w:t>
      </w:r>
    </w:p>
    <w:p>
      <w:pPr>
        <w:spacing w:after="200" w:line="360"/>
        <w:jc w:val="both"/>
      </w:pPr>
      <w:r>
        <w:rPr>
          <w:rFonts w:ascii="Arial" w:cs="Arial" w:eastAsia="Arial" w:hAnsi="Arial"/>
          <w:sz w:val="24"/>
          <w:szCs w:val="24"/>
        </w:rPr>
        <w:t xml:space="preserve">This report's independent assessment is that the WEF 2026 edition is analytically strongest on risk description and weakest on structural prescription. Its governance recommendations are constrained by the composition of its authoring network, its categorisation of risks as parallel rather than causally linked understates their combined severity, and its implicit sequencing — stabilise economics first, then address sustainability — is precisely the logic that produced the current impasse. The report's most valuable contribution is empirical: the GRPS data, the quantification of institutional erosion, and the identification of inequality as the meta-risk are genuine advances in how the risk landscape is understood. The analytical framework in which those data are embedded is less coherent.</w:t>
      </w:r>
    </w:p>
    <w:p>
      <w:pPr>
        <w:pStyle w:val="Heading1"/>
        <w:spacing w:after="160" w:before="320"/>
      </w:pPr>
      <w:r>
        <w:rPr>
          <w:rFonts w:ascii="Arial" w:cs="Arial" w:eastAsia="Arial" w:hAnsi="Arial"/>
          <w:b/>
          <w:bCs/>
          <w:sz w:val="28"/>
          <w:szCs w:val="28"/>
        </w:rPr>
        <w:t xml:space="preserve">6.0  Recommendations</w:t>
      </w:r>
    </w:p>
    <w:p>
      <w:pPr>
        <w:pStyle w:val="Heading2"/>
        <w:spacing w:after="120" w:before="240"/>
      </w:pPr>
      <w:r>
        <w:rPr>
          <w:rFonts w:ascii="Arial" w:cs="Arial" w:eastAsia="Arial" w:hAnsi="Arial"/>
          <w:b/>
          <w:bCs/>
          <w:sz w:val="25"/>
          <w:szCs w:val="25"/>
        </w:rPr>
        <w:t xml:space="preserve">6.1  Internalise Environmental Externalities Across Corporate Strategy</w:t>
      </w:r>
    </w:p>
    <w:p>
      <w:pPr>
        <w:spacing w:after="200" w:line="360"/>
        <w:jc w:val="both"/>
      </w:pPr>
      <w:r>
        <w:rPr>
          <w:rFonts w:ascii="Arial" w:cs="Arial" w:eastAsia="Arial" w:hAnsi="Arial"/>
          <w:sz w:val="24"/>
          <w:szCs w:val="24"/>
        </w:rPr>
        <w:t xml:space="preserve">Carbon pricing currently covers 23% of global greenhouse gas emissions (World Bank, 2023b). Porter and van der Linde (1995) demonstrate that well-designed environmental regulation stimulates innovation rather than suppressing it, making green industrial policy commercially rational as well as strategically necessary. Businesses should align capital allocation with science-based targets verified through the SBTi (2023) and advocate for extended producer responsibility covering critical minerals and battery technologies. Apple's transition to 100% recycled aluminium in its MacBook line — reducing upstream mining pressure without sacrificing product performance — illustrates that this move is operationally feasible at scale, not aspirational (Apple, 2023). Internalising lifecycle costs is the first and most impactful lever, because it converts the mispricing that Pigou (1920) identified from an externality into a boardroom variable.</w:t>
      </w:r>
    </w:p>
    <w:p>
      <w:pPr>
        <w:pStyle w:val="Heading2"/>
        <w:spacing w:after="120" w:before="240"/>
      </w:pPr>
      <w:r>
        <w:rPr>
          <w:rFonts w:ascii="Arial" w:cs="Arial" w:eastAsia="Arial" w:hAnsi="Arial"/>
          <w:b/>
          <w:bCs/>
          <w:sz w:val="25"/>
          <w:szCs w:val="25"/>
        </w:rPr>
        <w:t xml:space="preserve">6.2  Transition Supply Chains to Circular Industrial Ecology Models</w:t>
      </w:r>
    </w:p>
    <w:p>
      <w:pPr>
        <w:spacing w:after="200" w:line="360"/>
        <w:jc w:val="both"/>
      </w:pPr>
      <w:r>
        <w:rPr>
          <w:rFonts w:ascii="Arial" w:cs="Arial" w:eastAsia="Arial" w:hAnsi="Arial"/>
          <w:sz w:val="24"/>
          <w:szCs w:val="24"/>
        </w:rPr>
        <w:t xml:space="preserve">Graedel and Allenby (2010) argue that industrial systems should close material loops so that all outputs serve as inputs elsewhere. The Ellen MacArthur Foundation (2019) estimates circular transitions could reduce global material consumption by 28% by 2050 whilst sustaining growth. Procurement directors should, as a near-term action, map Tier 2 and Tier 3 supply chain dependencies on geopolitically concentrated minerals and invest in alternative sourcing. Renault's refurbishment factory in Flins — which remanufactures end-of-life vehicle components rather than extracting virgin materials — provides a replicable model: by retaining material value within a closed loop, the plant reduces both geopolitical supply exposure and embodied carbon (Renault Group, 2022).</w:t>
      </w:r>
    </w:p>
    <w:p>
      <w:pPr>
        <w:pStyle w:val="Heading2"/>
        <w:spacing w:after="120" w:before="240"/>
      </w:pPr>
      <w:r>
        <w:rPr>
          <w:rFonts w:ascii="Arial" w:cs="Arial" w:eastAsia="Arial" w:hAnsi="Arial"/>
          <w:b/>
          <w:bCs/>
          <w:sz w:val="25"/>
          <w:szCs w:val="25"/>
        </w:rPr>
        <w:t xml:space="preserve">6.3  Reform Digital Platform Governance Through Structural Regulation</w:t>
      </w:r>
    </w:p>
    <w:p>
      <w:pPr>
        <w:spacing w:after="200" w:line="360"/>
        <w:jc w:val="both"/>
      </w:pPr>
      <w:r>
        <w:rPr>
          <w:rFonts w:ascii="Arial" w:cs="Arial" w:eastAsia="Arial" w:hAnsi="Arial"/>
          <w:sz w:val="24"/>
          <w:szCs w:val="24"/>
        </w:rPr>
        <w:t xml:space="preserve">Digital literacy programmes address the demand side of misinformation without reforming the supply-side incentives generating it. Ostrom's (1990) governance principles provide a framework for regulating digital information ecosystems as common-pool resources: mandatory algorithmic transparency and liability for amplified disinformation would reform structural incentives rather than manage their consequences, directly supporting SDG 16. The EU Digital Services Act (2022) establishes precisely this model — requiring platforms to audit algorithmic systems, disclose recommender logic, and accept liability for systemic harms — and businesses operating in EU markets should treat compliance as a minimum rather than a burden. Narrative attack scenarios should be incorporated into reputational risk assessments given misinformation's status as a top-five risk across all WEF time horizons.</w:t>
      </w:r>
    </w:p>
    <w:p>
      <w:pPr>
        <w:pStyle w:val="Heading2"/>
        <w:spacing w:after="120" w:before="240"/>
      </w:pPr>
      <w:r>
        <w:rPr>
          <w:rFonts w:ascii="Arial" w:cs="Arial" w:eastAsia="Arial" w:hAnsi="Arial"/>
          <w:b/>
          <w:bCs/>
          <w:sz w:val="25"/>
          <w:szCs w:val="25"/>
        </w:rPr>
        <w:t xml:space="preserve">6.4  Protect Sustainability Investment Through Counter-Cyclical Finance</w:t>
      </w:r>
    </w:p>
    <w:p>
      <w:pPr>
        <w:spacing w:after="200" w:line="360"/>
        <w:jc w:val="both"/>
      </w:pPr>
      <w:r>
        <w:rPr>
          <w:rFonts w:ascii="Arial" w:cs="Arial" w:eastAsia="Arial" w:hAnsi="Arial"/>
          <w:sz w:val="24"/>
          <w:szCs w:val="24"/>
        </w:rPr>
        <w:t xml:space="preserve">Counter-cyclical green spending rules — analogous to automatic fiscal stabilisers but directed at sustainability investment floors — would prevent the rollback of SDG-aligned expenditure during recessions. Multilateral development banks should expand concessional climate finance for lower-HDI countries facing debt distress, using the Bridgetown Initiative (Barbados, 2022) as the structural template for embedding climate resilience in sovereign debt restructuring. The priority should be strong sustainability investments — ecosystem protection, natural capital accounting, and payments for ecosystem services — rather than solely manufactured green infrastructure. Weak sustainability frameworks over-weight the latter because it generates measurable returns; strong sustainability requires resisting that bias precisely when fiscal pressure is greatest.</w:t>
      </w:r>
    </w:p>
    <w:p>
      <w:pPr>
        <w:pStyle w:val="Heading1"/>
        <w:spacing w:after="160" w:before="320"/>
      </w:pPr>
      <w:r>
        <w:rPr>
          <w:rFonts w:ascii="Arial" w:cs="Arial" w:eastAsia="Arial" w:hAnsi="Arial"/>
          <w:b/>
          <w:bCs/>
          <w:sz w:val="28"/>
          <w:szCs w:val="28"/>
        </w:rPr>
        <w:t xml:space="preserve">7.0  Conclusion</w:t>
      </w:r>
    </w:p>
    <w:p>
      <w:pPr>
        <w:spacing w:after="200" w:line="360"/>
        <w:jc w:val="both"/>
      </w:pPr>
      <w:r>
        <w:rPr>
          <w:rFonts w:ascii="Arial" w:cs="Arial" w:eastAsia="Arial" w:hAnsi="Arial"/>
          <w:sz w:val="24"/>
          <w:szCs w:val="24"/>
        </w:rPr>
        <w:t xml:space="preserve">The WEF Global Risks Report 2026 documents a juncture at which short-term crisis management is displacing long-term sustainability action across all three risk categories analysed here. Geoeconomic confrontation dismantles the institutional prerequisites for environmental governance; economic instability reduces fiscal capacity for sustainability investment; and misinformation corrodes the democratic accountability through which both might otherwise be managed. This report's central assessment is that these risks are not coincidentally occurring together — they are generated by the same institutional failures the SDG framework was designed to address: inadequately priced externalities, fragmented governance, and short-termist political incentives. Addressing them requires treating sustainability not as a separate policy domain to be protected from economic pressures, but as the condition of possibility for the economic and institutional stability that policymakers are trying to protect.</w:t>
      </w:r>
    </w:p>
    <w:p>
      <w:pPr>
        <w:spacing w:after="200" w:line="360"/>
        <w:jc w:val="both"/>
      </w:pPr>
      <w:r>
        <w:rPr>
          <w:rFonts w:ascii="Arial" w:cs="Arial" w:eastAsia="Arial" w:hAnsi="Arial"/>
          <w:sz w:val="24"/>
          <w:szCs w:val="24"/>
        </w:rPr>
        <w:t xml:space="preserve">For businesses, the most consequential implication is strategic rather than operational. Firms that treat the 2026 risk landscape as a series of discrete supply chain, reputational, and regulatory problems will find themselves managing the symptoms of a systemic failure without addressing its causes. The report's finding that inequality is the most interconnected global risk — present in the top ten across all three time horizons — points toward the conclusion that the firms best positioned to navigate this environment are those that have embedded social value creation into their core operating logic rather than appended it as a reporting obligation. Strong sustainability, as Dyllick and Muff (2016) and Daly and Farley (2011) both argue from different directions, is not the more demanding standard: it is the only one whose internal logic is consistent with the world that the WEF 2026 report describes.</w:t>
      </w:r>
    </w:p>
    <w:p>
      <w:pPr>
        <w:pStyle w:val="Heading1"/>
        <w:spacing w:after="160" w:before="320"/>
      </w:pPr>
      <w:r>
        <w:rPr>
          <w:rFonts w:ascii="Arial" w:cs="Arial" w:eastAsia="Arial" w:hAnsi="Arial"/>
          <w:b/>
          <w:bCs/>
          <w:sz w:val="28"/>
          <w:szCs w:val="28"/>
        </w:rPr>
        <w:t xml:space="preserve">References</w:t>
      </w:r>
    </w:p>
    <w:p>
      <w:pPr>
        <w:spacing w:after="160" w:line="320"/>
        <w:ind w:left="720" w:hanging="720"/>
      </w:pPr>
      <w:r>
        <w:rPr>
          <w:rFonts w:ascii="Arial" w:cs="Arial" w:eastAsia="Arial" w:hAnsi="Arial"/>
          <w:sz w:val="22"/>
          <w:szCs w:val="22"/>
        </w:rPr>
        <w:t xml:space="preserve">Apple. (2023). </w:t>
      </w:r>
      <w:r>
        <w:rPr>
          <w:rFonts w:ascii="Arial" w:cs="Arial" w:eastAsia="Arial" w:hAnsi="Arial"/>
          <w:i/>
          <w:iCs/>
          <w:sz w:val="22"/>
          <w:szCs w:val="22"/>
        </w:rPr>
        <w:t xml:space="preserve">Apple environmental progress report 2023</w:t>
      </w:r>
      <w:r>
        <w:rPr>
          <w:rFonts w:ascii="Arial" w:cs="Arial" w:eastAsia="Arial" w:hAnsi="Arial"/>
          <w:sz w:val="22"/>
          <w:szCs w:val="22"/>
        </w:rPr>
        <w:t xml:space="preserve">. Apple Inc. </w:t>
      </w:r>
      <w:hyperlink w:history="1" r:id="rIdra-fnmfpxkkzluskjs7lc">
        <w:r>
          <w:rPr>
            <w:rFonts w:ascii="Arial" w:cs="Arial" w:eastAsia="Arial" w:hAnsi="Arial"/>
            <w:color w:val="1155CC"/>
            <w:sz w:val="22"/>
            <w:szCs w:val="22"/>
            <w:u w:val="single"/>
          </w:rPr>
          <w:t xml:space="preserve">https://www.apple.com/environment/pdf/Apple_Environmental_Progress_Report_2023.pdf</w:t>
        </w:r>
      </w:hyperlink>
    </w:p>
    <w:p>
      <w:pPr>
        <w:spacing w:after="160" w:line="320"/>
        <w:ind w:left="720" w:hanging="720"/>
      </w:pPr>
      <w:r>
        <w:rPr>
          <w:rFonts w:ascii="Arial" w:cs="Arial" w:eastAsia="Arial" w:hAnsi="Arial"/>
          <w:sz w:val="22"/>
          <w:szCs w:val="22"/>
        </w:rPr>
        <w:t xml:space="preserve">Atkinson, A. B., &amp; Morelli, S. (2011). Economic crises and inequality. </w:t>
      </w:r>
      <w:r>
        <w:rPr>
          <w:rFonts w:ascii="Arial" w:cs="Arial" w:eastAsia="Arial" w:hAnsi="Arial"/>
          <w:i/>
          <w:iCs/>
          <w:sz w:val="22"/>
          <w:szCs w:val="22"/>
        </w:rPr>
        <w:t xml:space="preserve">United Nations Development Programme Human Development Research Paper 2011/06</w:t>
      </w:r>
      <w:r>
        <w:rPr>
          <w:rFonts w:ascii="Arial" w:cs="Arial" w:eastAsia="Arial" w:hAnsi="Arial"/>
          <w:sz w:val="22"/>
          <w:szCs w:val="22"/>
        </w:rPr>
        <w:t xml:space="preserve">. </w:t>
      </w:r>
      <w:hyperlink w:history="1" r:id="rIdbcbsnk0ck90ctt1-4unlj">
        <w:r>
          <w:rPr>
            <w:rFonts w:ascii="Arial" w:cs="Arial" w:eastAsia="Arial" w:hAnsi="Arial"/>
            <w:color w:val="1155CC"/>
            <w:sz w:val="22"/>
            <w:szCs w:val="22"/>
            <w:u w:val="single"/>
          </w:rPr>
          <w:t xml:space="preserve">https://hdr.undp.org/content/economic-crises-and-inequality</w:t>
        </w:r>
      </w:hyperlink>
    </w:p>
    <w:p>
      <w:pPr>
        <w:spacing w:after="160" w:line="320"/>
        <w:ind w:left="720" w:hanging="720"/>
      </w:pPr>
      <w:r>
        <w:rPr>
          <w:rFonts w:ascii="Arial" w:cs="Arial" w:eastAsia="Arial" w:hAnsi="Arial"/>
          <w:sz w:val="22"/>
          <w:szCs w:val="22"/>
        </w:rPr>
        <w:t xml:space="preserve">Barbados. (2022). </w:t>
      </w:r>
      <w:r>
        <w:rPr>
          <w:rFonts w:ascii="Arial" w:cs="Arial" w:eastAsia="Arial" w:hAnsi="Arial"/>
          <w:i/>
          <w:iCs/>
          <w:sz w:val="22"/>
          <w:szCs w:val="22"/>
        </w:rPr>
        <w:t xml:space="preserve">Bridgetown Initiative for the reform of the global financial architecture</w:t>
      </w:r>
      <w:r>
        <w:rPr>
          <w:rFonts w:ascii="Arial" w:cs="Arial" w:eastAsia="Arial" w:hAnsi="Arial"/>
          <w:sz w:val="22"/>
          <w:szCs w:val="22"/>
        </w:rPr>
        <w:t xml:space="preserve">. Government of Barbados. </w:t>
      </w:r>
      <w:hyperlink w:history="1" r:id="rIdxv86dl8sftvk0nsf1qanx">
        <w:r>
          <w:rPr>
            <w:rFonts w:ascii="Arial" w:cs="Arial" w:eastAsia="Arial" w:hAnsi="Arial"/>
            <w:color w:val="1155CC"/>
            <w:sz w:val="22"/>
            <w:szCs w:val="22"/>
            <w:u w:val="single"/>
          </w:rPr>
          <w:t xml:space="preserve">https://www.foreign.gov.bb/bridgetown-initiative/</w:t>
        </w:r>
      </w:hyperlink>
    </w:p>
    <w:p>
      <w:pPr>
        <w:spacing w:after="160" w:line="320"/>
        <w:ind w:left="720" w:hanging="720"/>
      </w:pPr>
      <w:r>
        <w:rPr>
          <w:rFonts w:ascii="Arial" w:cs="Arial" w:eastAsia="Arial" w:hAnsi="Arial"/>
          <w:sz w:val="22"/>
          <w:szCs w:val="22"/>
        </w:rPr>
        <w:t xml:space="preserve">Brundtland Commission. (1987). </w:t>
      </w:r>
      <w:r>
        <w:rPr>
          <w:rFonts w:ascii="Arial" w:cs="Arial" w:eastAsia="Arial" w:hAnsi="Arial"/>
          <w:i/>
          <w:iCs/>
          <w:sz w:val="22"/>
          <w:szCs w:val="22"/>
        </w:rPr>
        <w:t xml:space="preserve">Our common future: Report of the World Commission on Environment and Development</w:t>
      </w:r>
      <w:r>
        <w:rPr>
          <w:rFonts w:ascii="Arial" w:cs="Arial" w:eastAsia="Arial" w:hAnsi="Arial"/>
          <w:sz w:val="22"/>
          <w:szCs w:val="22"/>
        </w:rPr>
        <w:t xml:space="preserve">. Oxford University Press. </w:t>
      </w:r>
      <w:hyperlink w:history="1" r:id="rId9i9pm-zdyfnowphc4dbke">
        <w:r>
          <w:rPr>
            <w:rFonts w:ascii="Arial" w:cs="Arial" w:eastAsia="Arial" w:hAnsi="Arial"/>
            <w:color w:val="1155CC"/>
            <w:sz w:val="22"/>
            <w:szCs w:val="22"/>
            <w:u w:val="single"/>
          </w:rPr>
          <w:t xml:space="preserve">https://sustainabledevelopment.un.org/content/documents/5987our-common-future.pdf</w:t>
        </w:r>
      </w:hyperlink>
    </w:p>
    <w:p>
      <w:pPr>
        <w:spacing w:after="160" w:line="320"/>
        <w:ind w:left="720" w:hanging="720"/>
      </w:pPr>
      <w:r>
        <w:rPr>
          <w:rFonts w:ascii="Arial" w:cs="Arial" w:eastAsia="Arial" w:hAnsi="Arial"/>
          <w:sz w:val="22"/>
          <w:szCs w:val="22"/>
        </w:rPr>
        <w:t xml:space="preserve">Cadwalladr, C. (2019). Facebook's role in Brexit — and the threat to democracy. </w:t>
      </w:r>
      <w:r>
        <w:rPr>
          <w:rFonts w:ascii="Arial" w:cs="Arial" w:eastAsia="Arial" w:hAnsi="Arial"/>
          <w:i/>
          <w:iCs/>
          <w:sz w:val="22"/>
          <w:szCs w:val="22"/>
        </w:rPr>
        <w:t xml:space="preserve">TED2019</w:t>
      </w:r>
      <w:r>
        <w:rPr>
          <w:rFonts w:ascii="Arial" w:cs="Arial" w:eastAsia="Arial" w:hAnsi="Arial"/>
          <w:sz w:val="22"/>
          <w:szCs w:val="22"/>
        </w:rPr>
        <w:t xml:space="preserve">. </w:t>
      </w:r>
      <w:hyperlink w:history="1" r:id="rIdndxwjqyygm1o52nv6aqci">
        <w:r>
          <w:rPr>
            <w:rFonts w:ascii="Arial" w:cs="Arial" w:eastAsia="Arial" w:hAnsi="Arial"/>
            <w:color w:val="1155CC"/>
            <w:sz w:val="22"/>
            <w:szCs w:val="22"/>
            <w:u w:val="single"/>
          </w:rPr>
          <w:t xml:space="preserve">https://www.ted.com/talks/carole_cadwalladr_facebook_s_role_in_brexit_and_the_threat_to_democracy</w:t>
        </w:r>
      </w:hyperlink>
    </w:p>
    <w:p>
      <w:pPr>
        <w:spacing w:after="160" w:line="320"/>
        <w:ind w:left="720" w:hanging="720"/>
      </w:pPr>
      <w:r>
        <w:rPr>
          <w:rFonts w:ascii="Arial" w:cs="Arial" w:eastAsia="Arial" w:hAnsi="Arial"/>
          <w:sz w:val="22"/>
          <w:szCs w:val="22"/>
        </w:rPr>
        <w:t xml:space="preserve">Cook, J., Nuccitelli, D., Green, S. A., Richardson, M., Winkler, B., Painting, R., Way, R., Jacobs, P., &amp; Skuce, A. (2013). Quantifying the consensus on anthropogenic global warming in the scientific literature. </w:t>
      </w:r>
      <w:r>
        <w:rPr>
          <w:rFonts w:ascii="Arial" w:cs="Arial" w:eastAsia="Arial" w:hAnsi="Arial"/>
          <w:i/>
          <w:iCs/>
          <w:sz w:val="22"/>
          <w:szCs w:val="22"/>
        </w:rPr>
        <w:t xml:space="preserve">Environmental Research Letters, 8</w:t>
      </w:r>
      <w:r>
        <w:rPr>
          <w:rFonts w:ascii="Arial" w:cs="Arial" w:eastAsia="Arial" w:hAnsi="Arial"/>
          <w:sz w:val="22"/>
          <w:szCs w:val="22"/>
        </w:rPr>
        <w:t xml:space="preserve">(2), 024024. </w:t>
      </w:r>
      <w:hyperlink w:history="1" r:id="rIdgveqtghwi12oh-2o0phot">
        <w:r>
          <w:rPr>
            <w:rFonts w:ascii="Arial" w:cs="Arial" w:eastAsia="Arial" w:hAnsi="Arial"/>
            <w:color w:val="1155CC"/>
            <w:sz w:val="22"/>
            <w:szCs w:val="22"/>
            <w:u w:val="single"/>
          </w:rPr>
          <w:t xml:space="preserve">https://doi.org/10.1088/1748-9326/8/2/024024</w:t>
        </w:r>
      </w:hyperlink>
    </w:p>
    <w:p>
      <w:pPr>
        <w:spacing w:after="160" w:line="320"/>
        <w:ind w:left="720" w:hanging="720"/>
      </w:pPr>
      <w:r>
        <w:rPr>
          <w:rFonts w:ascii="Arial" w:cs="Arial" w:eastAsia="Arial" w:hAnsi="Arial"/>
          <w:sz w:val="22"/>
          <w:szCs w:val="22"/>
        </w:rPr>
        <w:t xml:space="preserve">Costanza, R., &amp; Daly, H. E. (1992). Natural capital and sustainable development. </w:t>
      </w:r>
      <w:r>
        <w:rPr>
          <w:rFonts w:ascii="Arial" w:cs="Arial" w:eastAsia="Arial" w:hAnsi="Arial"/>
          <w:i/>
          <w:iCs/>
          <w:sz w:val="22"/>
          <w:szCs w:val="22"/>
        </w:rPr>
        <w:t xml:space="preserve">Conservation Biology, 6</w:t>
      </w:r>
      <w:r>
        <w:rPr>
          <w:rFonts w:ascii="Arial" w:cs="Arial" w:eastAsia="Arial" w:hAnsi="Arial"/>
          <w:sz w:val="22"/>
          <w:szCs w:val="22"/>
        </w:rPr>
        <w:t xml:space="preserve">(1), 37–46. </w:t>
      </w:r>
      <w:hyperlink w:history="1" r:id="rIdsmfhovnksfsireoch_l42">
        <w:r>
          <w:rPr>
            <w:rFonts w:ascii="Arial" w:cs="Arial" w:eastAsia="Arial" w:hAnsi="Arial"/>
            <w:color w:val="1155CC"/>
            <w:sz w:val="22"/>
            <w:szCs w:val="22"/>
            <w:u w:val="single"/>
          </w:rPr>
          <w:t xml:space="preserve">https://doi.org/10.1046/j.1523-1739.1992.610037.x</w:t>
        </w:r>
      </w:hyperlink>
    </w:p>
    <w:p>
      <w:pPr>
        <w:spacing w:after="160" w:line="320"/>
        <w:ind w:left="720" w:hanging="720"/>
      </w:pPr>
      <w:r>
        <w:rPr>
          <w:rFonts w:ascii="Arial" w:cs="Arial" w:eastAsia="Arial" w:hAnsi="Arial"/>
          <w:sz w:val="22"/>
          <w:szCs w:val="22"/>
        </w:rPr>
        <w:t xml:space="preserve">Daly, H. E. (1990). Toward some operational principles of sustainable development. </w:t>
      </w:r>
      <w:r>
        <w:rPr>
          <w:rFonts w:ascii="Arial" w:cs="Arial" w:eastAsia="Arial" w:hAnsi="Arial"/>
          <w:i/>
          <w:iCs/>
          <w:sz w:val="22"/>
          <w:szCs w:val="22"/>
        </w:rPr>
        <w:t xml:space="preserve">Ecological Economics, 2</w:t>
      </w:r>
      <w:r>
        <w:rPr>
          <w:rFonts w:ascii="Arial" w:cs="Arial" w:eastAsia="Arial" w:hAnsi="Arial"/>
          <w:sz w:val="22"/>
          <w:szCs w:val="22"/>
        </w:rPr>
        <w:t xml:space="preserve">(1), 1–6. </w:t>
      </w:r>
      <w:hyperlink w:history="1" r:id="rIdg9xd8oxgovv2-rd_e9gy9">
        <w:r>
          <w:rPr>
            <w:rFonts w:ascii="Arial" w:cs="Arial" w:eastAsia="Arial" w:hAnsi="Arial"/>
            <w:color w:val="1155CC"/>
            <w:sz w:val="22"/>
            <w:szCs w:val="22"/>
            <w:u w:val="single"/>
          </w:rPr>
          <w:t xml:space="preserve">https://doi.org/10.1016/0921-8009(90)90010-R</w:t>
        </w:r>
      </w:hyperlink>
    </w:p>
    <w:p>
      <w:pPr>
        <w:spacing w:after="160" w:line="320"/>
        <w:ind w:left="720" w:hanging="720"/>
      </w:pPr>
      <w:r>
        <w:rPr>
          <w:rFonts w:ascii="Arial" w:cs="Arial" w:eastAsia="Arial" w:hAnsi="Arial"/>
          <w:sz w:val="22"/>
          <w:szCs w:val="22"/>
        </w:rPr>
        <w:t xml:space="preserve">Daly, H. E., &amp; Farley, J. (2011). </w:t>
      </w:r>
      <w:r>
        <w:rPr>
          <w:rFonts w:ascii="Arial" w:cs="Arial" w:eastAsia="Arial" w:hAnsi="Arial"/>
          <w:i/>
          <w:iCs/>
          <w:sz w:val="22"/>
          <w:szCs w:val="22"/>
        </w:rPr>
        <w:t xml:space="preserve">Ecological economics: Principles and applications</w:t>
      </w:r>
      <w:r>
        <w:rPr>
          <w:rFonts w:ascii="Arial" w:cs="Arial" w:eastAsia="Arial" w:hAnsi="Arial"/>
          <w:sz w:val="22"/>
          <w:szCs w:val="22"/>
        </w:rPr>
        <w:t xml:space="preserve"> (2nd ed.). Island Press. </w:t>
      </w:r>
      <w:hyperlink w:history="1" r:id="rIdzlvkkbmdf4p0xy6lztbmg">
        <w:r>
          <w:rPr>
            <w:rFonts w:ascii="Arial" w:cs="Arial" w:eastAsia="Arial" w:hAnsi="Arial"/>
            <w:color w:val="1155CC"/>
            <w:sz w:val="22"/>
            <w:szCs w:val="22"/>
            <w:u w:val="single"/>
          </w:rPr>
          <w:t xml:space="preserve">https://islandpress.org/books/ecological-economics-second-edition</w:t>
        </w:r>
      </w:hyperlink>
    </w:p>
    <w:p>
      <w:pPr>
        <w:spacing w:after="160" w:line="320"/>
        <w:ind w:left="720" w:hanging="720"/>
      </w:pPr>
      <w:r>
        <w:rPr>
          <w:rFonts w:ascii="Arial" w:cs="Arial" w:eastAsia="Arial" w:hAnsi="Arial"/>
          <w:sz w:val="22"/>
          <w:szCs w:val="22"/>
        </w:rPr>
        <w:t xml:space="preserve">Dinda, S. (2004). Environmental Kuznets Curve hypothesis: A survey. </w:t>
      </w:r>
      <w:r>
        <w:rPr>
          <w:rFonts w:ascii="Arial" w:cs="Arial" w:eastAsia="Arial" w:hAnsi="Arial"/>
          <w:i/>
          <w:iCs/>
          <w:sz w:val="22"/>
          <w:szCs w:val="22"/>
        </w:rPr>
        <w:t xml:space="preserve">Ecological Economics, 49</w:t>
      </w:r>
      <w:r>
        <w:rPr>
          <w:rFonts w:ascii="Arial" w:cs="Arial" w:eastAsia="Arial" w:hAnsi="Arial"/>
          <w:sz w:val="22"/>
          <w:szCs w:val="22"/>
        </w:rPr>
        <w:t xml:space="preserve">(4), 431–455. </w:t>
      </w:r>
      <w:hyperlink w:history="1" r:id="rId9daltilyuor76ln1or0wt">
        <w:r>
          <w:rPr>
            <w:rFonts w:ascii="Arial" w:cs="Arial" w:eastAsia="Arial" w:hAnsi="Arial"/>
            <w:color w:val="1155CC"/>
            <w:sz w:val="22"/>
            <w:szCs w:val="22"/>
            <w:u w:val="single"/>
          </w:rPr>
          <w:t xml:space="preserve">https://doi.org/10.1016/j.ecolecon.2004.02.011</w:t>
        </w:r>
      </w:hyperlink>
    </w:p>
    <w:p>
      <w:pPr>
        <w:spacing w:after="160" w:line="320"/>
        <w:ind w:left="720" w:hanging="720"/>
      </w:pPr>
      <w:r>
        <w:rPr>
          <w:rFonts w:ascii="Arial" w:cs="Arial" w:eastAsia="Arial" w:hAnsi="Arial"/>
          <w:sz w:val="22"/>
          <w:szCs w:val="22"/>
        </w:rPr>
        <w:t xml:space="preserve">Dyllick, T., &amp; Muff, K. (2016). Clarifying the meaning of sustainable business. </w:t>
      </w:r>
      <w:r>
        <w:rPr>
          <w:rFonts w:ascii="Arial" w:cs="Arial" w:eastAsia="Arial" w:hAnsi="Arial"/>
          <w:i/>
          <w:iCs/>
          <w:sz w:val="22"/>
          <w:szCs w:val="22"/>
        </w:rPr>
        <w:t xml:space="preserve">Organization &amp; Environment, 29</w:t>
      </w:r>
      <w:r>
        <w:rPr>
          <w:rFonts w:ascii="Arial" w:cs="Arial" w:eastAsia="Arial" w:hAnsi="Arial"/>
          <w:sz w:val="22"/>
          <w:szCs w:val="22"/>
        </w:rPr>
        <w:t xml:space="preserve">(2), 156–174. </w:t>
      </w:r>
      <w:hyperlink w:history="1" r:id="rIduquyhudgvhxsurmir_vjr">
        <w:r>
          <w:rPr>
            <w:rFonts w:ascii="Arial" w:cs="Arial" w:eastAsia="Arial" w:hAnsi="Arial"/>
            <w:color w:val="1155CC"/>
            <w:sz w:val="22"/>
            <w:szCs w:val="22"/>
            <w:u w:val="single"/>
          </w:rPr>
          <w:t xml:space="preserve">https://doi.org/10.1177/1086026615575176</w:t>
        </w:r>
      </w:hyperlink>
    </w:p>
    <w:p>
      <w:pPr>
        <w:spacing w:after="160" w:line="320"/>
        <w:ind w:left="720" w:hanging="720"/>
      </w:pPr>
      <w:r>
        <w:rPr>
          <w:rFonts w:ascii="Arial" w:cs="Arial" w:eastAsia="Arial" w:hAnsi="Arial"/>
          <w:sz w:val="22"/>
          <w:szCs w:val="22"/>
        </w:rPr>
        <w:t xml:space="preserve">Ellen MacArthur Foundation. (2019). </w:t>
      </w:r>
      <w:r>
        <w:rPr>
          <w:rFonts w:ascii="Arial" w:cs="Arial" w:eastAsia="Arial" w:hAnsi="Arial"/>
          <w:i/>
          <w:iCs/>
          <w:sz w:val="22"/>
          <w:szCs w:val="22"/>
        </w:rPr>
        <w:t xml:space="preserve">Completing the picture: How the circular economy tackles climate change</w:t>
      </w:r>
      <w:r>
        <w:rPr>
          <w:rFonts w:ascii="Arial" w:cs="Arial" w:eastAsia="Arial" w:hAnsi="Arial"/>
          <w:sz w:val="22"/>
          <w:szCs w:val="22"/>
        </w:rPr>
        <w:t xml:space="preserve">. </w:t>
      </w:r>
      <w:hyperlink w:history="1" r:id="rIdzcbk-l87fk7tujvcankmi">
        <w:r>
          <w:rPr>
            <w:rFonts w:ascii="Arial" w:cs="Arial" w:eastAsia="Arial" w:hAnsi="Arial"/>
            <w:color w:val="1155CC"/>
            <w:sz w:val="22"/>
            <w:szCs w:val="22"/>
            <w:u w:val="single"/>
          </w:rPr>
          <w:t xml:space="preserve">https://ellenmacarthurfoundation.org/completing-the-picture</w:t>
        </w:r>
      </w:hyperlink>
    </w:p>
    <w:p>
      <w:pPr>
        <w:spacing w:after="160" w:line="320"/>
        <w:ind w:left="720" w:hanging="720"/>
      </w:pPr>
      <w:r>
        <w:rPr>
          <w:rFonts w:ascii="Arial" w:cs="Arial" w:eastAsia="Arial" w:hAnsi="Arial"/>
          <w:sz w:val="22"/>
          <w:szCs w:val="22"/>
        </w:rPr>
        <w:t xml:space="preserve">European Commission. (2023). </w:t>
      </w:r>
      <w:r>
        <w:rPr>
          <w:rFonts w:ascii="Arial" w:cs="Arial" w:eastAsia="Arial" w:hAnsi="Arial"/>
          <w:i/>
          <w:iCs/>
          <w:sz w:val="22"/>
          <w:szCs w:val="22"/>
        </w:rPr>
        <w:t xml:space="preserve">Critical Raw Materials Act</w:t>
      </w:r>
      <w:r>
        <w:rPr>
          <w:rFonts w:ascii="Arial" w:cs="Arial" w:eastAsia="Arial" w:hAnsi="Arial"/>
          <w:sz w:val="22"/>
          <w:szCs w:val="22"/>
        </w:rPr>
        <w:t xml:space="preserve">. European Commission. </w:t>
      </w:r>
      <w:hyperlink w:history="1" r:id="rIdsbbvcfkbuev5tj3umd6ss">
        <w:r>
          <w:rPr>
            <w:rFonts w:ascii="Arial" w:cs="Arial" w:eastAsia="Arial" w:hAnsi="Arial"/>
            <w:color w:val="1155CC"/>
            <w:sz w:val="22"/>
            <w:szCs w:val="22"/>
            <w:u w:val="single"/>
          </w:rPr>
          <w:t xml:space="preserve">https://single-market-economy.ec.europa.eu/sectors/raw-materials/areas-specific-interest/critical-raw-materials/critical-raw-materials-act_en</w:t>
        </w:r>
      </w:hyperlink>
    </w:p>
    <w:p>
      <w:pPr>
        <w:spacing w:after="160" w:line="320"/>
        <w:ind w:left="720" w:hanging="720"/>
      </w:pPr>
      <w:r>
        <w:rPr>
          <w:rFonts w:ascii="Arial" w:cs="Arial" w:eastAsia="Arial" w:hAnsi="Arial"/>
          <w:sz w:val="22"/>
          <w:szCs w:val="22"/>
        </w:rPr>
        <w:t xml:space="preserve">European Union. (2022). </w:t>
      </w:r>
      <w:r>
        <w:rPr>
          <w:rFonts w:ascii="Arial" w:cs="Arial" w:eastAsia="Arial" w:hAnsi="Arial"/>
          <w:i/>
          <w:iCs/>
          <w:sz w:val="22"/>
          <w:szCs w:val="22"/>
        </w:rPr>
        <w:t xml:space="preserve">Regulation (EU) 2022/2065 of the European Parliament and of the Council — Digital Services Act</w:t>
      </w:r>
      <w:r>
        <w:rPr>
          <w:rFonts w:ascii="Arial" w:cs="Arial" w:eastAsia="Arial" w:hAnsi="Arial"/>
          <w:sz w:val="22"/>
          <w:szCs w:val="22"/>
        </w:rPr>
        <w:t xml:space="preserve">. Official Journal of the European Union. </w:t>
      </w:r>
      <w:hyperlink w:history="1" r:id="rIdyywg-g7iqsihz8sblcdds">
        <w:r>
          <w:rPr>
            <w:rFonts w:ascii="Arial" w:cs="Arial" w:eastAsia="Arial" w:hAnsi="Arial"/>
            <w:color w:val="1155CC"/>
            <w:sz w:val="22"/>
            <w:szCs w:val="22"/>
            <w:u w:val="single"/>
          </w:rPr>
          <w:t xml:space="preserve">https://eur-lex.europa.eu/legal-content/EN/TXT/?uri=CELEX%3A32022R2065</w:t>
        </w:r>
      </w:hyperlink>
    </w:p>
    <w:p>
      <w:pPr>
        <w:spacing w:after="160" w:line="320"/>
        <w:ind w:left="720" w:hanging="720"/>
      </w:pPr>
      <w:r>
        <w:rPr>
          <w:rFonts w:ascii="Arial" w:cs="Arial" w:eastAsia="Arial" w:hAnsi="Arial"/>
          <w:sz w:val="22"/>
          <w:szCs w:val="22"/>
        </w:rPr>
        <w:t xml:space="preserve">Graedel, T. E., &amp; Allenby, B. R. (2010). </w:t>
      </w:r>
      <w:r>
        <w:rPr>
          <w:rFonts w:ascii="Arial" w:cs="Arial" w:eastAsia="Arial" w:hAnsi="Arial"/>
          <w:i/>
          <w:iCs/>
          <w:sz w:val="22"/>
          <w:szCs w:val="22"/>
        </w:rPr>
        <w:t xml:space="preserve">Industrial ecology and sustainable engineering</w:t>
      </w:r>
      <w:r>
        <w:rPr>
          <w:rFonts w:ascii="Arial" w:cs="Arial" w:eastAsia="Arial" w:hAnsi="Arial"/>
          <w:sz w:val="22"/>
          <w:szCs w:val="22"/>
        </w:rPr>
        <w:t xml:space="preserve">. Prentice Hall.</w:t>
      </w:r>
    </w:p>
    <w:p>
      <w:pPr>
        <w:spacing w:after="160" w:line="320"/>
        <w:ind w:left="720" w:hanging="720"/>
      </w:pPr>
      <w:r>
        <w:rPr>
          <w:rFonts w:ascii="Arial" w:cs="Arial" w:eastAsia="Arial" w:hAnsi="Arial"/>
          <w:sz w:val="22"/>
          <w:szCs w:val="22"/>
        </w:rPr>
        <w:t xml:space="preserve">Hartwick, J. M. (1977). Intergenerational equity and the investing of rents from exhaustible resources. </w:t>
      </w:r>
      <w:r>
        <w:rPr>
          <w:rFonts w:ascii="Arial" w:cs="Arial" w:eastAsia="Arial" w:hAnsi="Arial"/>
          <w:i/>
          <w:iCs/>
          <w:sz w:val="22"/>
          <w:szCs w:val="22"/>
        </w:rPr>
        <w:t xml:space="preserve">American Economic Review, 67</w:t>
      </w:r>
      <w:r>
        <w:rPr>
          <w:rFonts w:ascii="Arial" w:cs="Arial" w:eastAsia="Arial" w:hAnsi="Arial"/>
          <w:sz w:val="22"/>
          <w:szCs w:val="22"/>
        </w:rPr>
        <w:t xml:space="preserve">(5), 972–974. </w:t>
      </w:r>
      <w:hyperlink w:history="1" r:id="rIdb6mx7_ykm-04aojsdxdx3">
        <w:r>
          <w:rPr>
            <w:rFonts w:ascii="Arial" w:cs="Arial" w:eastAsia="Arial" w:hAnsi="Arial"/>
            <w:color w:val="1155CC"/>
            <w:sz w:val="22"/>
            <w:szCs w:val="22"/>
            <w:u w:val="single"/>
          </w:rPr>
          <w:t xml:space="preserve">https://www.jstor.org/stable/1828079</w:t>
        </w:r>
      </w:hyperlink>
    </w:p>
    <w:p>
      <w:pPr>
        <w:spacing w:after="160" w:line="320"/>
        <w:ind w:left="720" w:hanging="720"/>
      </w:pPr>
      <w:r>
        <w:rPr>
          <w:rFonts w:ascii="Arial" w:cs="Arial" w:eastAsia="Arial" w:hAnsi="Arial"/>
          <w:sz w:val="22"/>
          <w:szCs w:val="22"/>
        </w:rPr>
        <w:t xml:space="preserve">International Energy Agency. (2021). </w:t>
      </w:r>
      <w:r>
        <w:rPr>
          <w:rFonts w:ascii="Arial" w:cs="Arial" w:eastAsia="Arial" w:hAnsi="Arial"/>
          <w:i/>
          <w:iCs/>
          <w:sz w:val="22"/>
          <w:szCs w:val="22"/>
        </w:rPr>
        <w:t xml:space="preserve">The role of critical minerals in clean energy transitions</w:t>
      </w:r>
      <w:r>
        <w:rPr>
          <w:rFonts w:ascii="Arial" w:cs="Arial" w:eastAsia="Arial" w:hAnsi="Arial"/>
          <w:sz w:val="22"/>
          <w:szCs w:val="22"/>
        </w:rPr>
        <w:t xml:space="preserve">. IEA. </w:t>
      </w:r>
      <w:hyperlink w:history="1" r:id="rIdtj7mz54uek8odnoj3yu2u">
        <w:r>
          <w:rPr>
            <w:rFonts w:ascii="Arial" w:cs="Arial" w:eastAsia="Arial" w:hAnsi="Arial"/>
            <w:color w:val="1155CC"/>
            <w:sz w:val="22"/>
            <w:szCs w:val="22"/>
            <w:u w:val="single"/>
          </w:rPr>
          <w:t xml:space="preserve">https://www.iea.org/reports/the-role-of-critical-minerals-in-clean-energy-transitions</w:t>
        </w:r>
      </w:hyperlink>
    </w:p>
    <w:p>
      <w:pPr>
        <w:spacing w:after="160" w:line="320"/>
        <w:ind w:left="720" w:hanging="720"/>
      </w:pPr>
      <w:r>
        <w:rPr>
          <w:rFonts w:ascii="Arial" w:cs="Arial" w:eastAsia="Arial" w:hAnsi="Arial"/>
          <w:sz w:val="22"/>
          <w:szCs w:val="22"/>
        </w:rPr>
        <w:t xml:space="preserve">International Energy Agency. (2023). </w:t>
      </w:r>
      <w:r>
        <w:rPr>
          <w:rFonts w:ascii="Arial" w:cs="Arial" w:eastAsia="Arial" w:hAnsi="Arial"/>
          <w:i/>
          <w:iCs/>
          <w:sz w:val="22"/>
          <w:szCs w:val="22"/>
        </w:rPr>
        <w:t xml:space="preserve">CO₂ emissions in 2022</w:t>
      </w:r>
      <w:r>
        <w:rPr>
          <w:rFonts w:ascii="Arial" w:cs="Arial" w:eastAsia="Arial" w:hAnsi="Arial"/>
          <w:sz w:val="22"/>
          <w:szCs w:val="22"/>
        </w:rPr>
        <w:t xml:space="preserve">. IEA. </w:t>
      </w:r>
      <w:hyperlink w:history="1" r:id="rIdpswoxesvokdhlowd57-hk">
        <w:r>
          <w:rPr>
            <w:rFonts w:ascii="Arial" w:cs="Arial" w:eastAsia="Arial" w:hAnsi="Arial"/>
            <w:color w:val="1155CC"/>
            <w:sz w:val="22"/>
            <w:szCs w:val="22"/>
            <w:u w:val="single"/>
          </w:rPr>
          <w:t xml:space="preserve">https://www.iea.org/reports/co2-emissions-in-2022</w:t>
        </w:r>
      </w:hyperlink>
    </w:p>
    <w:p>
      <w:pPr>
        <w:spacing w:after="160" w:line="320"/>
        <w:ind w:left="720" w:hanging="720"/>
      </w:pPr>
      <w:r>
        <w:rPr>
          <w:rFonts w:ascii="Arial" w:cs="Arial" w:eastAsia="Arial" w:hAnsi="Arial"/>
          <w:sz w:val="22"/>
          <w:szCs w:val="22"/>
        </w:rPr>
        <w:t xml:space="preserve">International Renewable Energy Agency. (2023). </w:t>
      </w:r>
      <w:r>
        <w:rPr>
          <w:rFonts w:ascii="Arial" w:cs="Arial" w:eastAsia="Arial" w:hAnsi="Arial"/>
          <w:i/>
          <w:iCs/>
          <w:sz w:val="22"/>
          <w:szCs w:val="22"/>
        </w:rPr>
        <w:t xml:space="preserve">Renewable power generation costs in 2022</w:t>
      </w:r>
      <w:r>
        <w:rPr>
          <w:rFonts w:ascii="Arial" w:cs="Arial" w:eastAsia="Arial" w:hAnsi="Arial"/>
          <w:sz w:val="22"/>
          <w:szCs w:val="22"/>
        </w:rPr>
        <w:t xml:space="preserve">. IRENA. </w:t>
      </w:r>
      <w:hyperlink w:history="1" r:id="rIdikjdicpcdn8tyh3t26lub">
        <w:r>
          <w:rPr>
            <w:rFonts w:ascii="Arial" w:cs="Arial" w:eastAsia="Arial" w:hAnsi="Arial"/>
            <w:color w:val="1155CC"/>
            <w:sz w:val="22"/>
            <w:szCs w:val="22"/>
            <w:u w:val="single"/>
          </w:rPr>
          <w:t xml:space="preserve">https://www.irena.org/publications/2023/Aug/Renewable-Power-Generation-Costs-in-2022</w:t>
        </w:r>
      </w:hyperlink>
    </w:p>
    <w:p>
      <w:pPr>
        <w:spacing w:after="160" w:line="320"/>
        <w:ind w:left="720" w:hanging="720"/>
      </w:pPr>
      <w:r>
        <w:rPr>
          <w:rFonts w:ascii="Arial" w:cs="Arial" w:eastAsia="Arial" w:hAnsi="Arial"/>
          <w:sz w:val="22"/>
          <w:szCs w:val="22"/>
        </w:rPr>
        <w:t xml:space="preserve">Kuznets, S. (1955). Economic growth and income inequality. </w:t>
      </w:r>
      <w:r>
        <w:rPr>
          <w:rFonts w:ascii="Arial" w:cs="Arial" w:eastAsia="Arial" w:hAnsi="Arial"/>
          <w:i/>
          <w:iCs/>
          <w:sz w:val="22"/>
          <w:szCs w:val="22"/>
        </w:rPr>
        <w:t xml:space="preserve">American Economic Review, 45</w:t>
      </w:r>
      <w:r>
        <w:rPr>
          <w:rFonts w:ascii="Arial" w:cs="Arial" w:eastAsia="Arial" w:hAnsi="Arial"/>
          <w:sz w:val="22"/>
          <w:szCs w:val="22"/>
        </w:rPr>
        <w:t xml:space="preserve">(1), 1–28. </w:t>
      </w:r>
      <w:hyperlink w:history="1" r:id="rIdp9ldd5zqdexsg73eppidn">
        <w:r>
          <w:rPr>
            <w:rFonts w:ascii="Arial" w:cs="Arial" w:eastAsia="Arial" w:hAnsi="Arial"/>
            <w:color w:val="1155CC"/>
            <w:sz w:val="22"/>
            <w:szCs w:val="22"/>
            <w:u w:val="single"/>
          </w:rPr>
          <w:t xml:space="preserve">https://www.jstor.org/stable/1811581</w:t>
        </w:r>
      </w:hyperlink>
    </w:p>
    <w:p>
      <w:pPr>
        <w:spacing w:after="160" w:line="320"/>
        <w:ind w:left="720" w:hanging="720"/>
      </w:pPr>
      <w:r>
        <w:rPr>
          <w:rFonts w:ascii="Arial" w:cs="Arial" w:eastAsia="Arial" w:hAnsi="Arial"/>
          <w:sz w:val="22"/>
          <w:szCs w:val="22"/>
        </w:rPr>
        <w:t xml:space="preserve">Meadows, D. H., Meadows, D. L., Randers, J., &amp; Behrens, W. W. (1972). </w:t>
      </w:r>
      <w:r>
        <w:rPr>
          <w:rFonts w:ascii="Arial" w:cs="Arial" w:eastAsia="Arial" w:hAnsi="Arial"/>
          <w:i/>
          <w:iCs/>
          <w:sz w:val="22"/>
          <w:szCs w:val="22"/>
        </w:rPr>
        <w:t xml:space="preserve">The limits to growth</w:t>
      </w:r>
      <w:r>
        <w:rPr>
          <w:rFonts w:ascii="Arial" w:cs="Arial" w:eastAsia="Arial" w:hAnsi="Arial"/>
          <w:sz w:val="22"/>
          <w:szCs w:val="22"/>
        </w:rPr>
        <w:t xml:space="preserve">. Universe Books. </w:t>
      </w:r>
      <w:hyperlink w:history="1" r:id="rId3bl_jgryim87qz3knuiv5">
        <w:r>
          <w:rPr>
            <w:rFonts w:ascii="Arial" w:cs="Arial" w:eastAsia="Arial" w:hAnsi="Arial"/>
            <w:color w:val="1155CC"/>
            <w:sz w:val="22"/>
            <w:szCs w:val="22"/>
            <w:u w:val="single"/>
          </w:rPr>
          <w:t xml:space="preserve">https://www.clubofrome.org/publication/the-limits-to-growth/</w:t>
        </w:r>
      </w:hyperlink>
    </w:p>
    <w:p>
      <w:pPr>
        <w:spacing w:after="160" w:line="320"/>
        <w:ind w:left="720" w:hanging="720"/>
      </w:pPr>
      <w:r>
        <w:rPr>
          <w:rFonts w:ascii="Arial" w:cs="Arial" w:eastAsia="Arial" w:hAnsi="Arial"/>
          <w:sz w:val="22"/>
          <w:szCs w:val="22"/>
        </w:rPr>
        <w:t xml:space="preserve">OECD. (2011). </w:t>
      </w:r>
      <w:r>
        <w:rPr>
          <w:rFonts w:ascii="Arial" w:cs="Arial" w:eastAsia="Arial" w:hAnsi="Arial"/>
          <w:i/>
          <w:iCs/>
          <w:sz w:val="22"/>
          <w:szCs w:val="22"/>
        </w:rPr>
        <w:t xml:space="preserve">Divided we stand: Why inequality keeps rising</w:t>
      </w:r>
      <w:r>
        <w:rPr>
          <w:rFonts w:ascii="Arial" w:cs="Arial" w:eastAsia="Arial" w:hAnsi="Arial"/>
          <w:sz w:val="22"/>
          <w:szCs w:val="22"/>
        </w:rPr>
        <w:t xml:space="preserve">. OECD Publishing. </w:t>
      </w:r>
      <w:hyperlink w:history="1" r:id="rId1mcyu84l8ijvutci5121j">
        <w:r>
          <w:rPr>
            <w:rFonts w:ascii="Arial" w:cs="Arial" w:eastAsia="Arial" w:hAnsi="Arial"/>
            <w:color w:val="1155CC"/>
            <w:sz w:val="22"/>
            <w:szCs w:val="22"/>
            <w:u w:val="single"/>
          </w:rPr>
          <w:t xml:space="preserve">https://doi.org/10.1787/9789264119536-en</w:t>
        </w:r>
      </w:hyperlink>
    </w:p>
    <w:p>
      <w:pPr>
        <w:spacing w:after="160" w:line="320"/>
        <w:ind w:left="720" w:hanging="720"/>
      </w:pPr>
      <w:r>
        <w:rPr>
          <w:rFonts w:ascii="Arial" w:cs="Arial" w:eastAsia="Arial" w:hAnsi="Arial"/>
          <w:sz w:val="22"/>
          <w:szCs w:val="22"/>
        </w:rPr>
        <w:t xml:space="preserve">Ostrom, E. (1990). </w:t>
      </w:r>
      <w:r>
        <w:rPr>
          <w:rFonts w:ascii="Arial" w:cs="Arial" w:eastAsia="Arial" w:hAnsi="Arial"/>
          <w:i/>
          <w:iCs/>
          <w:sz w:val="22"/>
          <w:szCs w:val="22"/>
        </w:rPr>
        <w:t xml:space="preserve">Governing the commons: The evolution of institutions for collective action</w:t>
      </w:r>
      <w:r>
        <w:rPr>
          <w:rFonts w:ascii="Arial" w:cs="Arial" w:eastAsia="Arial" w:hAnsi="Arial"/>
          <w:sz w:val="22"/>
          <w:szCs w:val="22"/>
        </w:rPr>
        <w:t xml:space="preserve">. Cambridge University Press. </w:t>
      </w:r>
      <w:hyperlink w:history="1" r:id="rIdbf7rsuvt0wubtmjh9xr6u">
        <w:r>
          <w:rPr>
            <w:rFonts w:ascii="Arial" w:cs="Arial" w:eastAsia="Arial" w:hAnsi="Arial"/>
            <w:color w:val="1155CC"/>
            <w:sz w:val="22"/>
            <w:szCs w:val="22"/>
            <w:u w:val="single"/>
          </w:rPr>
          <w:t xml:space="preserve">https://doi.org/10.1017/CBO9781316423936</w:t>
        </w:r>
      </w:hyperlink>
    </w:p>
    <w:p>
      <w:pPr>
        <w:spacing w:after="160" w:line="320"/>
        <w:ind w:left="720" w:hanging="720"/>
      </w:pPr>
      <w:r>
        <w:rPr>
          <w:rFonts w:ascii="Arial" w:cs="Arial" w:eastAsia="Arial" w:hAnsi="Arial"/>
          <w:sz w:val="22"/>
          <w:szCs w:val="22"/>
        </w:rPr>
        <w:t xml:space="preserve">Pigou, A. C. (1920). </w:t>
      </w:r>
      <w:r>
        <w:rPr>
          <w:rFonts w:ascii="Arial" w:cs="Arial" w:eastAsia="Arial" w:hAnsi="Arial"/>
          <w:i/>
          <w:iCs/>
          <w:sz w:val="22"/>
          <w:szCs w:val="22"/>
        </w:rPr>
        <w:t xml:space="preserve">The economics of welfare</w:t>
      </w:r>
      <w:r>
        <w:rPr>
          <w:rFonts w:ascii="Arial" w:cs="Arial" w:eastAsia="Arial" w:hAnsi="Arial"/>
          <w:sz w:val="22"/>
          <w:szCs w:val="22"/>
        </w:rPr>
        <w:t xml:space="preserve">. Macmillan. </w:t>
      </w:r>
      <w:hyperlink w:history="1" r:id="rIdnpux8n8ym0vvezbetuylw">
        <w:r>
          <w:rPr>
            <w:rFonts w:ascii="Arial" w:cs="Arial" w:eastAsia="Arial" w:hAnsi="Arial"/>
            <w:color w:val="1155CC"/>
            <w:sz w:val="22"/>
            <w:szCs w:val="22"/>
            <w:u w:val="single"/>
          </w:rPr>
          <w:t xml:space="preserve">https://archive.org/details/in.ernet.dli.2015.218874</w:t>
        </w:r>
      </w:hyperlink>
    </w:p>
    <w:p>
      <w:pPr>
        <w:spacing w:after="160" w:line="320"/>
        <w:ind w:left="720" w:hanging="720"/>
      </w:pPr>
      <w:r>
        <w:rPr>
          <w:rFonts w:ascii="Arial" w:cs="Arial" w:eastAsia="Arial" w:hAnsi="Arial"/>
          <w:sz w:val="22"/>
          <w:szCs w:val="22"/>
        </w:rPr>
        <w:t xml:space="preserve">Porter, M. E., &amp; van der Linde, C. (1995). Toward a new conception of the environment-competitiveness relationship. </w:t>
      </w:r>
      <w:r>
        <w:rPr>
          <w:rFonts w:ascii="Arial" w:cs="Arial" w:eastAsia="Arial" w:hAnsi="Arial"/>
          <w:i/>
          <w:iCs/>
          <w:sz w:val="22"/>
          <w:szCs w:val="22"/>
        </w:rPr>
        <w:t xml:space="preserve">Journal of Economic Perspectives, 9</w:t>
      </w:r>
      <w:r>
        <w:rPr>
          <w:rFonts w:ascii="Arial" w:cs="Arial" w:eastAsia="Arial" w:hAnsi="Arial"/>
          <w:sz w:val="22"/>
          <w:szCs w:val="22"/>
        </w:rPr>
        <w:t xml:space="preserve">(4), 97–118. </w:t>
      </w:r>
      <w:hyperlink w:history="1" r:id="rIdntf1dzg3r5wdh6jwgtuvo">
        <w:r>
          <w:rPr>
            <w:rFonts w:ascii="Arial" w:cs="Arial" w:eastAsia="Arial" w:hAnsi="Arial"/>
            <w:color w:val="1155CC"/>
            <w:sz w:val="22"/>
            <w:szCs w:val="22"/>
            <w:u w:val="single"/>
          </w:rPr>
          <w:t xml:space="preserve">https://doi.org/10.1257/jep.9.4.97</w:t>
        </w:r>
      </w:hyperlink>
    </w:p>
    <w:p>
      <w:pPr>
        <w:spacing w:after="160" w:line="320"/>
        <w:ind w:left="720" w:hanging="720"/>
      </w:pPr>
      <w:r>
        <w:rPr>
          <w:rFonts w:ascii="Arial" w:cs="Arial" w:eastAsia="Arial" w:hAnsi="Arial"/>
          <w:sz w:val="22"/>
          <w:szCs w:val="22"/>
        </w:rPr>
        <w:t xml:space="preserve">Renault Group. (2022). </w:t>
      </w:r>
      <w:r>
        <w:rPr>
          <w:rFonts w:ascii="Arial" w:cs="Arial" w:eastAsia="Arial" w:hAnsi="Arial"/>
          <w:i/>
          <w:iCs/>
          <w:sz w:val="22"/>
          <w:szCs w:val="22"/>
        </w:rPr>
        <w:t xml:space="preserve">The Refactory: Circular economy at the heart of Renault Group's strategy</w:t>
      </w:r>
      <w:r>
        <w:rPr>
          <w:rFonts w:ascii="Arial" w:cs="Arial" w:eastAsia="Arial" w:hAnsi="Arial"/>
          <w:sz w:val="22"/>
          <w:szCs w:val="22"/>
        </w:rPr>
        <w:t xml:space="preserve">. </w:t>
      </w:r>
      <w:hyperlink w:history="1" r:id="rId7eqbvapm2b_l5stjxb2gz">
        <w:r>
          <w:rPr>
            <w:rFonts w:ascii="Arial" w:cs="Arial" w:eastAsia="Arial" w:hAnsi="Arial"/>
            <w:color w:val="1155CC"/>
            <w:sz w:val="22"/>
            <w:szCs w:val="22"/>
            <w:u w:val="single"/>
          </w:rPr>
          <w:t xml:space="preserve">https://www.renaultgroup.com/en/news-on-air/news/the-refactory-circular-economy-at-the-heart-of-renault-groups-strategy/</w:t>
        </w:r>
      </w:hyperlink>
    </w:p>
    <w:p>
      <w:pPr>
        <w:spacing w:after="160" w:line="320"/>
        <w:ind w:left="720" w:hanging="720"/>
      </w:pPr>
      <w:r>
        <w:rPr>
          <w:rFonts w:ascii="Arial" w:cs="Arial" w:eastAsia="Arial" w:hAnsi="Arial"/>
          <w:sz w:val="22"/>
          <w:szCs w:val="22"/>
        </w:rPr>
        <w:t xml:space="preserve">Reuters Institute. (2025). </w:t>
      </w:r>
      <w:r>
        <w:rPr>
          <w:rFonts w:ascii="Arial" w:cs="Arial" w:eastAsia="Arial" w:hAnsi="Arial"/>
          <w:i/>
          <w:iCs/>
          <w:sz w:val="22"/>
          <w:szCs w:val="22"/>
        </w:rPr>
        <w:t xml:space="preserve">Digital news report 2025</w:t>
      </w:r>
      <w:r>
        <w:rPr>
          <w:rFonts w:ascii="Arial" w:cs="Arial" w:eastAsia="Arial" w:hAnsi="Arial"/>
          <w:sz w:val="22"/>
          <w:szCs w:val="22"/>
        </w:rPr>
        <w:t xml:space="preserve">. Reuters Institute for the Study of Journalism, University of Oxford. </w:t>
      </w:r>
      <w:hyperlink w:history="1" r:id="rIdtlrxry6ppulkkcwbdl-co">
        <w:r>
          <w:rPr>
            <w:rFonts w:ascii="Arial" w:cs="Arial" w:eastAsia="Arial" w:hAnsi="Arial"/>
            <w:color w:val="1155CC"/>
            <w:sz w:val="22"/>
            <w:szCs w:val="22"/>
            <w:u w:val="single"/>
          </w:rPr>
          <w:t xml:space="preserve">https://reutersinstitute.politics.ox.ac.uk/digital-news-report/2025</w:t>
        </w:r>
      </w:hyperlink>
    </w:p>
    <w:p>
      <w:pPr>
        <w:spacing w:after="160" w:line="320"/>
        <w:ind w:left="720" w:hanging="720"/>
      </w:pPr>
      <w:r>
        <w:rPr>
          <w:rFonts w:ascii="Arial" w:cs="Arial" w:eastAsia="Arial" w:hAnsi="Arial"/>
          <w:sz w:val="22"/>
          <w:szCs w:val="22"/>
        </w:rPr>
        <w:t xml:space="preserve">Ricardo, D. (1817). </w:t>
      </w:r>
      <w:r>
        <w:rPr>
          <w:rFonts w:ascii="Arial" w:cs="Arial" w:eastAsia="Arial" w:hAnsi="Arial"/>
          <w:i/>
          <w:iCs/>
          <w:sz w:val="22"/>
          <w:szCs w:val="22"/>
        </w:rPr>
        <w:t xml:space="preserve">On the principles of political economy and taxation</w:t>
      </w:r>
      <w:r>
        <w:rPr>
          <w:rFonts w:ascii="Arial" w:cs="Arial" w:eastAsia="Arial" w:hAnsi="Arial"/>
          <w:sz w:val="22"/>
          <w:szCs w:val="22"/>
        </w:rPr>
        <w:t xml:space="preserve">. John Murray. </w:t>
      </w:r>
      <w:hyperlink w:history="1" r:id="rId9ci4-6w3wr8ttowqf9fud">
        <w:r>
          <w:rPr>
            <w:rFonts w:ascii="Arial" w:cs="Arial" w:eastAsia="Arial" w:hAnsi="Arial"/>
            <w:color w:val="1155CC"/>
            <w:sz w:val="22"/>
            <w:szCs w:val="22"/>
            <w:u w:val="single"/>
          </w:rPr>
          <w:t xml:space="preserve">https://www.econlib.org/library/Ricardo/ricP.html</w:t>
        </w:r>
      </w:hyperlink>
    </w:p>
    <w:p>
      <w:pPr>
        <w:spacing w:after="160" w:line="320"/>
        <w:ind w:left="720" w:hanging="720"/>
      </w:pPr>
      <w:r>
        <w:rPr>
          <w:rFonts w:ascii="Arial" w:cs="Arial" w:eastAsia="Arial" w:hAnsi="Arial"/>
          <w:sz w:val="22"/>
          <w:szCs w:val="22"/>
        </w:rPr>
        <w:t xml:space="preserve">Romer, P. M. (1990). Endogenous technological change. </w:t>
      </w:r>
      <w:r>
        <w:rPr>
          <w:rFonts w:ascii="Arial" w:cs="Arial" w:eastAsia="Arial" w:hAnsi="Arial"/>
          <w:i/>
          <w:iCs/>
          <w:sz w:val="22"/>
          <w:szCs w:val="22"/>
        </w:rPr>
        <w:t xml:space="preserve">Journal of Political Economy, 98</w:t>
      </w:r>
      <w:r>
        <w:rPr>
          <w:rFonts w:ascii="Arial" w:cs="Arial" w:eastAsia="Arial" w:hAnsi="Arial"/>
          <w:sz w:val="22"/>
          <w:szCs w:val="22"/>
        </w:rPr>
        <w:t xml:space="preserve">(5), S71–S102. </w:t>
      </w:r>
      <w:hyperlink w:history="1" r:id="rIdhgka8hu-qibc6zv1x2mcm">
        <w:r>
          <w:rPr>
            <w:rFonts w:ascii="Arial" w:cs="Arial" w:eastAsia="Arial" w:hAnsi="Arial"/>
            <w:color w:val="1155CC"/>
            <w:sz w:val="22"/>
            <w:szCs w:val="22"/>
            <w:u w:val="single"/>
          </w:rPr>
          <w:t xml:space="preserve">https://doi.org/10.1086/261725</w:t>
        </w:r>
      </w:hyperlink>
    </w:p>
    <w:p>
      <w:pPr>
        <w:spacing w:after="160" w:line="320"/>
        <w:ind w:left="720" w:hanging="720"/>
      </w:pPr>
      <w:r>
        <w:rPr>
          <w:rFonts w:ascii="Arial" w:cs="Arial" w:eastAsia="Arial" w:hAnsi="Arial"/>
          <w:sz w:val="22"/>
          <w:szCs w:val="22"/>
        </w:rPr>
        <w:t xml:space="preserve">Roozenbeek, J., Schneider, C. R., Dryhurst, S., Kerr, J., Freeman, A. L. J., Recchia, G., van der Bles, A. M., &amp; van der Linden, S. (2020). Susceptibility to misinformation about COVID-19 across 26 countries. </w:t>
      </w:r>
      <w:r>
        <w:rPr>
          <w:rFonts w:ascii="Arial" w:cs="Arial" w:eastAsia="Arial" w:hAnsi="Arial"/>
          <w:i/>
          <w:iCs/>
          <w:sz w:val="22"/>
          <w:szCs w:val="22"/>
        </w:rPr>
        <w:t xml:space="preserve">Royal Society Open Science, 7</w:t>
      </w:r>
      <w:r>
        <w:rPr>
          <w:rFonts w:ascii="Arial" w:cs="Arial" w:eastAsia="Arial" w:hAnsi="Arial"/>
          <w:sz w:val="22"/>
          <w:szCs w:val="22"/>
        </w:rPr>
        <w:t xml:space="preserve">(10), 201199. </w:t>
      </w:r>
      <w:hyperlink w:history="1" r:id="rIdv3wmt12v8vs2nlagpyesz">
        <w:r>
          <w:rPr>
            <w:rFonts w:ascii="Arial" w:cs="Arial" w:eastAsia="Arial" w:hAnsi="Arial"/>
            <w:color w:val="1155CC"/>
            <w:sz w:val="22"/>
            <w:szCs w:val="22"/>
            <w:u w:val="single"/>
          </w:rPr>
          <w:t xml:space="preserve">https://doi.org/10.1098/rsos.201199</w:t>
        </w:r>
      </w:hyperlink>
    </w:p>
    <w:p>
      <w:pPr>
        <w:spacing w:after="160" w:line="320"/>
        <w:ind w:left="720" w:hanging="720"/>
      </w:pPr>
      <w:r>
        <w:rPr>
          <w:rFonts w:ascii="Arial" w:cs="Arial" w:eastAsia="Arial" w:hAnsi="Arial"/>
          <w:sz w:val="22"/>
          <w:szCs w:val="22"/>
        </w:rPr>
        <w:t xml:space="preserve">Science Based Targets initiative. (2023). </w:t>
      </w:r>
      <w:r>
        <w:rPr>
          <w:rFonts w:ascii="Arial" w:cs="Arial" w:eastAsia="Arial" w:hAnsi="Arial"/>
          <w:i/>
          <w:iCs/>
          <w:sz w:val="22"/>
          <w:szCs w:val="22"/>
        </w:rPr>
        <w:t xml:space="preserve">SBTi corporate manual</w:t>
      </w:r>
      <w:r>
        <w:rPr>
          <w:rFonts w:ascii="Arial" w:cs="Arial" w:eastAsia="Arial" w:hAnsi="Arial"/>
          <w:sz w:val="22"/>
          <w:szCs w:val="22"/>
        </w:rPr>
        <w:t xml:space="preserve">. </w:t>
      </w:r>
      <w:hyperlink w:history="1" r:id="rId-y9ot998gangcwhirogu4">
        <w:r>
          <w:rPr>
            <w:rFonts w:ascii="Arial" w:cs="Arial" w:eastAsia="Arial" w:hAnsi="Arial"/>
            <w:color w:val="1155CC"/>
            <w:sz w:val="22"/>
            <w:szCs w:val="22"/>
            <w:u w:val="single"/>
          </w:rPr>
          <w:t xml:space="preserve">https://sciencebasedtargets.org/resources/files/SBTi-Corporate-Manual.pdf</w:t>
        </w:r>
      </w:hyperlink>
    </w:p>
    <w:p>
      <w:pPr>
        <w:spacing w:after="160" w:line="320"/>
        <w:ind w:left="720" w:hanging="720"/>
      </w:pPr>
      <w:r>
        <w:rPr>
          <w:rFonts w:ascii="Arial" w:cs="Arial" w:eastAsia="Arial" w:hAnsi="Arial"/>
          <w:sz w:val="22"/>
          <w:szCs w:val="22"/>
        </w:rPr>
        <w:t xml:space="preserve">Simon, J. L. (1981). </w:t>
      </w:r>
      <w:r>
        <w:rPr>
          <w:rFonts w:ascii="Arial" w:cs="Arial" w:eastAsia="Arial" w:hAnsi="Arial"/>
          <w:i/>
          <w:iCs/>
          <w:sz w:val="22"/>
          <w:szCs w:val="22"/>
        </w:rPr>
        <w:t xml:space="preserve">The ultimate resource</w:t>
      </w:r>
      <w:r>
        <w:rPr>
          <w:rFonts w:ascii="Arial" w:cs="Arial" w:eastAsia="Arial" w:hAnsi="Arial"/>
          <w:sz w:val="22"/>
          <w:szCs w:val="22"/>
        </w:rPr>
        <w:t xml:space="preserve">. Princeton University Press. </w:t>
      </w:r>
      <w:hyperlink w:history="1" r:id="rIdjnqccf0tbzc0wcbosywcd">
        <w:r>
          <w:rPr>
            <w:rFonts w:ascii="Arial" w:cs="Arial" w:eastAsia="Arial" w:hAnsi="Arial"/>
            <w:color w:val="1155CC"/>
            <w:sz w:val="22"/>
            <w:szCs w:val="22"/>
            <w:u w:val="single"/>
          </w:rPr>
          <w:t xml:space="preserve">https://press.princeton.edu/books/paperback/9780691003818/the-ultimate-resource-2</w:t>
        </w:r>
      </w:hyperlink>
    </w:p>
    <w:p>
      <w:pPr>
        <w:spacing w:after="160" w:line="320"/>
        <w:ind w:left="720" w:hanging="720"/>
      </w:pPr>
      <w:r>
        <w:rPr>
          <w:rFonts w:ascii="Arial" w:cs="Arial" w:eastAsia="Arial" w:hAnsi="Arial"/>
          <w:sz w:val="22"/>
          <w:szCs w:val="22"/>
        </w:rPr>
        <w:t xml:space="preserve">Solow, R. M. (1974). Intergenerational equity and exhaustible resources. </w:t>
      </w:r>
      <w:r>
        <w:rPr>
          <w:rFonts w:ascii="Arial" w:cs="Arial" w:eastAsia="Arial" w:hAnsi="Arial"/>
          <w:i/>
          <w:iCs/>
          <w:sz w:val="22"/>
          <w:szCs w:val="22"/>
        </w:rPr>
        <w:t xml:space="preserve">Review of Economic Studies, 41</w:t>
      </w:r>
      <w:r>
        <w:rPr>
          <w:rFonts w:ascii="Arial" w:cs="Arial" w:eastAsia="Arial" w:hAnsi="Arial"/>
          <w:sz w:val="22"/>
          <w:szCs w:val="22"/>
        </w:rPr>
        <w:t xml:space="preserve">, 29–45. </w:t>
      </w:r>
      <w:hyperlink w:history="1" r:id="rIdqzt0n_halxt-c2__uixbd">
        <w:r>
          <w:rPr>
            <w:rFonts w:ascii="Arial" w:cs="Arial" w:eastAsia="Arial" w:hAnsi="Arial"/>
            <w:color w:val="1155CC"/>
            <w:sz w:val="22"/>
            <w:szCs w:val="22"/>
            <w:u w:val="single"/>
          </w:rPr>
          <w:t xml:space="preserve">https://doi.org/10.2307/2296370</w:t>
        </w:r>
      </w:hyperlink>
    </w:p>
    <w:p>
      <w:pPr>
        <w:spacing w:after="160" w:line="320"/>
        <w:ind w:left="720" w:hanging="720"/>
      </w:pPr>
      <w:r>
        <w:rPr>
          <w:rFonts w:ascii="Arial" w:cs="Arial" w:eastAsia="Arial" w:hAnsi="Arial"/>
          <w:sz w:val="22"/>
          <w:szCs w:val="22"/>
        </w:rPr>
        <w:t xml:space="preserve">Stern, D. I. (2004). The rise and fall of the Environmental Kuznets Curve. </w:t>
      </w:r>
      <w:r>
        <w:rPr>
          <w:rFonts w:ascii="Arial" w:cs="Arial" w:eastAsia="Arial" w:hAnsi="Arial"/>
          <w:i/>
          <w:iCs/>
          <w:sz w:val="22"/>
          <w:szCs w:val="22"/>
        </w:rPr>
        <w:t xml:space="preserve">World Development, 32</w:t>
      </w:r>
      <w:r>
        <w:rPr>
          <w:rFonts w:ascii="Arial" w:cs="Arial" w:eastAsia="Arial" w:hAnsi="Arial"/>
          <w:sz w:val="22"/>
          <w:szCs w:val="22"/>
        </w:rPr>
        <w:t xml:space="preserve">(8), 1419–1439. </w:t>
      </w:r>
      <w:hyperlink w:history="1" r:id="rIdaokwnb9cgtblxark4tpbl">
        <w:r>
          <w:rPr>
            <w:rFonts w:ascii="Arial" w:cs="Arial" w:eastAsia="Arial" w:hAnsi="Arial"/>
            <w:color w:val="1155CC"/>
            <w:sz w:val="22"/>
            <w:szCs w:val="22"/>
            <w:u w:val="single"/>
          </w:rPr>
          <w:t xml:space="preserve">https://doi.org/10.1016/j.worlddev.2004.03.004</w:t>
        </w:r>
      </w:hyperlink>
    </w:p>
    <w:p>
      <w:pPr>
        <w:spacing w:after="160" w:line="320"/>
        <w:ind w:left="720" w:hanging="720"/>
      </w:pPr>
      <w:r>
        <w:rPr>
          <w:rFonts w:ascii="Arial" w:cs="Arial" w:eastAsia="Arial" w:hAnsi="Arial"/>
          <w:sz w:val="22"/>
          <w:szCs w:val="22"/>
        </w:rPr>
        <w:t xml:space="preserve">Supran, G., &amp; Oreskes, N. (2017). Assessing ExxonMobil's climate change communications (1977–2014). </w:t>
      </w:r>
      <w:r>
        <w:rPr>
          <w:rFonts w:ascii="Arial" w:cs="Arial" w:eastAsia="Arial" w:hAnsi="Arial"/>
          <w:i/>
          <w:iCs/>
          <w:sz w:val="22"/>
          <w:szCs w:val="22"/>
        </w:rPr>
        <w:t xml:space="preserve">Environmental Research Letters, 12</w:t>
      </w:r>
      <w:r>
        <w:rPr>
          <w:rFonts w:ascii="Arial" w:cs="Arial" w:eastAsia="Arial" w:hAnsi="Arial"/>
          <w:sz w:val="22"/>
          <w:szCs w:val="22"/>
        </w:rPr>
        <w:t xml:space="preserve">(8), 084019. </w:t>
      </w:r>
      <w:hyperlink w:history="1" r:id="rIdpec5mjbyyzinubkvvwbum">
        <w:r>
          <w:rPr>
            <w:rFonts w:ascii="Arial" w:cs="Arial" w:eastAsia="Arial" w:hAnsi="Arial"/>
            <w:color w:val="1155CC"/>
            <w:sz w:val="22"/>
            <w:szCs w:val="22"/>
            <w:u w:val="single"/>
          </w:rPr>
          <w:t xml:space="preserve">https://doi.org/10.1088/1748-9326/aa815f</w:t>
        </w:r>
      </w:hyperlink>
    </w:p>
    <w:p>
      <w:pPr>
        <w:spacing w:after="160" w:line="320"/>
        <w:ind w:left="720" w:hanging="720"/>
      </w:pPr>
      <w:r>
        <w:rPr>
          <w:rFonts w:ascii="Arial" w:cs="Arial" w:eastAsia="Arial" w:hAnsi="Arial"/>
          <w:sz w:val="22"/>
          <w:szCs w:val="22"/>
        </w:rPr>
        <w:t xml:space="preserve">UNCTAD. (2023). </w:t>
      </w:r>
      <w:r>
        <w:rPr>
          <w:rFonts w:ascii="Arial" w:cs="Arial" w:eastAsia="Arial" w:hAnsi="Arial"/>
          <w:i/>
          <w:iCs/>
          <w:sz w:val="22"/>
          <w:szCs w:val="22"/>
        </w:rPr>
        <w:t xml:space="preserve">World investment report 2023: Investing in sustainable energy for all</w:t>
      </w:r>
      <w:r>
        <w:rPr>
          <w:rFonts w:ascii="Arial" w:cs="Arial" w:eastAsia="Arial" w:hAnsi="Arial"/>
          <w:sz w:val="22"/>
          <w:szCs w:val="22"/>
        </w:rPr>
        <w:t xml:space="preserve">. United Nations Conference on Trade and Development. </w:t>
      </w:r>
      <w:hyperlink w:history="1" r:id="rIdx0vsvzz01bmc-ao8tmfkf">
        <w:r>
          <w:rPr>
            <w:rFonts w:ascii="Arial" w:cs="Arial" w:eastAsia="Arial" w:hAnsi="Arial"/>
            <w:color w:val="1155CC"/>
            <w:sz w:val="22"/>
            <w:szCs w:val="22"/>
            <w:u w:val="single"/>
          </w:rPr>
          <w:t xml:space="preserve">https://unctad.org/publication/world-investment-report-2023</w:t>
        </w:r>
      </w:hyperlink>
    </w:p>
    <w:p>
      <w:pPr>
        <w:spacing w:after="160" w:line="320"/>
        <w:ind w:left="720" w:hanging="720"/>
      </w:pPr>
      <w:r>
        <w:rPr>
          <w:rFonts w:ascii="Arial" w:cs="Arial" w:eastAsia="Arial" w:hAnsi="Arial"/>
          <w:sz w:val="22"/>
          <w:szCs w:val="22"/>
        </w:rPr>
        <w:t xml:space="preserve">United Nations. (2015). </w:t>
      </w:r>
      <w:r>
        <w:rPr>
          <w:rFonts w:ascii="Arial" w:cs="Arial" w:eastAsia="Arial" w:hAnsi="Arial"/>
          <w:i/>
          <w:iCs/>
          <w:sz w:val="22"/>
          <w:szCs w:val="22"/>
        </w:rPr>
        <w:t xml:space="preserve">Transforming our world: The 2030 agenda for sustainable development</w:t>
      </w:r>
      <w:r>
        <w:rPr>
          <w:rFonts w:ascii="Arial" w:cs="Arial" w:eastAsia="Arial" w:hAnsi="Arial"/>
          <w:sz w:val="22"/>
          <w:szCs w:val="22"/>
        </w:rPr>
        <w:t xml:space="preserve">. </w:t>
      </w:r>
      <w:hyperlink w:history="1" r:id="rIdznlfdwv8yaapz8xcdh-si">
        <w:r>
          <w:rPr>
            <w:rFonts w:ascii="Arial" w:cs="Arial" w:eastAsia="Arial" w:hAnsi="Arial"/>
            <w:color w:val="1155CC"/>
            <w:sz w:val="22"/>
            <w:szCs w:val="22"/>
            <w:u w:val="single"/>
          </w:rPr>
          <w:t xml:space="preserve">https://sdgs.un.org/2030agenda</w:t>
        </w:r>
      </w:hyperlink>
    </w:p>
    <w:p>
      <w:pPr>
        <w:spacing w:after="160" w:line="320"/>
        <w:ind w:left="720" w:hanging="720"/>
      </w:pPr>
      <w:r>
        <w:rPr>
          <w:rFonts w:ascii="Arial" w:cs="Arial" w:eastAsia="Arial" w:hAnsi="Arial"/>
          <w:sz w:val="22"/>
          <w:szCs w:val="22"/>
        </w:rPr>
        <w:t xml:space="preserve">United Nations Development Programme. (2024). </w:t>
      </w:r>
      <w:r>
        <w:rPr>
          <w:rFonts w:ascii="Arial" w:cs="Arial" w:eastAsia="Arial" w:hAnsi="Arial"/>
          <w:i/>
          <w:iCs/>
          <w:sz w:val="22"/>
          <w:szCs w:val="22"/>
        </w:rPr>
        <w:t xml:space="preserve">Human development report 2023/2024</w:t>
      </w:r>
      <w:r>
        <w:rPr>
          <w:rFonts w:ascii="Arial" w:cs="Arial" w:eastAsia="Arial" w:hAnsi="Arial"/>
          <w:sz w:val="22"/>
          <w:szCs w:val="22"/>
        </w:rPr>
        <w:t xml:space="preserve">. </w:t>
      </w:r>
      <w:hyperlink w:history="1" r:id="rIdyhd8ame3o6f3oicwdxg3a">
        <w:r>
          <w:rPr>
            <w:rFonts w:ascii="Arial" w:cs="Arial" w:eastAsia="Arial" w:hAnsi="Arial"/>
            <w:color w:val="1155CC"/>
            <w:sz w:val="22"/>
            <w:szCs w:val="22"/>
            <w:u w:val="single"/>
          </w:rPr>
          <w:t xml:space="preserve">https://hdr.undp.org/content/human-development-report-2023-24</w:t>
        </w:r>
      </w:hyperlink>
    </w:p>
    <w:p>
      <w:pPr>
        <w:spacing w:after="160" w:line="320"/>
        <w:ind w:left="720" w:hanging="720"/>
      </w:pPr>
      <w:r>
        <w:rPr>
          <w:rFonts w:ascii="Arial" w:cs="Arial" w:eastAsia="Arial" w:hAnsi="Arial"/>
          <w:sz w:val="22"/>
          <w:szCs w:val="22"/>
        </w:rPr>
        <w:t xml:space="preserve">UN Sustainable Development Solutions Network. (2024). </w:t>
      </w:r>
      <w:r>
        <w:rPr>
          <w:rFonts w:ascii="Arial" w:cs="Arial" w:eastAsia="Arial" w:hAnsi="Arial"/>
          <w:i/>
          <w:iCs/>
          <w:sz w:val="22"/>
          <w:szCs w:val="22"/>
        </w:rPr>
        <w:t xml:space="preserve">Sustainable development report 2024</w:t>
      </w:r>
      <w:r>
        <w:rPr>
          <w:rFonts w:ascii="Arial" w:cs="Arial" w:eastAsia="Arial" w:hAnsi="Arial"/>
          <w:sz w:val="22"/>
          <w:szCs w:val="22"/>
        </w:rPr>
        <w:t xml:space="preserve">. </w:t>
      </w:r>
      <w:hyperlink w:history="1" r:id="rIdr2r1wzgxko143xe91isra">
        <w:r>
          <w:rPr>
            <w:rFonts w:ascii="Arial" w:cs="Arial" w:eastAsia="Arial" w:hAnsi="Arial"/>
            <w:color w:val="1155CC"/>
            <w:sz w:val="22"/>
            <w:szCs w:val="22"/>
            <w:u w:val="single"/>
          </w:rPr>
          <w:t xml:space="preserve">https://dashboards.sdgindex.org/</w:t>
        </w:r>
      </w:hyperlink>
    </w:p>
    <w:p>
      <w:pPr>
        <w:spacing w:after="160" w:line="320"/>
        <w:ind w:left="720" w:hanging="720"/>
      </w:pPr>
      <w:r>
        <w:rPr>
          <w:rFonts w:ascii="Arial" w:cs="Arial" w:eastAsia="Arial" w:hAnsi="Arial"/>
          <w:sz w:val="22"/>
          <w:szCs w:val="22"/>
        </w:rPr>
        <w:t xml:space="preserve">Vosoughi, S., Roy, D., &amp; Aral, S. (2018). The spread of true and false news online. </w:t>
      </w:r>
      <w:r>
        <w:rPr>
          <w:rFonts w:ascii="Arial" w:cs="Arial" w:eastAsia="Arial" w:hAnsi="Arial"/>
          <w:i/>
          <w:iCs/>
          <w:sz w:val="22"/>
          <w:szCs w:val="22"/>
        </w:rPr>
        <w:t xml:space="preserve">Science, 359</w:t>
      </w:r>
      <w:r>
        <w:rPr>
          <w:rFonts w:ascii="Arial" w:cs="Arial" w:eastAsia="Arial" w:hAnsi="Arial"/>
          <w:sz w:val="22"/>
          <w:szCs w:val="22"/>
        </w:rPr>
        <w:t xml:space="preserve">(6380), 1146–1151. </w:t>
      </w:r>
      <w:hyperlink w:history="1" r:id="rIdk9apncmw5xypgk9_19_at">
        <w:r>
          <w:rPr>
            <w:rFonts w:ascii="Arial" w:cs="Arial" w:eastAsia="Arial" w:hAnsi="Arial"/>
            <w:color w:val="1155CC"/>
            <w:sz w:val="22"/>
            <w:szCs w:val="22"/>
            <w:u w:val="single"/>
          </w:rPr>
          <w:t xml:space="preserve">https://doi.org/10.1126/science.aap9559</w:t>
        </w:r>
      </w:hyperlink>
    </w:p>
    <w:p>
      <w:pPr>
        <w:spacing w:after="160" w:line="320"/>
        <w:ind w:left="720" w:hanging="720"/>
      </w:pPr>
      <w:r>
        <w:rPr>
          <w:rFonts w:ascii="Arial" w:cs="Arial" w:eastAsia="Arial" w:hAnsi="Arial"/>
          <w:sz w:val="22"/>
          <w:szCs w:val="22"/>
        </w:rPr>
        <w:t xml:space="preserve">World Bank. (2021). </w:t>
      </w:r>
      <w:r>
        <w:rPr>
          <w:rFonts w:ascii="Arial" w:cs="Arial" w:eastAsia="Arial" w:hAnsi="Arial"/>
          <w:i/>
          <w:iCs/>
          <w:sz w:val="22"/>
          <w:szCs w:val="22"/>
        </w:rPr>
        <w:t xml:space="preserve">The changing wealth of nations 2021: Managing assets for the future</w:t>
      </w:r>
      <w:r>
        <w:rPr>
          <w:rFonts w:ascii="Arial" w:cs="Arial" w:eastAsia="Arial" w:hAnsi="Arial"/>
          <w:sz w:val="22"/>
          <w:szCs w:val="22"/>
        </w:rPr>
        <w:t xml:space="preserve">. World Bank Group. </w:t>
      </w:r>
      <w:hyperlink w:history="1" r:id="rIdspguawigp400g761vno_q">
        <w:r>
          <w:rPr>
            <w:rFonts w:ascii="Arial" w:cs="Arial" w:eastAsia="Arial" w:hAnsi="Arial"/>
            <w:color w:val="1155CC"/>
            <w:sz w:val="22"/>
            <w:szCs w:val="22"/>
            <w:u w:val="single"/>
          </w:rPr>
          <w:t xml:space="preserve">https://openknowledge.worldbank.org/handle/10986/36400</w:t>
        </w:r>
      </w:hyperlink>
    </w:p>
    <w:p>
      <w:pPr>
        <w:spacing w:after="160" w:line="320"/>
        <w:ind w:left="720" w:hanging="720"/>
      </w:pPr>
      <w:r>
        <w:rPr>
          <w:rFonts w:ascii="Arial" w:cs="Arial" w:eastAsia="Arial" w:hAnsi="Arial"/>
          <w:sz w:val="22"/>
          <w:szCs w:val="22"/>
        </w:rPr>
        <w:t xml:space="preserve">World Bank. (2023a). </w:t>
      </w:r>
      <w:r>
        <w:rPr>
          <w:rFonts w:ascii="Arial" w:cs="Arial" w:eastAsia="Arial" w:hAnsi="Arial"/>
          <w:i/>
          <w:iCs/>
          <w:sz w:val="22"/>
          <w:szCs w:val="22"/>
        </w:rPr>
        <w:t xml:space="preserve">Poverty and inequality platform: Gini index</w:t>
      </w:r>
      <w:r>
        <w:rPr>
          <w:rFonts w:ascii="Arial" w:cs="Arial" w:eastAsia="Arial" w:hAnsi="Arial"/>
          <w:sz w:val="22"/>
          <w:szCs w:val="22"/>
        </w:rPr>
        <w:t xml:space="preserve">. </w:t>
      </w:r>
      <w:hyperlink w:history="1" r:id="rIdbdtel5ibhifcavnb1lpom">
        <w:r>
          <w:rPr>
            <w:rFonts w:ascii="Arial" w:cs="Arial" w:eastAsia="Arial" w:hAnsi="Arial"/>
            <w:color w:val="1155CC"/>
            <w:sz w:val="22"/>
            <w:szCs w:val="22"/>
            <w:u w:val="single"/>
          </w:rPr>
          <w:t xml:space="preserve">https://pip.worldbank.org/</w:t>
        </w:r>
      </w:hyperlink>
    </w:p>
    <w:p>
      <w:pPr>
        <w:spacing w:after="160" w:line="320"/>
        <w:ind w:left="720" w:hanging="720"/>
      </w:pPr>
      <w:r>
        <w:rPr>
          <w:rFonts w:ascii="Arial" w:cs="Arial" w:eastAsia="Arial" w:hAnsi="Arial"/>
          <w:sz w:val="22"/>
          <w:szCs w:val="22"/>
        </w:rPr>
        <w:t xml:space="preserve">World Bank. (2023b). </w:t>
      </w:r>
      <w:r>
        <w:rPr>
          <w:rFonts w:ascii="Arial" w:cs="Arial" w:eastAsia="Arial" w:hAnsi="Arial"/>
          <w:i/>
          <w:iCs/>
          <w:sz w:val="22"/>
          <w:szCs w:val="22"/>
        </w:rPr>
        <w:t xml:space="preserve">State and trends of carbon pricing 2023</w:t>
      </w:r>
      <w:r>
        <w:rPr>
          <w:rFonts w:ascii="Arial" w:cs="Arial" w:eastAsia="Arial" w:hAnsi="Arial"/>
          <w:sz w:val="22"/>
          <w:szCs w:val="22"/>
        </w:rPr>
        <w:t xml:space="preserve">. </w:t>
      </w:r>
      <w:hyperlink w:history="1" r:id="rIdrnt0yf3u-wsmko1inoupc">
        <w:r>
          <w:rPr>
            <w:rFonts w:ascii="Arial" w:cs="Arial" w:eastAsia="Arial" w:hAnsi="Arial"/>
            <w:color w:val="1155CC"/>
            <w:sz w:val="22"/>
            <w:szCs w:val="22"/>
            <w:u w:val="single"/>
          </w:rPr>
          <w:t xml:space="preserve">https://openknowledge.worldbank.org/handle/10986/39796</w:t>
        </w:r>
      </w:hyperlink>
    </w:p>
    <w:p>
      <w:pPr>
        <w:spacing w:after="160" w:line="320"/>
        <w:ind w:left="720" w:hanging="720"/>
      </w:pPr>
      <w:r>
        <w:rPr>
          <w:rFonts w:ascii="Arial" w:cs="Arial" w:eastAsia="Arial" w:hAnsi="Arial"/>
          <w:sz w:val="22"/>
          <w:szCs w:val="22"/>
        </w:rPr>
        <w:t xml:space="preserve">World Economic Forum. (2020). </w:t>
      </w:r>
      <w:r>
        <w:rPr>
          <w:rFonts w:ascii="Arial" w:cs="Arial" w:eastAsia="Arial" w:hAnsi="Arial"/>
          <w:i/>
          <w:iCs/>
          <w:sz w:val="22"/>
          <w:szCs w:val="22"/>
        </w:rPr>
        <w:t xml:space="preserve">Half of world's GDP moderately or highly dependent on nature</w:t>
      </w:r>
      <w:r>
        <w:rPr>
          <w:rFonts w:ascii="Arial" w:cs="Arial" w:eastAsia="Arial" w:hAnsi="Arial"/>
          <w:sz w:val="22"/>
          <w:szCs w:val="22"/>
        </w:rPr>
        <w:t xml:space="preserve">. </w:t>
      </w:r>
      <w:hyperlink w:history="1" r:id="rIdhzeaaq4gsvnu2x--3anam">
        <w:r>
          <w:rPr>
            <w:rFonts w:ascii="Arial" w:cs="Arial" w:eastAsia="Arial" w:hAnsi="Arial"/>
            <w:color w:val="1155CC"/>
            <w:sz w:val="22"/>
            <w:szCs w:val="22"/>
            <w:u w:val="single"/>
          </w:rPr>
          <w:t xml:space="preserve">https://www.weforum.org/press/2020/01/half-of-world-s-gdp-moderately-or-highly-dependent-on-nature-says-new-report/</w:t>
        </w:r>
      </w:hyperlink>
    </w:p>
    <w:p>
      <w:pPr>
        <w:spacing w:after="160" w:line="320"/>
        <w:ind w:left="720" w:hanging="720"/>
      </w:pPr>
      <w:r>
        <w:rPr>
          <w:rFonts w:ascii="Arial" w:cs="Arial" w:eastAsia="Arial" w:hAnsi="Arial"/>
          <w:sz w:val="22"/>
          <w:szCs w:val="22"/>
        </w:rPr>
        <w:t xml:space="preserve">World Economic Forum. (2026). </w:t>
      </w:r>
      <w:r>
        <w:rPr>
          <w:rFonts w:ascii="Arial" w:cs="Arial" w:eastAsia="Arial" w:hAnsi="Arial"/>
          <w:i/>
          <w:iCs/>
          <w:sz w:val="22"/>
          <w:szCs w:val="22"/>
        </w:rPr>
        <w:t xml:space="preserve">Global risks report 2026</w:t>
      </w:r>
      <w:r>
        <w:rPr>
          <w:rFonts w:ascii="Arial" w:cs="Arial" w:eastAsia="Arial" w:hAnsi="Arial"/>
          <w:sz w:val="22"/>
          <w:szCs w:val="22"/>
        </w:rPr>
        <w:t xml:space="preserve">. </w:t>
      </w:r>
      <w:hyperlink w:history="1" r:id="rIdfbcs_afrcrtxa_na1r0c_">
        <w:r>
          <w:rPr>
            <w:rFonts w:ascii="Arial" w:cs="Arial" w:eastAsia="Arial" w:hAnsi="Arial"/>
            <w:color w:val="1155CC"/>
            <w:sz w:val="22"/>
            <w:szCs w:val="22"/>
            <w:u w:val="single"/>
          </w:rPr>
          <w:t xml:space="preserve">https://www.weforum.org/publications/global-risks-report-2026/</w:t>
        </w:r>
      </w:hyperlink>
    </w:p>
    <w:p>
      <w:pPr>
        <w:spacing w:after="160" w:line="320"/>
        <w:ind w:left="720" w:hanging="720"/>
      </w:pPr>
      <w:r>
        <w:rPr>
          <w:rFonts w:ascii="Arial" w:cs="Arial" w:eastAsia="Arial" w:hAnsi="Arial"/>
          <w:sz w:val="22"/>
          <w:szCs w:val="22"/>
        </w:rPr>
        <w:t xml:space="preserve">Zuboff, S. (2019). </w:t>
      </w:r>
      <w:r>
        <w:rPr>
          <w:rFonts w:ascii="Arial" w:cs="Arial" w:eastAsia="Arial" w:hAnsi="Arial"/>
          <w:i/>
          <w:iCs/>
          <w:sz w:val="22"/>
          <w:szCs w:val="22"/>
        </w:rPr>
        <w:t xml:space="preserve">The age of surveillance capitalism: The fight for a human future at the new frontier of power</w:t>
      </w:r>
      <w:r>
        <w:rPr>
          <w:rFonts w:ascii="Arial" w:cs="Arial" w:eastAsia="Arial" w:hAnsi="Arial"/>
          <w:sz w:val="22"/>
          <w:szCs w:val="22"/>
        </w:rPr>
        <w:t xml:space="preserve">. PublicAffairs. </w:t>
      </w:r>
      <w:hyperlink w:history="1" r:id="rId0bysqgg-o-o8z8wxjbmuk">
        <w:r>
          <w:rPr>
            <w:rFonts w:ascii="Arial" w:cs="Arial" w:eastAsia="Arial" w:hAnsi="Arial"/>
            <w:color w:val="1155CC"/>
            <w:sz w:val="22"/>
            <w:szCs w:val="22"/>
            <w:u w:val="single"/>
          </w:rPr>
          <w:t xml:space="preserve">https://www.publicaffairsbooks.com/titles/shoshana-zuboff/the-age-of-surveillance-capitalism/9781610395694/</w:t>
        </w:r>
      </w:hyperlink>
    </w:p>
    <w:sectPr>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4"/>
        <w:szCs w:val="24"/>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spacing w:after="160" w:before="320"/>
      <w:outlineLvl w:val="0"/>
    </w:pPr>
    <w:rPr>
      <w:rFonts w:ascii="Arial" w:cs="Arial" w:eastAsia="Arial" w:hAnsi="Arial"/>
      <w:b/>
      <w:bCs/>
      <w:color w:val="1F3864"/>
      <w:sz w:val="28"/>
      <w:szCs w:val="28"/>
    </w:rPr>
  </w:style>
  <w:style w:type="paragraph" w:styleId="Heading2">
    <w:name w:val="Heading 2"/>
    <w:basedOn w:val="Normal"/>
    <w:next w:val="Normal"/>
    <w:qFormat/>
    <w:pPr>
      <w:spacing w:after="120" w:before="240"/>
      <w:outlineLvl w:val="1"/>
    </w:pPr>
    <w:rPr>
      <w:rFonts w:ascii="Arial" w:cs="Arial" w:eastAsia="Arial" w:hAnsi="Arial"/>
      <w:b/>
      <w:bCs/>
      <w:color w:val="2E5E9A"/>
      <w:sz w:val="25"/>
      <w:szCs w:val="25"/>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ra-fnmfpxkkzluskjs7lc" Type="http://schemas.openxmlformats.org/officeDocument/2006/relationships/hyperlink" Target="https://www.apple.com/environment/pdf/Apple_Environmental_Progress_Report_2023.pdf" TargetMode="External"/><Relationship Id="rIdbcbsnk0ck90ctt1-4unlj" Type="http://schemas.openxmlformats.org/officeDocument/2006/relationships/hyperlink" Target="https://hdr.undp.org/content/economic-crises-and-inequality" TargetMode="External"/><Relationship Id="rIdxv86dl8sftvk0nsf1qanx" Type="http://schemas.openxmlformats.org/officeDocument/2006/relationships/hyperlink" Target="https://www.foreign.gov.bb/bridgetown-initiative/" TargetMode="External"/><Relationship Id="rId9i9pm-zdyfnowphc4dbke" Type="http://schemas.openxmlformats.org/officeDocument/2006/relationships/hyperlink" Target="https://sustainabledevelopment.un.org/content/documents/5987our-common-future.pdf" TargetMode="External"/><Relationship Id="rIdndxwjqyygm1o52nv6aqci" Type="http://schemas.openxmlformats.org/officeDocument/2006/relationships/hyperlink" Target="https://www.ted.com/talks/carole_cadwalladr_facebook_s_role_in_brexit_and_the_threat_to_democracy" TargetMode="External"/><Relationship Id="rIdgveqtghwi12oh-2o0phot" Type="http://schemas.openxmlformats.org/officeDocument/2006/relationships/hyperlink" Target="https://doi.org/10.1088/1748-9326/8/2/024024" TargetMode="External"/><Relationship Id="rIdsmfhovnksfsireoch_l42" Type="http://schemas.openxmlformats.org/officeDocument/2006/relationships/hyperlink" Target="https://doi.org/10.1046/j.1523-1739.1992.610037.x" TargetMode="External"/><Relationship Id="rIdg9xd8oxgovv2-rd_e9gy9" Type="http://schemas.openxmlformats.org/officeDocument/2006/relationships/hyperlink" Target="https://doi.org/10.1016/0921-8009(90)90010-R" TargetMode="External"/><Relationship Id="rIdzlvkkbmdf4p0xy6lztbmg" Type="http://schemas.openxmlformats.org/officeDocument/2006/relationships/hyperlink" Target="https://islandpress.org/books/ecological-economics-second-edition" TargetMode="External"/><Relationship Id="rId9daltilyuor76ln1or0wt" Type="http://schemas.openxmlformats.org/officeDocument/2006/relationships/hyperlink" Target="https://doi.org/10.1016/j.ecolecon.2004.02.011" TargetMode="External"/><Relationship Id="rIduquyhudgvhxsurmir_vjr" Type="http://schemas.openxmlformats.org/officeDocument/2006/relationships/hyperlink" Target="https://doi.org/10.1177/1086026615575176" TargetMode="External"/><Relationship Id="rIdzcbk-l87fk7tujvcankmi" Type="http://schemas.openxmlformats.org/officeDocument/2006/relationships/hyperlink" Target="https://ellenmacarthurfoundation.org/completing-the-picture" TargetMode="External"/><Relationship Id="rIdsbbvcfkbuev5tj3umd6ss" Type="http://schemas.openxmlformats.org/officeDocument/2006/relationships/hyperlink" Target="https://single-market-economy.ec.europa.eu/sectors/raw-materials/areas-specific-interest/critical-raw-materials/critical-raw-materials-act_en" TargetMode="External"/><Relationship Id="rIdyywg-g7iqsihz8sblcdds" Type="http://schemas.openxmlformats.org/officeDocument/2006/relationships/hyperlink" Target="https://eur-lex.europa.eu/legal-content/EN/TXT/?uri=CELEX%3A32022R2065" TargetMode="External"/><Relationship Id="rIdb6mx7_ykm-04aojsdxdx3" Type="http://schemas.openxmlformats.org/officeDocument/2006/relationships/hyperlink" Target="https://www.jstor.org/stable/1828079" TargetMode="External"/><Relationship Id="rIdtj7mz54uek8odnoj3yu2u" Type="http://schemas.openxmlformats.org/officeDocument/2006/relationships/hyperlink" Target="https://www.iea.org/reports/the-role-of-critical-minerals-in-clean-energy-transitions" TargetMode="External"/><Relationship Id="rIdpswoxesvokdhlowd57-hk" Type="http://schemas.openxmlformats.org/officeDocument/2006/relationships/hyperlink" Target="https://www.iea.org/reports/co2-emissions-in-2022" TargetMode="External"/><Relationship Id="rIdikjdicpcdn8tyh3t26lub" Type="http://schemas.openxmlformats.org/officeDocument/2006/relationships/hyperlink" Target="https://www.irena.org/publications/2023/Aug/Renewable-Power-Generation-Costs-in-2022" TargetMode="External"/><Relationship Id="rIdp9ldd5zqdexsg73eppidn" Type="http://schemas.openxmlformats.org/officeDocument/2006/relationships/hyperlink" Target="https://www.jstor.org/stable/1811581" TargetMode="External"/><Relationship Id="rId3bl_jgryim87qz3knuiv5" Type="http://schemas.openxmlformats.org/officeDocument/2006/relationships/hyperlink" Target="https://www.clubofrome.org/publication/the-limits-to-growth/" TargetMode="External"/><Relationship Id="rId1mcyu84l8ijvutci5121j" Type="http://schemas.openxmlformats.org/officeDocument/2006/relationships/hyperlink" Target="https://doi.org/10.1787/9789264119536-en" TargetMode="External"/><Relationship Id="rIdbf7rsuvt0wubtmjh9xr6u" Type="http://schemas.openxmlformats.org/officeDocument/2006/relationships/hyperlink" Target="https://doi.org/10.1017/CBO9781316423936" TargetMode="External"/><Relationship Id="rIdnpux8n8ym0vvezbetuylw" Type="http://schemas.openxmlformats.org/officeDocument/2006/relationships/hyperlink" Target="https://archive.org/details/in.ernet.dli.2015.218874" TargetMode="External"/><Relationship Id="rIdntf1dzg3r5wdh6jwgtuvo" Type="http://schemas.openxmlformats.org/officeDocument/2006/relationships/hyperlink" Target="https://doi.org/10.1257/jep.9.4.97" TargetMode="External"/><Relationship Id="rId7eqbvapm2b_l5stjxb2gz" Type="http://schemas.openxmlformats.org/officeDocument/2006/relationships/hyperlink" Target="https://www.renaultgroup.com/en/news-on-air/news/the-refactory-circular-economy-at-the-heart-of-renault-groups-strategy/" TargetMode="External"/><Relationship Id="rIdtlrxry6ppulkkcwbdl-co" Type="http://schemas.openxmlformats.org/officeDocument/2006/relationships/hyperlink" Target="https://reutersinstitute.politics.ox.ac.uk/digital-news-report/2025" TargetMode="External"/><Relationship Id="rId9ci4-6w3wr8ttowqf9fud" Type="http://schemas.openxmlformats.org/officeDocument/2006/relationships/hyperlink" Target="https://www.econlib.org/library/Ricardo/ricP.html" TargetMode="External"/><Relationship Id="rIdhgka8hu-qibc6zv1x2mcm" Type="http://schemas.openxmlformats.org/officeDocument/2006/relationships/hyperlink" Target="https://doi.org/10.1086/261725" TargetMode="External"/><Relationship Id="rIdv3wmt12v8vs2nlagpyesz" Type="http://schemas.openxmlformats.org/officeDocument/2006/relationships/hyperlink" Target="https://doi.org/10.1098/rsos.201199" TargetMode="External"/><Relationship Id="rId-y9ot998gangcwhirogu4" Type="http://schemas.openxmlformats.org/officeDocument/2006/relationships/hyperlink" Target="https://sciencebasedtargets.org/resources/files/SBTi-Corporate-Manual.pdf" TargetMode="External"/><Relationship Id="rIdjnqccf0tbzc0wcbosywcd" Type="http://schemas.openxmlformats.org/officeDocument/2006/relationships/hyperlink" Target="https://press.princeton.edu/books/paperback/9780691003818/the-ultimate-resource-2" TargetMode="External"/><Relationship Id="rIdqzt0n_halxt-c2__uixbd" Type="http://schemas.openxmlformats.org/officeDocument/2006/relationships/hyperlink" Target="https://doi.org/10.2307/2296370" TargetMode="External"/><Relationship Id="rIdaokwnb9cgtblxark4tpbl" Type="http://schemas.openxmlformats.org/officeDocument/2006/relationships/hyperlink" Target="https://doi.org/10.1016/j.worlddev.2004.03.004" TargetMode="External"/><Relationship Id="rIdpec5mjbyyzinubkvvwbum" Type="http://schemas.openxmlformats.org/officeDocument/2006/relationships/hyperlink" Target="https://doi.org/10.1088/1748-9326/aa815f" TargetMode="External"/><Relationship Id="rIdx0vsvzz01bmc-ao8tmfkf" Type="http://schemas.openxmlformats.org/officeDocument/2006/relationships/hyperlink" Target="https://unctad.org/publication/world-investment-report-2023" TargetMode="External"/><Relationship Id="rIdznlfdwv8yaapz8xcdh-si" Type="http://schemas.openxmlformats.org/officeDocument/2006/relationships/hyperlink" Target="https://sdgs.un.org/2030agenda" TargetMode="External"/><Relationship Id="rIdyhd8ame3o6f3oicwdxg3a" Type="http://schemas.openxmlformats.org/officeDocument/2006/relationships/hyperlink" Target="https://hdr.undp.org/content/human-development-report-2023-24" TargetMode="External"/><Relationship Id="rIdr2r1wzgxko143xe91isra" Type="http://schemas.openxmlformats.org/officeDocument/2006/relationships/hyperlink" Target="https://dashboards.sdgindex.org/" TargetMode="External"/><Relationship Id="rIdk9apncmw5xypgk9_19_at" Type="http://schemas.openxmlformats.org/officeDocument/2006/relationships/hyperlink" Target="https://doi.org/10.1126/science.aap9559" TargetMode="External"/><Relationship Id="rIdspguawigp400g761vno_q" Type="http://schemas.openxmlformats.org/officeDocument/2006/relationships/hyperlink" Target="https://openknowledge.worldbank.org/handle/10986/36400" TargetMode="External"/><Relationship Id="rIdbdtel5ibhifcavnb1lpom" Type="http://schemas.openxmlformats.org/officeDocument/2006/relationships/hyperlink" Target="https://pip.worldbank.org/" TargetMode="External"/><Relationship Id="rIdrnt0yf3u-wsmko1inoupc" Type="http://schemas.openxmlformats.org/officeDocument/2006/relationships/hyperlink" Target="https://openknowledge.worldbank.org/handle/10986/39796" TargetMode="External"/><Relationship Id="rIdhzeaaq4gsvnu2x--3anam" Type="http://schemas.openxmlformats.org/officeDocument/2006/relationships/hyperlink" Target="https://www.weforum.org/press/2020/01/half-of-world-s-gdp-moderately-or-highly-dependent-on-nature-says-new-report/" TargetMode="External"/><Relationship Id="rIdfbcs_afrcrtxa_na1r0c_" Type="http://schemas.openxmlformats.org/officeDocument/2006/relationships/hyperlink" Target="https://www.weforum.org/publications/global-risks-report-2026/" TargetMode="External"/><Relationship Id="rId0bysqgg-o-o8z8wxjbmuk" Type="http://schemas.openxmlformats.org/officeDocument/2006/relationships/hyperlink" Target="https://www.publicaffairsbooks.com/titles/shoshana-zuboff/the-age-of-surveillance-capitalism/9781610395694/" TargetMode="External"/><Relationship Id="rId52"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2026-05-12T09:11:35.803Z</dcterms:created>
  <dcterms:modified xsi:type="dcterms:W3CDTF">2026-05-12T09:11:35.804Z</dcterms:modified>
</cp:coreProperties>
</file>

<file path=docProps/custom.xml><?xml version="1.0" encoding="utf-8"?>
<Properties xmlns="http://schemas.openxmlformats.org/officeDocument/2006/custom-properties" xmlns:vt="http://schemas.openxmlformats.org/officeDocument/2006/docPropsVTypes"/>
</file>