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8965E" w14:textId="77777777" w:rsidR="00F57AEE" w:rsidRPr="005A1C28" w:rsidRDefault="00F57AEE" w:rsidP="00F640E7">
      <w:pPr>
        <w:spacing w:line="360" w:lineRule="auto"/>
        <w:jc w:val="both"/>
        <w:rPr>
          <w:rFonts w:ascii="Times New Roman" w:hAnsi="Times New Roman" w:cs="Times New Roman"/>
        </w:rPr>
      </w:pPr>
    </w:p>
    <w:p w14:paraId="502D92A8" w14:textId="77777777" w:rsidR="00F57AEE" w:rsidRPr="005A1C28" w:rsidRDefault="00F57AEE" w:rsidP="00F640E7">
      <w:pPr>
        <w:spacing w:line="360" w:lineRule="auto"/>
        <w:jc w:val="both"/>
        <w:rPr>
          <w:rFonts w:ascii="Times New Roman" w:hAnsi="Times New Roman" w:cs="Times New Roman"/>
        </w:rPr>
      </w:pPr>
    </w:p>
    <w:p w14:paraId="26A467F5" w14:textId="77777777" w:rsidR="00F57AEE" w:rsidRPr="005A1C28" w:rsidRDefault="00F57AEE" w:rsidP="00F640E7">
      <w:pPr>
        <w:spacing w:line="360" w:lineRule="auto"/>
        <w:jc w:val="both"/>
        <w:rPr>
          <w:rFonts w:ascii="Times New Roman" w:hAnsi="Times New Roman" w:cs="Times New Roman"/>
        </w:rPr>
      </w:pPr>
    </w:p>
    <w:p w14:paraId="64B78148" w14:textId="77777777" w:rsidR="00F57AEE" w:rsidRPr="005A1C28" w:rsidRDefault="00F57AEE" w:rsidP="00F640E7">
      <w:pPr>
        <w:spacing w:line="360" w:lineRule="auto"/>
        <w:jc w:val="both"/>
        <w:rPr>
          <w:rFonts w:ascii="Times New Roman" w:hAnsi="Times New Roman" w:cs="Times New Roman"/>
        </w:rPr>
      </w:pPr>
    </w:p>
    <w:p w14:paraId="49B66AAC" w14:textId="0C34E811" w:rsidR="00A672E8" w:rsidRPr="005A1C28" w:rsidRDefault="00D45F15" w:rsidP="00F640E7">
      <w:pPr>
        <w:spacing w:line="360" w:lineRule="auto"/>
        <w:jc w:val="center"/>
        <w:rPr>
          <w:rFonts w:ascii="Times New Roman" w:hAnsi="Times New Roman" w:cs="Times New Roman"/>
        </w:rPr>
      </w:pPr>
      <w:r w:rsidRPr="005A1C28">
        <w:rPr>
          <w:rFonts w:ascii="Times New Roman" w:hAnsi="Times New Roman" w:cs="Times New Roman"/>
        </w:rPr>
        <w:t>The four (4) methods of contracting in project management and their relative advantages and disadvantages</w:t>
      </w:r>
    </w:p>
    <w:p w14:paraId="444C314A" w14:textId="77777777" w:rsidR="00F57AEE" w:rsidRPr="005A1C28" w:rsidRDefault="00F57AEE" w:rsidP="00F640E7">
      <w:pPr>
        <w:spacing w:line="360" w:lineRule="auto"/>
        <w:jc w:val="both"/>
        <w:rPr>
          <w:rFonts w:ascii="Times New Roman" w:hAnsi="Times New Roman" w:cs="Times New Roman"/>
        </w:rPr>
      </w:pPr>
    </w:p>
    <w:p w14:paraId="6EB6BCAC" w14:textId="77777777" w:rsidR="00F57AEE" w:rsidRPr="005A1C28" w:rsidRDefault="00F57AEE" w:rsidP="00F640E7">
      <w:pPr>
        <w:spacing w:line="360" w:lineRule="auto"/>
        <w:jc w:val="both"/>
        <w:rPr>
          <w:rFonts w:ascii="Times New Roman" w:hAnsi="Times New Roman" w:cs="Times New Roman"/>
        </w:rPr>
      </w:pPr>
    </w:p>
    <w:p w14:paraId="4FD62A80" w14:textId="77777777" w:rsidR="00F57AEE" w:rsidRPr="005A1C28" w:rsidRDefault="00F57AEE" w:rsidP="00F640E7">
      <w:pPr>
        <w:spacing w:line="360" w:lineRule="auto"/>
        <w:jc w:val="both"/>
        <w:rPr>
          <w:rFonts w:ascii="Times New Roman" w:hAnsi="Times New Roman" w:cs="Times New Roman"/>
        </w:rPr>
      </w:pPr>
    </w:p>
    <w:p w14:paraId="0AA7999B" w14:textId="77777777" w:rsidR="00F57AEE" w:rsidRPr="005A1C28" w:rsidRDefault="00F57AEE" w:rsidP="00F640E7">
      <w:pPr>
        <w:spacing w:line="360" w:lineRule="auto"/>
        <w:jc w:val="both"/>
        <w:rPr>
          <w:rFonts w:ascii="Times New Roman" w:hAnsi="Times New Roman" w:cs="Times New Roman"/>
        </w:rPr>
      </w:pPr>
      <w:r w:rsidRPr="005A1C28">
        <w:rPr>
          <w:rFonts w:ascii="Times New Roman" w:hAnsi="Times New Roman" w:cs="Times New Roman"/>
        </w:rPr>
        <w:t>Programme: BA (Hons) Business Management</w:t>
      </w:r>
    </w:p>
    <w:p w14:paraId="5ABC7C7D" w14:textId="77777777" w:rsidR="00F57AEE" w:rsidRPr="005A1C28" w:rsidRDefault="00F57AEE" w:rsidP="00F640E7">
      <w:pPr>
        <w:spacing w:line="360" w:lineRule="auto"/>
        <w:jc w:val="both"/>
        <w:rPr>
          <w:rFonts w:ascii="Times New Roman" w:hAnsi="Times New Roman" w:cs="Times New Roman"/>
        </w:rPr>
      </w:pPr>
      <w:r w:rsidRPr="005A1C28">
        <w:rPr>
          <w:rFonts w:ascii="Times New Roman" w:hAnsi="Times New Roman" w:cs="Times New Roman"/>
        </w:rPr>
        <w:t>Module: Project Management</w:t>
      </w:r>
    </w:p>
    <w:p w14:paraId="0C00B58F" w14:textId="77777777" w:rsidR="00F57AEE" w:rsidRPr="005A1C28" w:rsidRDefault="00F57AEE" w:rsidP="00F640E7">
      <w:pPr>
        <w:spacing w:line="360" w:lineRule="auto"/>
        <w:jc w:val="both"/>
        <w:rPr>
          <w:rFonts w:ascii="Times New Roman" w:hAnsi="Times New Roman" w:cs="Times New Roman"/>
        </w:rPr>
      </w:pPr>
      <w:r w:rsidRPr="005A1C28">
        <w:rPr>
          <w:rFonts w:ascii="Times New Roman" w:hAnsi="Times New Roman" w:cs="Times New Roman"/>
        </w:rPr>
        <w:t>Module code: LCBB6006</w:t>
      </w:r>
    </w:p>
    <w:p w14:paraId="615FCF93" w14:textId="574D4256" w:rsidR="00F57AEE" w:rsidRPr="005A1C28" w:rsidRDefault="00F57AEE" w:rsidP="00F640E7">
      <w:pPr>
        <w:spacing w:line="360" w:lineRule="auto"/>
        <w:jc w:val="both"/>
        <w:rPr>
          <w:rFonts w:ascii="Times New Roman" w:hAnsi="Times New Roman" w:cs="Times New Roman"/>
        </w:rPr>
      </w:pPr>
      <w:r w:rsidRPr="005A1C28">
        <w:rPr>
          <w:rFonts w:ascii="Times New Roman" w:hAnsi="Times New Roman" w:cs="Times New Roman"/>
        </w:rPr>
        <w:t>Student number: 2330278</w:t>
      </w:r>
    </w:p>
    <w:p w14:paraId="1CA8E676" w14:textId="77777777" w:rsidR="00F57AEE" w:rsidRPr="005A1C28" w:rsidRDefault="00F57AEE" w:rsidP="00F640E7">
      <w:pPr>
        <w:spacing w:line="360" w:lineRule="auto"/>
        <w:jc w:val="both"/>
        <w:rPr>
          <w:rFonts w:ascii="Times New Roman" w:hAnsi="Times New Roman" w:cs="Times New Roman"/>
        </w:rPr>
      </w:pPr>
    </w:p>
    <w:p w14:paraId="47646BBF" w14:textId="77777777" w:rsidR="00F57AEE" w:rsidRPr="005A1C28" w:rsidRDefault="00F57AEE" w:rsidP="00F640E7">
      <w:pPr>
        <w:spacing w:line="360" w:lineRule="auto"/>
        <w:jc w:val="both"/>
        <w:rPr>
          <w:rFonts w:ascii="Times New Roman" w:hAnsi="Times New Roman" w:cs="Times New Roman"/>
        </w:rPr>
      </w:pPr>
    </w:p>
    <w:p w14:paraId="29E778BB" w14:textId="77777777" w:rsidR="00F57AEE" w:rsidRPr="005A1C28" w:rsidRDefault="00F57AEE" w:rsidP="00F640E7">
      <w:pPr>
        <w:spacing w:line="360" w:lineRule="auto"/>
        <w:jc w:val="both"/>
        <w:rPr>
          <w:rFonts w:ascii="Times New Roman" w:hAnsi="Times New Roman" w:cs="Times New Roman"/>
        </w:rPr>
      </w:pPr>
    </w:p>
    <w:p w14:paraId="5AF189EE" w14:textId="77777777" w:rsidR="00F57AEE" w:rsidRPr="005A1C28" w:rsidRDefault="00F57AEE" w:rsidP="00F640E7">
      <w:pPr>
        <w:spacing w:line="360" w:lineRule="auto"/>
        <w:jc w:val="both"/>
        <w:rPr>
          <w:rFonts w:ascii="Times New Roman" w:hAnsi="Times New Roman" w:cs="Times New Roman"/>
        </w:rPr>
      </w:pPr>
    </w:p>
    <w:p w14:paraId="224D474C" w14:textId="77777777" w:rsidR="00F57AEE" w:rsidRPr="005A1C28" w:rsidRDefault="00F57AEE" w:rsidP="00F640E7">
      <w:pPr>
        <w:spacing w:line="360" w:lineRule="auto"/>
        <w:jc w:val="both"/>
        <w:rPr>
          <w:rFonts w:ascii="Times New Roman" w:hAnsi="Times New Roman" w:cs="Times New Roman"/>
        </w:rPr>
      </w:pPr>
    </w:p>
    <w:p w14:paraId="00B5F998" w14:textId="77777777" w:rsidR="00F57AEE" w:rsidRPr="005A1C28" w:rsidRDefault="00F57AEE" w:rsidP="00F640E7">
      <w:pPr>
        <w:spacing w:line="360" w:lineRule="auto"/>
        <w:jc w:val="both"/>
        <w:rPr>
          <w:rFonts w:ascii="Times New Roman" w:hAnsi="Times New Roman" w:cs="Times New Roman"/>
        </w:rPr>
      </w:pPr>
    </w:p>
    <w:p w14:paraId="668F375B" w14:textId="77777777" w:rsidR="00F57AEE" w:rsidRPr="005A1C28" w:rsidRDefault="00F57AEE" w:rsidP="00F640E7">
      <w:pPr>
        <w:spacing w:line="360" w:lineRule="auto"/>
        <w:jc w:val="both"/>
        <w:rPr>
          <w:rFonts w:ascii="Times New Roman" w:hAnsi="Times New Roman" w:cs="Times New Roman"/>
        </w:rPr>
      </w:pPr>
    </w:p>
    <w:p w14:paraId="3242AAAD" w14:textId="77777777" w:rsidR="00F57AEE" w:rsidRPr="005A1C28" w:rsidRDefault="00F57AEE" w:rsidP="00F640E7">
      <w:pPr>
        <w:spacing w:line="360" w:lineRule="auto"/>
        <w:jc w:val="both"/>
        <w:rPr>
          <w:rFonts w:ascii="Times New Roman" w:hAnsi="Times New Roman" w:cs="Times New Roman"/>
        </w:rPr>
      </w:pPr>
    </w:p>
    <w:p w14:paraId="3E8BAD53" w14:textId="77777777" w:rsidR="00F57AEE" w:rsidRPr="005A1C28" w:rsidRDefault="00F57AEE" w:rsidP="00F640E7">
      <w:pPr>
        <w:spacing w:line="360" w:lineRule="auto"/>
        <w:jc w:val="both"/>
        <w:rPr>
          <w:rFonts w:ascii="Times New Roman" w:hAnsi="Times New Roman" w:cs="Times New Roman"/>
        </w:rPr>
      </w:pPr>
    </w:p>
    <w:p w14:paraId="005D2A4E" w14:textId="77777777" w:rsidR="00F57AEE" w:rsidRPr="005A1C28" w:rsidRDefault="00F57AEE" w:rsidP="00F640E7">
      <w:pPr>
        <w:spacing w:line="360" w:lineRule="auto"/>
        <w:jc w:val="both"/>
        <w:rPr>
          <w:rFonts w:ascii="Times New Roman" w:hAnsi="Times New Roman" w:cs="Times New Roman"/>
        </w:rPr>
      </w:pPr>
    </w:p>
    <w:p w14:paraId="7860940D" w14:textId="77777777" w:rsidR="00F57AEE" w:rsidRPr="005A1C28" w:rsidRDefault="00F57AEE" w:rsidP="00F640E7">
      <w:pPr>
        <w:spacing w:line="360" w:lineRule="auto"/>
        <w:jc w:val="both"/>
        <w:rPr>
          <w:rFonts w:ascii="Times New Roman" w:hAnsi="Times New Roman" w:cs="Times New Roman"/>
        </w:rPr>
      </w:pPr>
    </w:p>
    <w:p w14:paraId="65C40ED5" w14:textId="77777777" w:rsidR="00F57AEE" w:rsidRPr="005A1C28" w:rsidRDefault="00F57AEE" w:rsidP="00F640E7">
      <w:pPr>
        <w:spacing w:line="360" w:lineRule="auto"/>
        <w:jc w:val="both"/>
        <w:rPr>
          <w:rFonts w:ascii="Times New Roman" w:hAnsi="Times New Roman" w:cs="Times New Roman"/>
        </w:rPr>
      </w:pPr>
    </w:p>
    <w:p w14:paraId="391D8B06" w14:textId="77777777" w:rsidR="00F57AEE" w:rsidRPr="005A1C28" w:rsidRDefault="00F57AEE" w:rsidP="00F640E7">
      <w:pPr>
        <w:spacing w:line="360" w:lineRule="auto"/>
        <w:jc w:val="both"/>
        <w:rPr>
          <w:rFonts w:ascii="Times New Roman" w:hAnsi="Times New Roman" w:cs="Times New Roman"/>
        </w:rPr>
      </w:pPr>
    </w:p>
    <w:p w14:paraId="52E53C73" w14:textId="77777777" w:rsidR="00F57AEE" w:rsidRPr="005A1C28" w:rsidRDefault="00F57AEE" w:rsidP="00F640E7">
      <w:pPr>
        <w:spacing w:line="360" w:lineRule="auto"/>
        <w:jc w:val="both"/>
        <w:rPr>
          <w:rFonts w:ascii="Times New Roman" w:hAnsi="Times New Roman" w:cs="Times New Roman"/>
        </w:rPr>
      </w:pPr>
    </w:p>
    <w:p w14:paraId="246645D3" w14:textId="77777777" w:rsidR="005F5738" w:rsidRDefault="005F5738" w:rsidP="00F640E7">
      <w:pPr>
        <w:spacing w:line="360" w:lineRule="auto"/>
        <w:jc w:val="both"/>
        <w:rPr>
          <w:rFonts w:ascii="Times New Roman" w:hAnsi="Times New Roman" w:cs="Times New Roman"/>
        </w:rPr>
      </w:pPr>
    </w:p>
    <w:p w14:paraId="4268365A" w14:textId="46503A8C" w:rsidR="00CC00EA" w:rsidRPr="005A1C28" w:rsidRDefault="00CC00EA" w:rsidP="00F640E7">
      <w:pPr>
        <w:spacing w:line="360" w:lineRule="auto"/>
        <w:jc w:val="both"/>
        <w:rPr>
          <w:rFonts w:ascii="Times New Roman" w:hAnsi="Times New Roman" w:cs="Times New Roman"/>
        </w:rPr>
      </w:pPr>
      <w:r>
        <w:rPr>
          <w:rFonts w:ascii="Times New Roman" w:hAnsi="Times New Roman" w:cs="Times New Roman"/>
        </w:rPr>
        <w:t>Table of contents</w:t>
      </w:r>
    </w:p>
    <w:p w14:paraId="1EC2B898" w14:textId="77777777" w:rsidR="005F5738" w:rsidRPr="005A1C28" w:rsidRDefault="005F5738" w:rsidP="00F640E7">
      <w:pPr>
        <w:spacing w:line="360" w:lineRule="auto"/>
        <w:jc w:val="both"/>
        <w:rPr>
          <w:rFonts w:ascii="Times New Roman" w:hAnsi="Times New Roman" w:cs="Times New Roman"/>
        </w:rPr>
      </w:pPr>
    </w:p>
    <w:p w14:paraId="72655D74" w14:textId="33C9CBCC" w:rsidR="00F640E7" w:rsidRDefault="005F5738">
      <w:pPr>
        <w:pStyle w:val="TOC1"/>
        <w:tabs>
          <w:tab w:val="left" w:pos="440"/>
          <w:tab w:val="right" w:leader="dot" w:pos="9016"/>
        </w:tabs>
        <w:rPr>
          <w:rFonts w:cstheme="minorBidi"/>
          <w:noProof/>
          <w:kern w:val="2"/>
          <w:sz w:val="24"/>
          <w:szCs w:val="24"/>
          <w:lang w:val="en-GB" w:eastAsia="en-GB"/>
          <w14:ligatures w14:val="standardContextual"/>
        </w:rPr>
      </w:pPr>
      <w:r w:rsidRPr="005A1C28">
        <w:rPr>
          <w:rFonts w:ascii="Times New Roman" w:hAnsi="Times New Roman"/>
          <w:sz w:val="24"/>
          <w:szCs w:val="24"/>
        </w:rPr>
        <w:fldChar w:fldCharType="begin"/>
      </w:r>
      <w:r w:rsidRPr="005A1C28">
        <w:rPr>
          <w:rFonts w:ascii="Times New Roman" w:hAnsi="Times New Roman"/>
          <w:sz w:val="24"/>
          <w:szCs w:val="24"/>
        </w:rPr>
        <w:instrText xml:space="preserve"> TOC \o \h \z \u </w:instrText>
      </w:r>
      <w:r w:rsidRPr="005A1C28">
        <w:rPr>
          <w:rFonts w:ascii="Times New Roman" w:hAnsi="Times New Roman"/>
          <w:sz w:val="24"/>
          <w:szCs w:val="24"/>
        </w:rPr>
        <w:fldChar w:fldCharType="separate"/>
      </w:r>
      <w:hyperlink w:anchor="_Toc233534845" w:history="1">
        <w:r w:rsidR="00F640E7" w:rsidRPr="00B44656">
          <w:rPr>
            <w:rStyle w:val="Hyperlink"/>
            <w:rFonts w:ascii="Times New Roman" w:hAnsi="Times New Roman"/>
            <w:noProof/>
          </w:rPr>
          <w:t>1.</w:t>
        </w:r>
        <w:r w:rsidR="00F640E7">
          <w:rPr>
            <w:rFonts w:cstheme="minorBidi"/>
            <w:noProof/>
            <w:kern w:val="2"/>
            <w:sz w:val="24"/>
            <w:szCs w:val="24"/>
            <w:lang w:val="en-GB" w:eastAsia="en-GB"/>
            <w14:ligatures w14:val="standardContextual"/>
          </w:rPr>
          <w:tab/>
        </w:r>
        <w:r w:rsidR="00F640E7" w:rsidRPr="00B44656">
          <w:rPr>
            <w:rStyle w:val="Hyperlink"/>
            <w:rFonts w:ascii="Times New Roman" w:hAnsi="Times New Roman"/>
            <w:noProof/>
          </w:rPr>
          <w:t>Introduction</w:t>
        </w:r>
        <w:r w:rsidR="00F640E7">
          <w:rPr>
            <w:noProof/>
            <w:webHidden/>
          </w:rPr>
          <w:tab/>
        </w:r>
        <w:r w:rsidR="00F640E7">
          <w:rPr>
            <w:noProof/>
            <w:webHidden/>
          </w:rPr>
          <w:fldChar w:fldCharType="begin"/>
        </w:r>
        <w:r w:rsidR="00F640E7">
          <w:rPr>
            <w:noProof/>
            <w:webHidden/>
          </w:rPr>
          <w:instrText xml:space="preserve"> PAGEREF _Toc233534845 \h </w:instrText>
        </w:r>
        <w:r w:rsidR="00F640E7">
          <w:rPr>
            <w:noProof/>
            <w:webHidden/>
          </w:rPr>
        </w:r>
        <w:r w:rsidR="00F640E7">
          <w:rPr>
            <w:noProof/>
            <w:webHidden/>
          </w:rPr>
          <w:fldChar w:fldCharType="separate"/>
        </w:r>
        <w:r w:rsidR="00F640E7">
          <w:rPr>
            <w:noProof/>
            <w:webHidden/>
          </w:rPr>
          <w:t>3</w:t>
        </w:r>
        <w:r w:rsidR="00F640E7">
          <w:rPr>
            <w:noProof/>
            <w:webHidden/>
          </w:rPr>
          <w:fldChar w:fldCharType="end"/>
        </w:r>
      </w:hyperlink>
    </w:p>
    <w:p w14:paraId="35BF2F2A" w14:textId="01A7A64E" w:rsidR="00F640E7" w:rsidRDefault="00F640E7">
      <w:pPr>
        <w:pStyle w:val="TOC2"/>
        <w:tabs>
          <w:tab w:val="left" w:pos="720"/>
          <w:tab w:val="right" w:leader="dot" w:pos="9016"/>
        </w:tabs>
        <w:rPr>
          <w:rFonts w:cstheme="minorBidi"/>
          <w:noProof/>
          <w:kern w:val="2"/>
          <w:sz w:val="24"/>
          <w:szCs w:val="24"/>
          <w:lang w:val="en-GB" w:eastAsia="en-GB"/>
          <w14:ligatures w14:val="standardContextual"/>
        </w:rPr>
      </w:pPr>
      <w:hyperlink w:anchor="_Toc233534846" w:history="1">
        <w:r w:rsidRPr="00B44656">
          <w:rPr>
            <w:rStyle w:val="Hyperlink"/>
            <w:rFonts w:ascii="Times New Roman" w:hAnsi="Times New Roman"/>
            <w:noProof/>
          </w:rPr>
          <w:t>2.</w:t>
        </w:r>
        <w:r>
          <w:rPr>
            <w:rFonts w:cstheme="minorBidi"/>
            <w:noProof/>
            <w:kern w:val="2"/>
            <w:sz w:val="24"/>
            <w:szCs w:val="24"/>
            <w:lang w:val="en-GB" w:eastAsia="en-GB"/>
            <w14:ligatures w14:val="standardContextual"/>
          </w:rPr>
          <w:tab/>
        </w:r>
        <w:r w:rsidRPr="00B44656">
          <w:rPr>
            <w:rStyle w:val="Hyperlink"/>
            <w:rFonts w:ascii="Times New Roman" w:hAnsi="Times New Roman"/>
            <w:noProof/>
          </w:rPr>
          <w:t>The Goal and Context of Contracting in Project Management</w:t>
        </w:r>
        <w:r>
          <w:rPr>
            <w:noProof/>
            <w:webHidden/>
          </w:rPr>
          <w:tab/>
        </w:r>
        <w:r>
          <w:rPr>
            <w:noProof/>
            <w:webHidden/>
          </w:rPr>
          <w:fldChar w:fldCharType="begin"/>
        </w:r>
        <w:r>
          <w:rPr>
            <w:noProof/>
            <w:webHidden/>
          </w:rPr>
          <w:instrText xml:space="preserve"> PAGEREF _Toc233534846 \h </w:instrText>
        </w:r>
        <w:r>
          <w:rPr>
            <w:noProof/>
            <w:webHidden/>
          </w:rPr>
        </w:r>
        <w:r>
          <w:rPr>
            <w:noProof/>
            <w:webHidden/>
          </w:rPr>
          <w:fldChar w:fldCharType="separate"/>
        </w:r>
        <w:r>
          <w:rPr>
            <w:noProof/>
            <w:webHidden/>
          </w:rPr>
          <w:t>3</w:t>
        </w:r>
        <w:r>
          <w:rPr>
            <w:noProof/>
            <w:webHidden/>
          </w:rPr>
          <w:fldChar w:fldCharType="end"/>
        </w:r>
      </w:hyperlink>
    </w:p>
    <w:p w14:paraId="02813A33" w14:textId="7B0F2B15" w:rsidR="00F640E7" w:rsidRDefault="00F640E7">
      <w:pPr>
        <w:pStyle w:val="TOC3"/>
        <w:tabs>
          <w:tab w:val="left" w:pos="960"/>
          <w:tab w:val="right" w:leader="dot" w:pos="9016"/>
        </w:tabs>
        <w:rPr>
          <w:rFonts w:cstheme="minorBidi"/>
          <w:noProof/>
          <w:kern w:val="2"/>
          <w:sz w:val="24"/>
          <w:szCs w:val="24"/>
          <w:lang w:val="en-GB" w:eastAsia="en-GB"/>
          <w14:ligatures w14:val="standardContextual"/>
        </w:rPr>
      </w:pPr>
      <w:hyperlink w:anchor="_Toc233534847" w:history="1">
        <w:r w:rsidRPr="00B44656">
          <w:rPr>
            <w:rStyle w:val="Hyperlink"/>
            <w:rFonts w:ascii="Times New Roman" w:hAnsi="Times New Roman"/>
            <w:noProof/>
          </w:rPr>
          <w:t>3.</w:t>
        </w:r>
        <w:r>
          <w:rPr>
            <w:rFonts w:cstheme="minorBidi"/>
            <w:noProof/>
            <w:kern w:val="2"/>
            <w:sz w:val="24"/>
            <w:szCs w:val="24"/>
            <w:lang w:val="en-GB" w:eastAsia="en-GB"/>
            <w14:ligatures w14:val="standardContextual"/>
          </w:rPr>
          <w:tab/>
        </w:r>
        <w:r w:rsidRPr="00B44656">
          <w:rPr>
            <w:rStyle w:val="Hyperlink"/>
            <w:rFonts w:ascii="Times New Roman" w:hAnsi="Times New Roman"/>
            <w:noProof/>
          </w:rPr>
          <w:t>Contracting Methods: Descriptions, Advantages and Disadvantages</w:t>
        </w:r>
        <w:r>
          <w:rPr>
            <w:noProof/>
            <w:webHidden/>
          </w:rPr>
          <w:tab/>
        </w:r>
        <w:r>
          <w:rPr>
            <w:noProof/>
            <w:webHidden/>
          </w:rPr>
          <w:fldChar w:fldCharType="begin"/>
        </w:r>
        <w:r>
          <w:rPr>
            <w:noProof/>
            <w:webHidden/>
          </w:rPr>
          <w:instrText xml:space="preserve"> PAGEREF _Toc233534847 \h </w:instrText>
        </w:r>
        <w:r>
          <w:rPr>
            <w:noProof/>
            <w:webHidden/>
          </w:rPr>
        </w:r>
        <w:r>
          <w:rPr>
            <w:noProof/>
            <w:webHidden/>
          </w:rPr>
          <w:fldChar w:fldCharType="separate"/>
        </w:r>
        <w:r>
          <w:rPr>
            <w:noProof/>
            <w:webHidden/>
          </w:rPr>
          <w:t>3</w:t>
        </w:r>
        <w:r>
          <w:rPr>
            <w:noProof/>
            <w:webHidden/>
          </w:rPr>
          <w:fldChar w:fldCharType="end"/>
        </w:r>
      </w:hyperlink>
    </w:p>
    <w:p w14:paraId="32A26522" w14:textId="39BBDD6C" w:rsidR="00F640E7" w:rsidRDefault="00F640E7">
      <w:pPr>
        <w:pStyle w:val="TOC4"/>
        <w:tabs>
          <w:tab w:val="left" w:pos="1200"/>
          <w:tab w:val="right" w:leader="dot" w:pos="9016"/>
        </w:tabs>
        <w:rPr>
          <w:rFonts w:eastAsiaTheme="minorEastAsia"/>
          <w:noProof/>
          <w:lang w:eastAsia="en-GB"/>
        </w:rPr>
      </w:pPr>
      <w:hyperlink w:anchor="_Toc233534848" w:history="1">
        <w:r w:rsidRPr="00B44656">
          <w:rPr>
            <w:rStyle w:val="Hyperlink"/>
            <w:rFonts w:ascii="Times New Roman" w:hAnsi="Times New Roman" w:cs="Times New Roman"/>
            <w:noProof/>
          </w:rPr>
          <w:t>4.</w:t>
        </w:r>
        <w:r>
          <w:rPr>
            <w:rFonts w:eastAsiaTheme="minorEastAsia"/>
            <w:noProof/>
            <w:lang w:eastAsia="en-GB"/>
          </w:rPr>
          <w:tab/>
        </w:r>
        <w:r w:rsidRPr="00B44656">
          <w:rPr>
            <w:rStyle w:val="Hyperlink"/>
            <w:rFonts w:ascii="Times New Roman" w:hAnsi="Times New Roman" w:cs="Times New Roman"/>
            <w:noProof/>
          </w:rPr>
          <w:t>Comparative Analysis and Practical Considerations</w:t>
        </w:r>
        <w:r>
          <w:rPr>
            <w:noProof/>
            <w:webHidden/>
          </w:rPr>
          <w:tab/>
        </w:r>
        <w:r>
          <w:rPr>
            <w:noProof/>
            <w:webHidden/>
          </w:rPr>
          <w:fldChar w:fldCharType="begin"/>
        </w:r>
        <w:r>
          <w:rPr>
            <w:noProof/>
            <w:webHidden/>
          </w:rPr>
          <w:instrText xml:space="preserve"> PAGEREF _Toc233534848 \h </w:instrText>
        </w:r>
        <w:r>
          <w:rPr>
            <w:noProof/>
            <w:webHidden/>
          </w:rPr>
        </w:r>
        <w:r>
          <w:rPr>
            <w:noProof/>
            <w:webHidden/>
          </w:rPr>
          <w:fldChar w:fldCharType="separate"/>
        </w:r>
        <w:r>
          <w:rPr>
            <w:noProof/>
            <w:webHidden/>
          </w:rPr>
          <w:t>8</w:t>
        </w:r>
        <w:r>
          <w:rPr>
            <w:noProof/>
            <w:webHidden/>
          </w:rPr>
          <w:fldChar w:fldCharType="end"/>
        </w:r>
      </w:hyperlink>
    </w:p>
    <w:p w14:paraId="1B0EA272" w14:textId="2C11A64B" w:rsidR="00F640E7" w:rsidRDefault="00F640E7">
      <w:pPr>
        <w:pStyle w:val="TOC5"/>
        <w:tabs>
          <w:tab w:val="left" w:pos="1440"/>
          <w:tab w:val="right" w:leader="dot" w:pos="9016"/>
        </w:tabs>
        <w:rPr>
          <w:rFonts w:eastAsiaTheme="minorEastAsia"/>
          <w:noProof/>
          <w:lang w:eastAsia="en-GB"/>
        </w:rPr>
      </w:pPr>
      <w:hyperlink w:anchor="_Toc233534849" w:history="1">
        <w:r w:rsidRPr="00B44656">
          <w:rPr>
            <w:rStyle w:val="Hyperlink"/>
            <w:rFonts w:ascii="Times New Roman" w:hAnsi="Times New Roman" w:cs="Times New Roman"/>
            <w:noProof/>
          </w:rPr>
          <w:t>5.</w:t>
        </w:r>
        <w:r>
          <w:rPr>
            <w:rFonts w:eastAsiaTheme="minorEastAsia"/>
            <w:noProof/>
            <w:lang w:eastAsia="en-GB"/>
          </w:rPr>
          <w:tab/>
        </w:r>
        <w:r w:rsidRPr="00B44656">
          <w:rPr>
            <w:rStyle w:val="Hyperlink"/>
            <w:rFonts w:ascii="Times New Roman" w:hAnsi="Times New Roman" w:cs="Times New Roman"/>
            <w:noProof/>
          </w:rPr>
          <w:t>Market context influences method choice</w:t>
        </w:r>
        <w:r>
          <w:rPr>
            <w:noProof/>
            <w:webHidden/>
          </w:rPr>
          <w:tab/>
        </w:r>
        <w:r>
          <w:rPr>
            <w:noProof/>
            <w:webHidden/>
          </w:rPr>
          <w:fldChar w:fldCharType="begin"/>
        </w:r>
        <w:r>
          <w:rPr>
            <w:noProof/>
            <w:webHidden/>
          </w:rPr>
          <w:instrText xml:space="preserve"> PAGEREF _Toc233534849 \h </w:instrText>
        </w:r>
        <w:r>
          <w:rPr>
            <w:noProof/>
            <w:webHidden/>
          </w:rPr>
        </w:r>
        <w:r>
          <w:rPr>
            <w:noProof/>
            <w:webHidden/>
          </w:rPr>
          <w:fldChar w:fldCharType="separate"/>
        </w:r>
        <w:r>
          <w:rPr>
            <w:noProof/>
            <w:webHidden/>
          </w:rPr>
          <w:t>8</w:t>
        </w:r>
        <w:r>
          <w:rPr>
            <w:noProof/>
            <w:webHidden/>
          </w:rPr>
          <w:fldChar w:fldCharType="end"/>
        </w:r>
      </w:hyperlink>
    </w:p>
    <w:p w14:paraId="1B7AB8C5" w14:textId="7FF4A20F" w:rsidR="00F640E7" w:rsidRDefault="00F640E7">
      <w:pPr>
        <w:pStyle w:val="TOC6"/>
        <w:tabs>
          <w:tab w:val="left" w:pos="1680"/>
          <w:tab w:val="right" w:leader="dot" w:pos="9016"/>
        </w:tabs>
        <w:rPr>
          <w:rFonts w:eastAsiaTheme="minorEastAsia"/>
          <w:noProof/>
          <w:lang w:eastAsia="en-GB"/>
        </w:rPr>
      </w:pPr>
      <w:hyperlink w:anchor="_Toc233534850" w:history="1">
        <w:r w:rsidRPr="00B44656">
          <w:rPr>
            <w:rStyle w:val="Hyperlink"/>
            <w:rFonts w:ascii="Times New Roman" w:hAnsi="Times New Roman" w:cs="Times New Roman"/>
            <w:noProof/>
          </w:rPr>
          <w:t>6.</w:t>
        </w:r>
        <w:r>
          <w:rPr>
            <w:rFonts w:eastAsiaTheme="minorEastAsia"/>
            <w:noProof/>
            <w:lang w:eastAsia="en-GB"/>
          </w:rPr>
          <w:tab/>
        </w:r>
        <w:r w:rsidRPr="00B4465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_Toc233534850 \h </w:instrText>
        </w:r>
        <w:r>
          <w:rPr>
            <w:noProof/>
            <w:webHidden/>
          </w:rPr>
        </w:r>
        <w:r>
          <w:rPr>
            <w:noProof/>
            <w:webHidden/>
          </w:rPr>
          <w:fldChar w:fldCharType="separate"/>
        </w:r>
        <w:r>
          <w:rPr>
            <w:noProof/>
            <w:webHidden/>
          </w:rPr>
          <w:t>9</w:t>
        </w:r>
        <w:r>
          <w:rPr>
            <w:noProof/>
            <w:webHidden/>
          </w:rPr>
          <w:fldChar w:fldCharType="end"/>
        </w:r>
      </w:hyperlink>
    </w:p>
    <w:p w14:paraId="4E0F30BC" w14:textId="244C66B1" w:rsidR="00F640E7" w:rsidRDefault="00F640E7">
      <w:pPr>
        <w:pStyle w:val="TOC7"/>
        <w:tabs>
          <w:tab w:val="left" w:pos="1920"/>
          <w:tab w:val="right" w:leader="dot" w:pos="9016"/>
        </w:tabs>
        <w:rPr>
          <w:rFonts w:eastAsiaTheme="minorEastAsia"/>
          <w:noProof/>
          <w:lang w:eastAsia="en-GB"/>
        </w:rPr>
      </w:pPr>
      <w:hyperlink w:anchor="_Toc233534851" w:history="1">
        <w:r w:rsidRPr="00B44656">
          <w:rPr>
            <w:rStyle w:val="Hyperlink"/>
            <w:rFonts w:ascii="Times New Roman" w:hAnsi="Times New Roman" w:cs="Times New Roman"/>
            <w:noProof/>
          </w:rPr>
          <w:t>7.</w:t>
        </w:r>
        <w:r>
          <w:rPr>
            <w:rFonts w:eastAsiaTheme="minorEastAsia"/>
            <w:noProof/>
            <w:lang w:eastAsia="en-GB"/>
          </w:rPr>
          <w:tab/>
        </w:r>
        <w:r w:rsidRPr="00B4465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_Toc233534851 \h </w:instrText>
        </w:r>
        <w:r>
          <w:rPr>
            <w:noProof/>
            <w:webHidden/>
          </w:rPr>
        </w:r>
        <w:r>
          <w:rPr>
            <w:noProof/>
            <w:webHidden/>
          </w:rPr>
          <w:fldChar w:fldCharType="separate"/>
        </w:r>
        <w:r>
          <w:rPr>
            <w:noProof/>
            <w:webHidden/>
          </w:rPr>
          <w:t>10</w:t>
        </w:r>
        <w:r>
          <w:rPr>
            <w:noProof/>
            <w:webHidden/>
          </w:rPr>
          <w:fldChar w:fldCharType="end"/>
        </w:r>
      </w:hyperlink>
    </w:p>
    <w:p w14:paraId="33C4A22C" w14:textId="37CD8DF7" w:rsidR="000B7097" w:rsidRPr="005A1C28" w:rsidRDefault="005F5738" w:rsidP="00F640E7">
      <w:pPr>
        <w:spacing w:line="360" w:lineRule="auto"/>
        <w:jc w:val="both"/>
        <w:rPr>
          <w:rFonts w:ascii="Times New Roman" w:hAnsi="Times New Roman" w:cs="Times New Roman"/>
        </w:rPr>
      </w:pPr>
      <w:r w:rsidRPr="005A1C28">
        <w:rPr>
          <w:rFonts w:ascii="Times New Roman" w:hAnsi="Times New Roman" w:cs="Times New Roman"/>
        </w:rPr>
        <w:fldChar w:fldCharType="end"/>
      </w:r>
    </w:p>
    <w:p w14:paraId="6D6E0D7D" w14:textId="77777777" w:rsidR="005F5738" w:rsidRPr="005A1C28" w:rsidRDefault="005F5738" w:rsidP="00F640E7">
      <w:pPr>
        <w:spacing w:line="360" w:lineRule="auto"/>
        <w:jc w:val="both"/>
        <w:rPr>
          <w:rFonts w:ascii="Times New Roman" w:hAnsi="Times New Roman" w:cs="Times New Roman"/>
        </w:rPr>
      </w:pPr>
    </w:p>
    <w:p w14:paraId="090421A5" w14:textId="77777777" w:rsidR="005F5738" w:rsidRPr="005A1C28" w:rsidRDefault="005F5738" w:rsidP="00F640E7">
      <w:pPr>
        <w:spacing w:line="360" w:lineRule="auto"/>
        <w:jc w:val="both"/>
        <w:rPr>
          <w:rFonts w:ascii="Times New Roman" w:hAnsi="Times New Roman" w:cs="Times New Roman"/>
        </w:rPr>
      </w:pPr>
    </w:p>
    <w:p w14:paraId="24ABE33E" w14:textId="77777777" w:rsidR="005F5738" w:rsidRPr="005A1C28" w:rsidRDefault="005F5738" w:rsidP="00F640E7">
      <w:pPr>
        <w:spacing w:line="360" w:lineRule="auto"/>
        <w:jc w:val="both"/>
        <w:rPr>
          <w:rFonts w:ascii="Times New Roman" w:hAnsi="Times New Roman" w:cs="Times New Roman"/>
        </w:rPr>
      </w:pPr>
    </w:p>
    <w:p w14:paraId="0D791674" w14:textId="77777777" w:rsidR="005F5738" w:rsidRPr="005A1C28" w:rsidRDefault="005F5738" w:rsidP="00F640E7">
      <w:pPr>
        <w:spacing w:line="360" w:lineRule="auto"/>
        <w:jc w:val="both"/>
        <w:rPr>
          <w:rFonts w:ascii="Times New Roman" w:hAnsi="Times New Roman" w:cs="Times New Roman"/>
        </w:rPr>
      </w:pPr>
    </w:p>
    <w:p w14:paraId="41470C66" w14:textId="77777777" w:rsidR="005F5738" w:rsidRPr="005A1C28" w:rsidRDefault="005F5738" w:rsidP="00F640E7">
      <w:pPr>
        <w:spacing w:line="360" w:lineRule="auto"/>
        <w:jc w:val="both"/>
        <w:rPr>
          <w:rFonts w:ascii="Times New Roman" w:hAnsi="Times New Roman" w:cs="Times New Roman"/>
        </w:rPr>
      </w:pPr>
    </w:p>
    <w:p w14:paraId="560CB9C5" w14:textId="77777777" w:rsidR="005F5738" w:rsidRPr="005A1C28" w:rsidRDefault="005F5738" w:rsidP="00F640E7">
      <w:pPr>
        <w:spacing w:line="360" w:lineRule="auto"/>
        <w:jc w:val="both"/>
        <w:rPr>
          <w:rFonts w:ascii="Times New Roman" w:hAnsi="Times New Roman" w:cs="Times New Roman"/>
        </w:rPr>
      </w:pPr>
    </w:p>
    <w:p w14:paraId="6E6AF011" w14:textId="77777777" w:rsidR="005F5738" w:rsidRPr="005A1C28" w:rsidRDefault="005F5738" w:rsidP="00F640E7">
      <w:pPr>
        <w:spacing w:line="360" w:lineRule="auto"/>
        <w:jc w:val="both"/>
        <w:rPr>
          <w:rFonts w:ascii="Times New Roman" w:hAnsi="Times New Roman" w:cs="Times New Roman"/>
        </w:rPr>
      </w:pPr>
    </w:p>
    <w:p w14:paraId="259BD5B9" w14:textId="77777777" w:rsidR="005F5738" w:rsidRPr="005A1C28" w:rsidRDefault="005F5738" w:rsidP="00F640E7">
      <w:pPr>
        <w:spacing w:line="360" w:lineRule="auto"/>
        <w:jc w:val="both"/>
        <w:rPr>
          <w:rFonts w:ascii="Times New Roman" w:hAnsi="Times New Roman" w:cs="Times New Roman"/>
        </w:rPr>
      </w:pPr>
    </w:p>
    <w:p w14:paraId="137AE58A" w14:textId="77777777" w:rsidR="005F5738" w:rsidRPr="005A1C28" w:rsidRDefault="005F5738" w:rsidP="00F640E7">
      <w:pPr>
        <w:spacing w:line="360" w:lineRule="auto"/>
        <w:jc w:val="both"/>
        <w:rPr>
          <w:rFonts w:ascii="Times New Roman" w:hAnsi="Times New Roman" w:cs="Times New Roman"/>
        </w:rPr>
      </w:pPr>
    </w:p>
    <w:p w14:paraId="6F235828" w14:textId="77777777" w:rsidR="005F5738" w:rsidRPr="005A1C28" w:rsidRDefault="005F5738" w:rsidP="00F640E7">
      <w:pPr>
        <w:spacing w:line="360" w:lineRule="auto"/>
        <w:jc w:val="both"/>
        <w:rPr>
          <w:rFonts w:ascii="Times New Roman" w:hAnsi="Times New Roman" w:cs="Times New Roman"/>
        </w:rPr>
      </w:pPr>
    </w:p>
    <w:p w14:paraId="2622A4FB" w14:textId="77777777" w:rsidR="005F5738" w:rsidRPr="005A1C28" w:rsidRDefault="005F5738" w:rsidP="00F640E7">
      <w:pPr>
        <w:spacing w:line="360" w:lineRule="auto"/>
        <w:jc w:val="both"/>
        <w:rPr>
          <w:rFonts w:ascii="Times New Roman" w:hAnsi="Times New Roman" w:cs="Times New Roman"/>
        </w:rPr>
      </w:pPr>
    </w:p>
    <w:p w14:paraId="6179785E" w14:textId="77777777" w:rsidR="005F5738" w:rsidRPr="005A1C28" w:rsidRDefault="005F5738" w:rsidP="00F640E7">
      <w:pPr>
        <w:spacing w:line="360" w:lineRule="auto"/>
        <w:jc w:val="both"/>
        <w:rPr>
          <w:rFonts w:ascii="Times New Roman" w:hAnsi="Times New Roman" w:cs="Times New Roman"/>
        </w:rPr>
      </w:pPr>
    </w:p>
    <w:p w14:paraId="78527BDE" w14:textId="77777777" w:rsidR="005F5738" w:rsidRPr="005A1C28" w:rsidRDefault="005F5738" w:rsidP="00F640E7">
      <w:pPr>
        <w:spacing w:line="360" w:lineRule="auto"/>
        <w:jc w:val="both"/>
        <w:rPr>
          <w:rFonts w:ascii="Times New Roman" w:hAnsi="Times New Roman" w:cs="Times New Roman"/>
        </w:rPr>
      </w:pPr>
    </w:p>
    <w:p w14:paraId="6AF4745A" w14:textId="1246F191" w:rsidR="00C42C2D" w:rsidRPr="005A1C28" w:rsidRDefault="00C42C2D" w:rsidP="00F640E7">
      <w:pPr>
        <w:pStyle w:val="ListParagraph"/>
        <w:numPr>
          <w:ilvl w:val="0"/>
          <w:numId w:val="1"/>
        </w:numPr>
        <w:spacing w:line="360" w:lineRule="auto"/>
        <w:jc w:val="both"/>
        <w:outlineLvl w:val="0"/>
        <w:rPr>
          <w:rFonts w:ascii="Times New Roman" w:hAnsi="Times New Roman" w:cs="Times New Roman"/>
        </w:rPr>
      </w:pPr>
      <w:bookmarkStart w:id="0" w:name="_Toc233534845"/>
      <w:r w:rsidRPr="005A1C28">
        <w:rPr>
          <w:rFonts w:ascii="Times New Roman" w:hAnsi="Times New Roman" w:cs="Times New Roman"/>
        </w:rPr>
        <w:lastRenderedPageBreak/>
        <w:t>Introduction</w:t>
      </w:r>
      <w:bookmarkEnd w:id="0"/>
    </w:p>
    <w:p w14:paraId="5E14D3FA" w14:textId="72830BC8" w:rsidR="00C42C2D" w:rsidRPr="005A1C28" w:rsidRDefault="00943C91" w:rsidP="00F640E7">
      <w:pPr>
        <w:spacing w:line="360" w:lineRule="auto"/>
        <w:jc w:val="both"/>
        <w:rPr>
          <w:rFonts w:ascii="Times New Roman" w:hAnsi="Times New Roman" w:cs="Times New Roman"/>
        </w:rPr>
      </w:pPr>
      <w:r w:rsidRPr="005A1C28">
        <w:rPr>
          <w:rFonts w:ascii="Times New Roman" w:hAnsi="Times New Roman" w:cs="Times New Roman"/>
        </w:rPr>
        <w:t xml:space="preserve">A key choice in project management is contracting strategy, which establishes the allocation of scope, risk, cost, schedule, and quality obligations among the customer, contractors, and consultants. In order to </w:t>
      </w:r>
      <w:r w:rsidR="00C2702E" w:rsidRPr="005A1C28">
        <w:rPr>
          <w:rFonts w:ascii="Times New Roman" w:hAnsi="Times New Roman" w:cs="Times New Roman"/>
        </w:rPr>
        <w:t>fulfil</w:t>
      </w:r>
      <w:r w:rsidRPr="005A1C28">
        <w:rPr>
          <w:rFonts w:ascii="Times New Roman" w:hAnsi="Times New Roman" w:cs="Times New Roman"/>
        </w:rPr>
        <w:t xml:space="preserve"> strategic goals, limit risk, manage complexity, and align incentives, project managers choose contracting strategies (PMI, 2021). </w:t>
      </w:r>
      <w:r w:rsidR="00C2702E" w:rsidRPr="005A1C28">
        <w:rPr>
          <w:rFonts w:ascii="Times New Roman" w:hAnsi="Times New Roman" w:cs="Times New Roman"/>
        </w:rPr>
        <w:t>Four contracting techniques—Turnkey, Multicontract, Do-It-Yourself (DIY or client-managed), and Multicontract + DIY (a hybrid)</w:t>
      </w:r>
      <w:r w:rsidR="007659EF" w:rsidRPr="005A1C28">
        <w:rPr>
          <w:rFonts w:ascii="Times New Roman" w:hAnsi="Times New Roman" w:cs="Times New Roman"/>
        </w:rPr>
        <w:t xml:space="preserve">, </w:t>
      </w:r>
      <w:r w:rsidR="00C2702E" w:rsidRPr="005A1C28">
        <w:rPr>
          <w:rFonts w:ascii="Times New Roman" w:hAnsi="Times New Roman" w:cs="Times New Roman"/>
        </w:rPr>
        <w:t xml:space="preserve">that are frequently employed in construction and other capital projects are described in this essay. The essay defines each technique, talks about its relative benefits and drawbacks, and uses real-world project examples to contextualize applicability. </w:t>
      </w:r>
      <w:r w:rsidR="00374667" w:rsidRPr="005A1C28">
        <w:rPr>
          <w:rFonts w:ascii="Times New Roman" w:hAnsi="Times New Roman" w:cs="Times New Roman"/>
        </w:rPr>
        <w:t>Enabling project stakeholders to choose contracting strategies that best fit project features, organizational capacity, and risk tolerance is the goal.</w:t>
      </w:r>
    </w:p>
    <w:p w14:paraId="61683E69" w14:textId="772F3681" w:rsidR="006C1B67" w:rsidRPr="005A1C28" w:rsidRDefault="006C1B67" w:rsidP="00F640E7">
      <w:pPr>
        <w:pStyle w:val="ListParagraph"/>
        <w:numPr>
          <w:ilvl w:val="0"/>
          <w:numId w:val="1"/>
        </w:numPr>
        <w:spacing w:line="360" w:lineRule="auto"/>
        <w:jc w:val="both"/>
        <w:outlineLvl w:val="1"/>
        <w:rPr>
          <w:rFonts w:ascii="Times New Roman" w:hAnsi="Times New Roman" w:cs="Times New Roman"/>
        </w:rPr>
      </w:pPr>
      <w:bookmarkStart w:id="1" w:name="_Toc233534846"/>
      <w:r w:rsidRPr="005A1C28">
        <w:rPr>
          <w:rFonts w:ascii="Times New Roman" w:hAnsi="Times New Roman" w:cs="Times New Roman"/>
        </w:rPr>
        <w:t>The Goal and Context of Contracting in Project Management</w:t>
      </w:r>
      <w:bookmarkEnd w:id="1"/>
    </w:p>
    <w:p w14:paraId="14AA064F" w14:textId="77777777" w:rsidR="002C68AD" w:rsidRPr="005A1C28" w:rsidRDefault="00B97568" w:rsidP="00F640E7">
      <w:pPr>
        <w:spacing w:line="360" w:lineRule="auto"/>
        <w:jc w:val="both"/>
        <w:rPr>
          <w:rFonts w:ascii="Times New Roman" w:hAnsi="Times New Roman" w:cs="Times New Roman"/>
        </w:rPr>
      </w:pPr>
      <w:r w:rsidRPr="005A1C28">
        <w:rPr>
          <w:rFonts w:ascii="Times New Roman" w:hAnsi="Times New Roman" w:cs="Times New Roman"/>
        </w:rPr>
        <w:t xml:space="preserve">The application of knowledge, skills, tools, and procedures to project activities in order to achieve requirements is known as project management (PM) (PMI, 2021). </w:t>
      </w:r>
      <w:r w:rsidR="00EB31ED" w:rsidRPr="005A1C28">
        <w:rPr>
          <w:rFonts w:ascii="Times New Roman" w:hAnsi="Times New Roman" w:cs="Times New Roman"/>
        </w:rPr>
        <w:t xml:space="preserve">Through contracting, the PM plan is translated into legally binding agreements that specify who completes tasks, who assumes which risks, how performance is evaluated, terms of payment, and dispute resolution. </w:t>
      </w:r>
      <w:r w:rsidR="002C4471" w:rsidRPr="005A1C28">
        <w:rPr>
          <w:rFonts w:ascii="Times New Roman" w:hAnsi="Times New Roman" w:cs="Times New Roman"/>
        </w:rPr>
        <w:t>Risk allocation (technical, financial, schedule, and legal), management overhead and transaction costs, flexibility for design modifications and innovation, control over quality and coordination, market competitiveness, and pricing dynamics are all impacted by choosing a contractual approach (Walker &amp; Dey, 2022).</w:t>
      </w:r>
    </w:p>
    <w:p w14:paraId="090FFAA2" w14:textId="77777777" w:rsidR="00F73DE6" w:rsidRPr="005A1C28" w:rsidRDefault="002C68AD" w:rsidP="00F640E7">
      <w:pPr>
        <w:spacing w:line="360" w:lineRule="auto"/>
        <w:jc w:val="both"/>
        <w:rPr>
          <w:rFonts w:ascii="Times New Roman" w:hAnsi="Times New Roman" w:cs="Times New Roman"/>
        </w:rPr>
      </w:pPr>
      <w:r w:rsidRPr="005A1C28">
        <w:rPr>
          <w:rFonts w:ascii="Times New Roman" w:hAnsi="Times New Roman" w:cs="Times New Roman"/>
        </w:rPr>
        <w:t>When a project lacks internal capacity, when specialist contractors can produce at a lower cost or higher quality, or when it makes strategic sense to shift risk to the market, it may decide to contract out (Zhang et al., 2023).</w:t>
      </w:r>
      <w:r w:rsidR="00C42C2D" w:rsidRPr="005A1C28">
        <w:rPr>
          <w:rFonts w:ascii="Times New Roman" w:hAnsi="Times New Roman" w:cs="Times New Roman"/>
        </w:rPr>
        <w:t xml:space="preserve"> </w:t>
      </w:r>
      <w:r w:rsidR="00F73DE6" w:rsidRPr="005A1C28">
        <w:rPr>
          <w:rFonts w:ascii="Times New Roman" w:hAnsi="Times New Roman" w:cs="Times New Roman"/>
        </w:rPr>
        <w:t>On the other hand, clients continue to work when they have strong internal capabilities, require direct management, or when knowledge retention is crucial (Harris &amp; Nguyen, 2022).</w:t>
      </w:r>
    </w:p>
    <w:p w14:paraId="6CB7BF2F" w14:textId="49D01379" w:rsidR="00E209DD" w:rsidRPr="005A1C28" w:rsidRDefault="00E209DD" w:rsidP="00F640E7">
      <w:pPr>
        <w:spacing w:line="360" w:lineRule="auto"/>
        <w:jc w:val="both"/>
        <w:rPr>
          <w:rFonts w:ascii="Times New Roman" w:hAnsi="Times New Roman" w:cs="Times New Roman"/>
        </w:rPr>
      </w:pPr>
      <w:r w:rsidRPr="005A1C28">
        <w:rPr>
          <w:rFonts w:ascii="Times New Roman" w:hAnsi="Times New Roman" w:cs="Times New Roman"/>
        </w:rPr>
        <w:t>The essay's remaining sections examine the four approaches and offer recommendations for the best times to use each.</w:t>
      </w:r>
    </w:p>
    <w:p w14:paraId="00F0CB33" w14:textId="17C5BB45" w:rsidR="00750184" w:rsidRPr="004479B1" w:rsidRDefault="00C42C2D" w:rsidP="004479B1">
      <w:pPr>
        <w:pStyle w:val="ListParagraph"/>
        <w:numPr>
          <w:ilvl w:val="0"/>
          <w:numId w:val="1"/>
        </w:numPr>
        <w:spacing w:line="360" w:lineRule="auto"/>
        <w:jc w:val="both"/>
        <w:outlineLvl w:val="2"/>
        <w:rPr>
          <w:rFonts w:ascii="Times New Roman" w:hAnsi="Times New Roman" w:cs="Times New Roman"/>
        </w:rPr>
      </w:pPr>
      <w:bookmarkStart w:id="2" w:name="_Toc233534847"/>
      <w:r w:rsidRPr="005A1C28">
        <w:rPr>
          <w:rFonts w:ascii="Times New Roman" w:hAnsi="Times New Roman" w:cs="Times New Roman"/>
        </w:rPr>
        <w:t>Contracting Methods: Descriptions, Advantages and Disadvantages</w:t>
      </w:r>
      <w:bookmarkEnd w:id="2"/>
    </w:p>
    <w:p w14:paraId="24303B28" w14:textId="615E7D10" w:rsidR="00DE7261" w:rsidRPr="005A1C28" w:rsidRDefault="00C42C2D" w:rsidP="00F640E7">
      <w:pPr>
        <w:pStyle w:val="ListParagraph"/>
        <w:numPr>
          <w:ilvl w:val="0"/>
          <w:numId w:val="4"/>
        </w:numPr>
        <w:spacing w:line="360" w:lineRule="auto"/>
        <w:jc w:val="both"/>
        <w:rPr>
          <w:rFonts w:ascii="Times New Roman" w:hAnsi="Times New Roman" w:cs="Times New Roman"/>
        </w:rPr>
      </w:pPr>
      <w:r w:rsidRPr="005A1C28">
        <w:rPr>
          <w:rFonts w:ascii="Times New Roman" w:hAnsi="Times New Roman" w:cs="Times New Roman"/>
        </w:rPr>
        <w:t>Turnkey Contracting</w:t>
      </w:r>
    </w:p>
    <w:p w14:paraId="3816239B" w14:textId="2FD1F1A6"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Description</w:t>
      </w:r>
    </w:p>
    <w:p w14:paraId="43D19D28" w14:textId="77777777" w:rsidR="002917E2" w:rsidRPr="005A1C28" w:rsidRDefault="003B2F5D" w:rsidP="00F640E7">
      <w:pPr>
        <w:spacing w:line="360" w:lineRule="auto"/>
        <w:jc w:val="both"/>
        <w:rPr>
          <w:rFonts w:ascii="Times New Roman" w:hAnsi="Times New Roman" w:cs="Times New Roman"/>
        </w:rPr>
      </w:pPr>
      <w:r w:rsidRPr="005A1C28">
        <w:rPr>
          <w:rFonts w:ascii="Times New Roman" w:hAnsi="Times New Roman" w:cs="Times New Roman"/>
        </w:rPr>
        <w:lastRenderedPageBreak/>
        <w:t xml:space="preserve">Turnkey contracting, also known as EPC (Engineering, Procurement and Construction) or Design-Build-Turnkey, is a single-contract method where a single contractor or consortium handles all aspects of design, procurement, construction, testing, and delivery of the finished facility to the client (Ochieng &amp; Carter, 2021). </w:t>
      </w:r>
      <w:r w:rsidR="002917E2" w:rsidRPr="005A1C28">
        <w:rPr>
          <w:rFonts w:ascii="Times New Roman" w:hAnsi="Times New Roman" w:cs="Times New Roman"/>
        </w:rPr>
        <w:t>The turnkey contractor provides a project that is ready to use once the client sets output needs and performance standards.</w:t>
      </w:r>
    </w:p>
    <w:p w14:paraId="4CE8379E" w14:textId="5CAFB72F"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Advantages</w:t>
      </w:r>
    </w:p>
    <w:p w14:paraId="1D8ECE17" w14:textId="77777777" w:rsidR="008C320A" w:rsidRPr="005A1C28" w:rsidRDefault="008C320A"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A single point of contact lowers interface risk and streamlines contract administration (Kongsuk et al., 2022).</w:t>
      </w:r>
    </w:p>
    <w:p w14:paraId="1C0C5FB4" w14:textId="77777777" w:rsidR="00A37A3F" w:rsidRPr="005A1C28" w:rsidRDefault="00A37A3F"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Predictability: frequently a lump amount or fixed price that transfers price risk to the contractor and offers clear cost visibility (Zhao &amp; Park, 2024).</w:t>
      </w:r>
    </w:p>
    <w:p w14:paraId="1C0E7CD3" w14:textId="77777777" w:rsidR="00A37A3F" w:rsidRPr="005A1C28" w:rsidRDefault="00A37A3F"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 Quicker delivery: By integrating design and construction, timetables can be shortened by concurrent activities (Almeida &amp; Singh, 2022).</w:t>
      </w:r>
    </w:p>
    <w:p w14:paraId="2DFCE63A" w14:textId="77777777" w:rsidR="00F13489" w:rsidRPr="005A1C28" w:rsidRDefault="00F13489" w:rsidP="00F640E7">
      <w:pPr>
        <w:spacing w:line="360" w:lineRule="auto"/>
        <w:jc w:val="both"/>
        <w:rPr>
          <w:rFonts w:ascii="Times New Roman" w:hAnsi="Times New Roman" w:cs="Times New Roman"/>
        </w:rPr>
      </w:pPr>
      <w:r w:rsidRPr="005A1C28">
        <w:rPr>
          <w:rFonts w:ascii="Times New Roman" w:hAnsi="Times New Roman" w:cs="Times New Roman"/>
        </w:rPr>
        <w:t>Less daily supervision is needed, which is beneficial for customers with limited technical capabilities (Walker &amp; Dey, 2022).</w:t>
      </w:r>
    </w:p>
    <w:p w14:paraId="18FDF5C6" w14:textId="6FD73443"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Disadvantages</w:t>
      </w:r>
    </w:p>
    <w:p w14:paraId="3710E6E7" w14:textId="77777777" w:rsidR="00E27872" w:rsidRPr="005A1C28" w:rsidRDefault="00E27872"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Customization and future flexibility may be limited if clients have less control over design aspects (Harris &amp; Nguyen, 2022).</w:t>
      </w:r>
    </w:p>
    <w:p w14:paraId="1D6C9115" w14:textId="77777777" w:rsidR="0060250A" w:rsidRPr="005A1C28" w:rsidRDefault="0060250A"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 Greater margins for contractors to cover transferred risks, which could raise the initial cost (Zhang et al., 2023).</w:t>
      </w:r>
    </w:p>
    <w:p w14:paraId="338565EF" w14:textId="77777777" w:rsidR="00A540C0" w:rsidRPr="005A1C28" w:rsidRDefault="00A540C0"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Information asymmetry can hinder innovation or lifecycle optimization since the contractor designs to satisfy minimal contractual performance (Ochieng &amp; Carter, 2021).</w:t>
      </w:r>
    </w:p>
    <w:p w14:paraId="3E9BB453" w14:textId="579BBC3A" w:rsidR="005014C0" w:rsidRPr="005A1C28" w:rsidRDefault="005014C0"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Contract complexity: it is difficult to design thorough output-based specifications that account for all performance criteria, which could result in disagreements (Kongsuk et al., 2022).</w:t>
      </w:r>
    </w:p>
    <w:p w14:paraId="2CF34648" w14:textId="60F8A9EC"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Suitability and Example Project</w:t>
      </w:r>
    </w:p>
    <w:p w14:paraId="311A597A" w14:textId="261507D7" w:rsidR="00DE7261" w:rsidRPr="005A1C28" w:rsidRDefault="00540FA1" w:rsidP="00F640E7">
      <w:pPr>
        <w:spacing w:line="360" w:lineRule="auto"/>
        <w:jc w:val="both"/>
        <w:rPr>
          <w:rFonts w:ascii="Times New Roman" w:hAnsi="Times New Roman" w:cs="Times New Roman"/>
        </w:rPr>
      </w:pPr>
      <w:r w:rsidRPr="005A1C28">
        <w:rPr>
          <w:rFonts w:ascii="Times New Roman" w:hAnsi="Times New Roman" w:cs="Times New Roman"/>
        </w:rPr>
        <w:t xml:space="preserve">Turnkey projects, such as </w:t>
      </w:r>
      <w:r w:rsidR="002B105A">
        <w:rPr>
          <w:rFonts w:ascii="Times New Roman" w:hAnsi="Times New Roman" w:cs="Times New Roman"/>
        </w:rPr>
        <w:t>m</w:t>
      </w:r>
      <w:r w:rsidR="0051150D" w:rsidRPr="0051150D">
        <w:rPr>
          <w:rFonts w:ascii="Times New Roman" w:hAnsi="Times New Roman" w:cs="Times New Roman"/>
        </w:rPr>
        <w:t>ajor improvement packages for Thames Water's Beckton Sewage Treatment Works were delivered using EPC-style contracts; single contractors were given huge scope packages to complete the design, procurement, and construction of a functioning facility</w:t>
      </w:r>
      <w:r w:rsidRPr="005A1C28">
        <w:rPr>
          <w:rFonts w:ascii="Times New Roman" w:hAnsi="Times New Roman" w:cs="Times New Roman"/>
        </w:rPr>
        <w:t xml:space="preserve">. </w:t>
      </w:r>
      <w:r w:rsidR="00361DD3" w:rsidRPr="005A1C28">
        <w:rPr>
          <w:rFonts w:ascii="Times New Roman" w:hAnsi="Times New Roman" w:cs="Times New Roman"/>
        </w:rPr>
        <w:t>Timeline certainty and operational handover are important in this situation, turnkey transfers commissioning risk and lessens the coordinating burden.</w:t>
      </w:r>
      <w:r w:rsidR="00C42C2D" w:rsidRPr="005A1C28">
        <w:rPr>
          <w:rFonts w:ascii="Times New Roman" w:hAnsi="Times New Roman" w:cs="Times New Roman"/>
        </w:rPr>
        <w:t xml:space="preserve"> </w:t>
      </w:r>
      <w:r w:rsidR="004747B3" w:rsidRPr="005A1C28">
        <w:rPr>
          <w:rFonts w:ascii="Times New Roman" w:hAnsi="Times New Roman" w:cs="Times New Roman"/>
        </w:rPr>
        <w:t xml:space="preserve">However, turnkey might not be as </w:t>
      </w:r>
      <w:r w:rsidR="004747B3" w:rsidRPr="005A1C28">
        <w:rPr>
          <w:rFonts w:ascii="Times New Roman" w:hAnsi="Times New Roman" w:cs="Times New Roman"/>
        </w:rPr>
        <w:lastRenderedPageBreak/>
        <w:t>suitable for custom facilities where future flexibility or client-led innovation is important (such as research laboratories) (Almeida &amp; Singh, 2022).</w:t>
      </w:r>
    </w:p>
    <w:p w14:paraId="015527CB" w14:textId="0FBBF117" w:rsidR="00C42C2D" w:rsidRPr="005A1C28" w:rsidRDefault="00C42C2D" w:rsidP="00F640E7">
      <w:pPr>
        <w:pStyle w:val="ListParagraph"/>
        <w:numPr>
          <w:ilvl w:val="0"/>
          <w:numId w:val="4"/>
        </w:numPr>
        <w:spacing w:line="360" w:lineRule="auto"/>
        <w:jc w:val="both"/>
        <w:rPr>
          <w:rFonts w:ascii="Times New Roman" w:hAnsi="Times New Roman" w:cs="Times New Roman"/>
        </w:rPr>
      </w:pPr>
      <w:r w:rsidRPr="005A1C28">
        <w:rPr>
          <w:rFonts w:ascii="Times New Roman" w:hAnsi="Times New Roman" w:cs="Times New Roman"/>
        </w:rPr>
        <w:t>Multi</w:t>
      </w:r>
      <w:r w:rsidR="008C0AD7" w:rsidRPr="005A1C28">
        <w:rPr>
          <w:rFonts w:ascii="Times New Roman" w:hAnsi="Times New Roman" w:cs="Times New Roman"/>
        </w:rPr>
        <w:t>-</w:t>
      </w:r>
      <w:r w:rsidRPr="005A1C28">
        <w:rPr>
          <w:rFonts w:ascii="Times New Roman" w:hAnsi="Times New Roman" w:cs="Times New Roman"/>
        </w:rPr>
        <w:t>contracting</w:t>
      </w:r>
    </w:p>
    <w:p w14:paraId="3AE454DD" w14:textId="5DFF9455"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Description</w:t>
      </w:r>
    </w:p>
    <w:p w14:paraId="4674B091" w14:textId="15C47C4D" w:rsidR="00C42C2D" w:rsidRPr="005A1C28" w:rsidRDefault="00C05820" w:rsidP="00F640E7">
      <w:pPr>
        <w:spacing w:line="360" w:lineRule="auto"/>
        <w:jc w:val="both"/>
        <w:rPr>
          <w:rFonts w:ascii="Times New Roman" w:hAnsi="Times New Roman" w:cs="Times New Roman"/>
        </w:rPr>
      </w:pPr>
      <w:r w:rsidRPr="005A1C28">
        <w:rPr>
          <w:rFonts w:ascii="Times New Roman" w:hAnsi="Times New Roman" w:cs="Times New Roman"/>
        </w:rPr>
        <w:t xml:space="preserve">The customer enters into several direct contracts with specialist contractors and consultants for various work packages (civil works, MEP, façade, equipment, etc.) in multi-contracting, also known as multi-prime contracting. </w:t>
      </w:r>
      <w:r w:rsidR="0007310E" w:rsidRPr="005A1C28">
        <w:rPr>
          <w:rFonts w:ascii="Times New Roman" w:hAnsi="Times New Roman" w:cs="Times New Roman"/>
        </w:rPr>
        <w:t>Through an owner's engineer or project management team, the customer usually arranges interfaces between contractors (Gonzalez &amp; Reed, 2023).</w:t>
      </w:r>
    </w:p>
    <w:p w14:paraId="5F7E95E6" w14:textId="4B062F38"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Advantages</w:t>
      </w:r>
    </w:p>
    <w:p w14:paraId="552EAEF1" w14:textId="77777777" w:rsidR="005C0062" w:rsidRPr="005A1C28" w:rsidRDefault="005C0062"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Increased client control: the client can direct design choices and quality standards through direct contracts with trade contractors (Harris &amp; Nguyen, 2022).</w:t>
      </w:r>
    </w:p>
    <w:p w14:paraId="37632DD7" w14:textId="77777777" w:rsidR="00A25CE6" w:rsidRPr="005A1C28" w:rsidRDefault="00A25CE6"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If the market for specialty is competitive, competitive pricing for individual packages can reduce prices (Zhao &amp; Park, 2024).</w:t>
      </w:r>
    </w:p>
    <w:p w14:paraId="7EBEC799" w14:textId="77777777" w:rsidR="00206164" w:rsidRPr="005A1C28" w:rsidRDefault="00206164"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 Procurement flexibility: the client can choose top-notch experts for every package and make parallel purchases to speed up the timeline (Walker &amp; Dey, 2022).</w:t>
      </w:r>
    </w:p>
    <w:p w14:paraId="1EC30A1C" w14:textId="5920B9AC" w:rsidR="00575104" w:rsidRPr="005A1C28" w:rsidRDefault="00575104"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Knowledge retention: When client teams interact directly, managing several contracts fosters organizational learning (Gonzalez &amp; Reed, 2023).</w:t>
      </w:r>
    </w:p>
    <w:p w14:paraId="55928D28" w14:textId="01D9E216"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Disadvantages</w:t>
      </w:r>
    </w:p>
    <w:p w14:paraId="2F4BE656" w14:textId="77777777" w:rsidR="00B73792" w:rsidRPr="005A1C28" w:rsidRDefault="00B73792"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High coordination and transaction costs: the client must have good project management skills and incur interface risk (Kongsuk et al., 2022).</w:t>
      </w:r>
    </w:p>
    <w:p w14:paraId="4331C761" w14:textId="77777777" w:rsidR="00BA07FC" w:rsidRPr="005A1C28" w:rsidRDefault="00BA07FC"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Inter-contractor dependencies raise the risk of disagreements and delays (Zhang et al., 2023).</w:t>
      </w:r>
    </w:p>
    <w:p w14:paraId="0C7D9DFE" w14:textId="77777777" w:rsidR="00BA07FC" w:rsidRPr="005A1C28" w:rsidRDefault="00BA07FC"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The likelihood of misalignment increases in the absence of a competent owner's representative or project management office (Gonzalez &amp; Reed, 2023).</w:t>
      </w:r>
    </w:p>
    <w:p w14:paraId="319E52C4" w14:textId="063E7AA1" w:rsidR="00173647" w:rsidRPr="005A1C28" w:rsidRDefault="00173647"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Contracting, monitoring, and payment cycles are compounded due to administrative complexity (Harris &amp; Nguyen, 2022).</w:t>
      </w:r>
    </w:p>
    <w:p w14:paraId="628595E8" w14:textId="6FD0A030"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Suitability and Example Project</w:t>
      </w:r>
    </w:p>
    <w:p w14:paraId="5337B4E5" w14:textId="77777777" w:rsidR="00D65219" w:rsidRPr="00D65219" w:rsidRDefault="00D65219" w:rsidP="00D65219">
      <w:pPr>
        <w:spacing w:after="0" w:line="360" w:lineRule="auto"/>
        <w:jc w:val="both"/>
        <w:rPr>
          <w:rFonts w:ascii="Times New Roman" w:eastAsia="Times New Roman" w:hAnsi="Times New Roman" w:cs="Times New Roman"/>
          <w:kern w:val="0"/>
          <w:lang w:eastAsia="en-GB"/>
          <w14:ligatures w14:val="none"/>
        </w:rPr>
      </w:pPr>
      <w:r w:rsidRPr="00D65219">
        <w:rPr>
          <w:rFonts w:ascii="Times New Roman" w:eastAsia="Times New Roman" w:hAnsi="Times New Roman" w:cs="Times New Roman"/>
          <w:kern w:val="0"/>
          <w:lang w:eastAsia="en-GB"/>
          <w14:ligatures w14:val="none"/>
        </w:rPr>
        <w:t xml:space="preserve">The London 2012 Olympic Park renovation program was divided into numerous trade and speciality contracts (infrastructure, venues, landscaping, fit-out), with several prime contractors being coordinated by the Olympic Delivery Authority/LLDC. Although they can </w:t>
      </w:r>
      <w:r w:rsidRPr="00D65219">
        <w:rPr>
          <w:rFonts w:ascii="Times New Roman" w:eastAsia="Times New Roman" w:hAnsi="Times New Roman" w:cs="Times New Roman"/>
          <w:kern w:val="0"/>
          <w:lang w:eastAsia="en-GB"/>
          <w14:ligatures w14:val="none"/>
        </w:rPr>
        <w:lastRenderedPageBreak/>
        <w:t>optimise each package for cost and performance, the customer must invest heavily in coordination and interface management to avoid schedule slippage (Walker &amp; Dey, 2022).</w:t>
      </w:r>
    </w:p>
    <w:p w14:paraId="2EF002A5" w14:textId="6C233D75" w:rsidR="00C42C2D" w:rsidRPr="005A1C28" w:rsidRDefault="00C42C2D" w:rsidP="00F640E7">
      <w:pPr>
        <w:pStyle w:val="ListParagraph"/>
        <w:numPr>
          <w:ilvl w:val="0"/>
          <w:numId w:val="4"/>
        </w:numPr>
        <w:spacing w:line="360" w:lineRule="auto"/>
        <w:jc w:val="both"/>
        <w:rPr>
          <w:rFonts w:ascii="Times New Roman" w:hAnsi="Times New Roman" w:cs="Times New Roman"/>
        </w:rPr>
      </w:pPr>
      <w:r w:rsidRPr="005A1C28">
        <w:rPr>
          <w:rFonts w:ascii="Times New Roman" w:hAnsi="Times New Roman" w:cs="Times New Roman"/>
        </w:rPr>
        <w:t>Do-It-Yourself (Client-Managed) Contracting</w:t>
      </w:r>
    </w:p>
    <w:p w14:paraId="48A2507A" w14:textId="1EF99490"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Description</w:t>
      </w:r>
    </w:p>
    <w:p w14:paraId="22CF2AF9" w14:textId="68E4EF73" w:rsidR="00C42C2D" w:rsidRPr="005A1C28" w:rsidRDefault="00251867" w:rsidP="00F640E7">
      <w:pPr>
        <w:spacing w:line="360" w:lineRule="auto"/>
        <w:jc w:val="both"/>
        <w:rPr>
          <w:rFonts w:ascii="Times New Roman" w:hAnsi="Times New Roman" w:cs="Times New Roman"/>
        </w:rPr>
      </w:pPr>
      <w:r w:rsidRPr="005A1C28">
        <w:rPr>
          <w:rFonts w:ascii="Times New Roman" w:hAnsi="Times New Roman" w:cs="Times New Roman"/>
        </w:rPr>
        <w:t>DIY contracting, sometimes referred to as client-managed delivery, is the practice of the client organization performing important project tasks on its own.</w:t>
      </w:r>
      <w:r w:rsidR="00CE7336" w:rsidRPr="005A1C28">
        <w:rPr>
          <w:rFonts w:ascii="Times New Roman" w:hAnsi="Times New Roman" w:cs="Times New Roman"/>
        </w:rPr>
        <w:t xml:space="preserve"> </w:t>
      </w:r>
      <w:r w:rsidR="004615BE" w:rsidRPr="005A1C28">
        <w:rPr>
          <w:rFonts w:ascii="Times New Roman" w:hAnsi="Times New Roman" w:cs="Times New Roman"/>
        </w:rPr>
        <w:t>This means periodically working with internal forces and employing internal staff for design, procurement, and construction supervision. The customer maintains direct contractual contacts only when absolutely necessary (Harris &amp; Nguyen, 2022).</w:t>
      </w:r>
    </w:p>
    <w:p w14:paraId="00B047CF" w14:textId="144D14CA"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Advantages</w:t>
      </w:r>
    </w:p>
    <w:p w14:paraId="6185F9D8" w14:textId="77777777" w:rsidR="004615BE" w:rsidRPr="005A1C28" w:rsidRDefault="004615BE"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Maximum customer control over all aspects, including knowledge retention, strategic outcomes, design integrity, and quality (Zhang et al., 2023).</w:t>
      </w:r>
    </w:p>
    <w:p w14:paraId="14FFFF55" w14:textId="77777777" w:rsidR="00A90949" w:rsidRPr="005A1C28" w:rsidRDefault="00A90949"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If the client has competent internal execution capabilities, there may be potential cost savings by avoiding contractor margins (Kongsuk et al., 2022).</w:t>
      </w:r>
    </w:p>
    <w:p w14:paraId="612EA62F" w14:textId="4F6906D8" w:rsidR="00C42C2D" w:rsidRPr="005A1C28" w:rsidRDefault="004F2E24"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Improved privacy and congruence with company goals (Gonzalez &amp; Reed, 2023).</w:t>
      </w:r>
    </w:p>
    <w:p w14:paraId="2AD8CADA" w14:textId="6CD6D47E" w:rsidR="004F2E24" w:rsidRPr="005A1C28" w:rsidRDefault="004F2E24"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Phased handover and simpler integration with organizational activities (Almeida &amp; Singh, 2022).</w:t>
      </w:r>
    </w:p>
    <w:p w14:paraId="016C7EC6" w14:textId="1FEEE520"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Disadvantages</w:t>
      </w:r>
    </w:p>
    <w:p w14:paraId="2172B349" w14:textId="77777777" w:rsidR="0041309A" w:rsidRPr="005A1C28" w:rsidRDefault="0041309A"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High internal resource requirements: not all clients have the necessary systems, procedures, and experienced personnel (PMI, 2021).</w:t>
      </w:r>
    </w:p>
    <w:p w14:paraId="7E0EB931" w14:textId="758FB88B" w:rsidR="00C42C2D" w:rsidRPr="005A1C28" w:rsidRDefault="00976A0A"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Potential inefficiencies: a lack of market rivalry may hinder innovation and cost-effectiveness (Zhao &amp; Park, 2024).</w:t>
      </w:r>
    </w:p>
    <w:p w14:paraId="797145C7" w14:textId="77777777" w:rsidR="00976A0A" w:rsidRPr="005A1C28" w:rsidRDefault="00976A0A"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The client bears all technical, financial, and scheduling risks, which can be significant for intricate projects (Ochieng &amp; Carter, 2021).</w:t>
      </w:r>
    </w:p>
    <w:p w14:paraId="434C61A5" w14:textId="432BD07E" w:rsidR="00FF74CA" w:rsidRPr="005A1C28" w:rsidRDefault="00FF74CA"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It may not be cost-effective to capitalize and remain prepared for intermittent projects (Harris &amp; Nguyen, 2022).</w:t>
      </w:r>
    </w:p>
    <w:p w14:paraId="533E9516" w14:textId="22196535"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Suitability and Example Project</w:t>
      </w:r>
    </w:p>
    <w:p w14:paraId="12D9D1F7" w14:textId="3F7972D2" w:rsidR="00C42C2D" w:rsidRPr="005A1C28" w:rsidRDefault="009C0384" w:rsidP="00F640E7">
      <w:pPr>
        <w:spacing w:line="360" w:lineRule="auto"/>
        <w:jc w:val="both"/>
        <w:rPr>
          <w:rFonts w:ascii="Times New Roman" w:hAnsi="Times New Roman" w:cs="Times New Roman"/>
        </w:rPr>
      </w:pPr>
      <w:r w:rsidRPr="009C0384">
        <w:rPr>
          <w:rFonts w:ascii="Times New Roman" w:hAnsi="Times New Roman" w:cs="Times New Roman"/>
        </w:rPr>
        <w:t xml:space="preserve">For tighter operational integration and asset knowledge retention, Transport for London (TfL) has managed elements (client design and programme control, as well as some in-house works) when a client has a continuous programme of work and the internal capacity to deliver, such as </w:t>
      </w:r>
      <w:r w:rsidRPr="009C0384">
        <w:rPr>
          <w:rFonts w:ascii="Times New Roman" w:hAnsi="Times New Roman" w:cs="Times New Roman"/>
        </w:rPr>
        <w:lastRenderedPageBreak/>
        <w:t>the TfL station upgrade programme (certain packages). However, DIY is risky for one-off, highly specialised projects due to a lack of skill (PMI, 2021).</w:t>
      </w:r>
    </w:p>
    <w:p w14:paraId="4958A9E7" w14:textId="16C105E0" w:rsidR="00C42C2D" w:rsidRPr="005A1C28" w:rsidRDefault="00C42C2D" w:rsidP="00F640E7">
      <w:pPr>
        <w:pStyle w:val="ListParagraph"/>
        <w:numPr>
          <w:ilvl w:val="0"/>
          <w:numId w:val="4"/>
        </w:numPr>
        <w:spacing w:line="360" w:lineRule="auto"/>
        <w:jc w:val="both"/>
        <w:rPr>
          <w:rFonts w:ascii="Times New Roman" w:hAnsi="Times New Roman" w:cs="Times New Roman"/>
        </w:rPr>
      </w:pPr>
      <w:r w:rsidRPr="005A1C28">
        <w:rPr>
          <w:rFonts w:ascii="Times New Roman" w:hAnsi="Times New Roman" w:cs="Times New Roman"/>
        </w:rPr>
        <w:t>Multicontract + DIY (Hybrid)</w:t>
      </w:r>
    </w:p>
    <w:p w14:paraId="697ACD18" w14:textId="060B12DC"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Description</w:t>
      </w:r>
    </w:p>
    <w:p w14:paraId="2E41ABC3" w14:textId="77777777" w:rsidR="009679CA" w:rsidRPr="005A1C28" w:rsidRDefault="009679CA" w:rsidP="00F640E7">
      <w:pPr>
        <w:spacing w:line="360" w:lineRule="auto"/>
        <w:jc w:val="both"/>
        <w:rPr>
          <w:rFonts w:ascii="Times New Roman" w:hAnsi="Times New Roman" w:cs="Times New Roman"/>
        </w:rPr>
      </w:pPr>
      <w:r w:rsidRPr="005A1C28">
        <w:rPr>
          <w:rFonts w:ascii="Times New Roman" w:hAnsi="Times New Roman" w:cs="Times New Roman"/>
        </w:rPr>
        <w:t>A hybrid strategy combines aspects of DIY and multi-contracting: specialized packages are granted under separate contracts, while the customer manages and executes key strategic components. In areas where it excels, the client may self-perform tasks and usually maintains central coordination (Gonzalez &amp; Reed, 2023).</w:t>
      </w:r>
    </w:p>
    <w:p w14:paraId="080FD7C2" w14:textId="286725C4" w:rsidR="00CE7336" w:rsidRPr="005A1C28" w:rsidRDefault="009679CA" w:rsidP="00F640E7">
      <w:pPr>
        <w:spacing w:line="360" w:lineRule="auto"/>
        <w:jc w:val="both"/>
        <w:rPr>
          <w:rFonts w:ascii="Times New Roman" w:hAnsi="Times New Roman" w:cs="Times New Roman"/>
        </w:rPr>
      </w:pPr>
      <w:r w:rsidRPr="005A1C28">
        <w:rPr>
          <w:rFonts w:ascii="Times New Roman" w:hAnsi="Times New Roman" w:cs="Times New Roman"/>
        </w:rPr>
        <w:t xml:space="preserve"> </w:t>
      </w:r>
      <w:r w:rsidR="00C42C2D" w:rsidRPr="005A1C28">
        <w:rPr>
          <w:rFonts w:ascii="Times New Roman" w:hAnsi="Times New Roman" w:cs="Times New Roman"/>
        </w:rPr>
        <w:t>Advantages</w:t>
      </w:r>
    </w:p>
    <w:p w14:paraId="79526D28" w14:textId="77777777" w:rsidR="00C13FD2" w:rsidRPr="005A1C28" w:rsidRDefault="00C13FD2"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Clients maintain strategic management while utilizing market experience for specific activities through balanced control and outsourcing (Walker &amp; Dey, 2022).</w:t>
      </w:r>
    </w:p>
    <w:p w14:paraId="0A190024" w14:textId="77777777" w:rsidR="00C13FD2" w:rsidRPr="005A1C28" w:rsidRDefault="00C13FD2"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Risk optimization involves the client taking on risks that it can control and assigning others to contractors, adjusting allocation based on capabilities (Kongsuk et al., 2022).</w:t>
      </w:r>
    </w:p>
    <w:p w14:paraId="34E84678" w14:textId="77777777" w:rsidR="00EB6229" w:rsidRPr="005A1C28" w:rsidRDefault="00EB6229"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Flexibility: Depending on project phases and resource availability, the customer can scale up or reduce internal activities (Almeida &amp; Singh, 2022).</w:t>
      </w:r>
    </w:p>
    <w:p w14:paraId="43F7ED6F" w14:textId="6186DDC0" w:rsidR="00DA56B8" w:rsidRPr="005A1C28" w:rsidRDefault="00DA56B8"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Combining direct procurement for long-lead commodities with specialized contractors for installation can potentially reduce lead time and save costs (Zhao &amp; Park, 2024).</w:t>
      </w:r>
    </w:p>
    <w:p w14:paraId="0D261A23" w14:textId="5D028011"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Disadvantages</w:t>
      </w:r>
    </w:p>
    <w:p w14:paraId="170A228A" w14:textId="77777777" w:rsidR="002A726B" w:rsidRPr="005A1C28" w:rsidRDefault="002A726B"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Coordination complexity: complicated governance and integrated planning are needed to manage a mixed delivery strategy (Zhang et al., 2023).</w:t>
      </w:r>
    </w:p>
    <w:p w14:paraId="12E52ABA" w14:textId="77777777" w:rsidR="002A726B" w:rsidRPr="005A1C28" w:rsidRDefault="002A726B"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Contractual ambiguity: If boundaries between contractor and internal work are not well established, interface issues may arise (Ochieng &amp; Carter, 2021).</w:t>
      </w:r>
    </w:p>
    <w:p w14:paraId="4FF3C3E5" w14:textId="77777777" w:rsidR="00B07AF7" w:rsidRPr="005A1C28" w:rsidRDefault="00B07AF7"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Resource strain: According to Harris and Nguyen (2022), the customer must continue to have enough internal capacity to efficiently manage retained functions.</w:t>
      </w:r>
    </w:p>
    <w:p w14:paraId="4E877ED0" w14:textId="4A479071" w:rsidR="00B07AF7" w:rsidRPr="005A1C28" w:rsidRDefault="00B07AF7" w:rsidP="00F640E7">
      <w:pPr>
        <w:pStyle w:val="ListParagraph"/>
        <w:numPr>
          <w:ilvl w:val="0"/>
          <w:numId w:val="3"/>
        </w:numPr>
        <w:spacing w:line="360" w:lineRule="auto"/>
        <w:jc w:val="both"/>
        <w:rPr>
          <w:rFonts w:ascii="Times New Roman" w:hAnsi="Times New Roman" w:cs="Times New Roman"/>
        </w:rPr>
      </w:pPr>
      <w:r w:rsidRPr="005A1C28">
        <w:rPr>
          <w:rFonts w:ascii="Times New Roman" w:hAnsi="Times New Roman" w:cs="Times New Roman"/>
        </w:rPr>
        <w:t>If jobs overlap or governance is inadequate, there may be redundant effort and inefficiencies (Gonzalez &amp; Reed, 2023).</w:t>
      </w:r>
    </w:p>
    <w:p w14:paraId="13A0B485" w14:textId="5A7B7D6C"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Suitability and Example Project</w:t>
      </w:r>
    </w:p>
    <w:p w14:paraId="291F615C" w14:textId="5BF68A00" w:rsidR="00C42C2D" w:rsidRPr="005A1C28" w:rsidRDefault="00D71685" w:rsidP="00F640E7">
      <w:pPr>
        <w:spacing w:line="360" w:lineRule="auto"/>
        <w:jc w:val="both"/>
        <w:rPr>
          <w:rFonts w:ascii="Times New Roman" w:hAnsi="Times New Roman" w:cs="Times New Roman"/>
        </w:rPr>
      </w:pPr>
      <w:r w:rsidRPr="00D71685">
        <w:rPr>
          <w:rFonts w:ascii="Times New Roman" w:hAnsi="Times New Roman" w:cs="Times New Roman"/>
        </w:rPr>
        <w:t xml:space="preserve">For projects when the client needs outside specialists for certain tasks but has core strengths for others, the hybrid method works well. For instance, trusts frequently commission and oversee clinical design and equipment procurement in-house while contracting out building </w:t>
      </w:r>
      <w:r w:rsidRPr="00D71685">
        <w:rPr>
          <w:rFonts w:ascii="Times New Roman" w:hAnsi="Times New Roman" w:cs="Times New Roman"/>
        </w:rPr>
        <w:lastRenderedPageBreak/>
        <w:t>work and specialised MEP installation to numerous contractors in NHS hospital redevelopment projects (common model, e.g., some Trust-led hospital refurbishments). This technique allows the authority to keep control over operations and assets by utilising market knowledge for technology supply (Walker &amp; Dey, 2022</w:t>
      </w:r>
      <w:r w:rsidR="00176B84" w:rsidRPr="005A1C28">
        <w:rPr>
          <w:rFonts w:ascii="Times New Roman" w:hAnsi="Times New Roman" w:cs="Times New Roman"/>
        </w:rPr>
        <w:t>).</w:t>
      </w:r>
    </w:p>
    <w:p w14:paraId="3BE612F3" w14:textId="65BD8BDB" w:rsidR="009A5015" w:rsidRPr="005A1C28" w:rsidRDefault="00CE7336" w:rsidP="00F640E7">
      <w:pPr>
        <w:pStyle w:val="ListParagraph"/>
        <w:numPr>
          <w:ilvl w:val="0"/>
          <w:numId w:val="1"/>
        </w:numPr>
        <w:spacing w:line="360" w:lineRule="auto"/>
        <w:jc w:val="both"/>
        <w:outlineLvl w:val="3"/>
        <w:rPr>
          <w:rFonts w:ascii="Times New Roman" w:hAnsi="Times New Roman" w:cs="Times New Roman"/>
        </w:rPr>
      </w:pPr>
      <w:bookmarkStart w:id="3" w:name="_Toc233534848"/>
      <w:r w:rsidRPr="005A1C28">
        <w:rPr>
          <w:rFonts w:ascii="Times New Roman" w:hAnsi="Times New Roman" w:cs="Times New Roman"/>
        </w:rPr>
        <w:t>C</w:t>
      </w:r>
      <w:r w:rsidR="00C42C2D" w:rsidRPr="005A1C28">
        <w:rPr>
          <w:rFonts w:ascii="Times New Roman" w:hAnsi="Times New Roman" w:cs="Times New Roman"/>
        </w:rPr>
        <w:t>omparative Analysis and Practical Considerations</w:t>
      </w:r>
      <w:bookmarkEnd w:id="3"/>
      <w:r w:rsidR="00C42C2D" w:rsidRPr="005A1C28">
        <w:rPr>
          <w:rFonts w:ascii="Times New Roman" w:hAnsi="Times New Roman" w:cs="Times New Roman"/>
        </w:rPr>
        <w:t xml:space="preserve"> </w:t>
      </w:r>
    </w:p>
    <w:p w14:paraId="0D95E19E" w14:textId="4BAC68AE" w:rsidR="00AE6D69" w:rsidRPr="005A1C28" w:rsidRDefault="00F501A4" w:rsidP="00F640E7">
      <w:pPr>
        <w:spacing w:line="360" w:lineRule="auto"/>
        <w:jc w:val="both"/>
        <w:rPr>
          <w:rFonts w:ascii="Times New Roman" w:hAnsi="Times New Roman" w:cs="Times New Roman"/>
        </w:rPr>
      </w:pPr>
      <w:r w:rsidRPr="005A1C28">
        <w:rPr>
          <w:rFonts w:ascii="Times New Roman" w:hAnsi="Times New Roman" w:cs="Times New Roman"/>
        </w:rPr>
        <w:t xml:space="preserve">Project-specific considerations such as complexity, scale, technological novelty, timetable urgency, client capabilities, market conditions, and risk appetite should guide the choice of the best contracting approach (Walker &amp; Dey, 2022). Relative positioning is highlighted in the table-style </w:t>
      </w:r>
      <w:r w:rsidR="00AE6D69" w:rsidRPr="005A1C28">
        <w:rPr>
          <w:rFonts w:ascii="Times New Roman" w:hAnsi="Times New Roman" w:cs="Times New Roman"/>
        </w:rPr>
        <w:t>summary:</w:t>
      </w:r>
    </w:p>
    <w:p w14:paraId="62C43CA5" w14:textId="3D66BD4B" w:rsidR="004858E1" w:rsidRPr="005A1C28" w:rsidRDefault="004858E1" w:rsidP="00F640E7">
      <w:pPr>
        <w:pStyle w:val="ListParagraph"/>
        <w:numPr>
          <w:ilvl w:val="0"/>
          <w:numId w:val="6"/>
        </w:numPr>
        <w:spacing w:line="360" w:lineRule="auto"/>
        <w:jc w:val="both"/>
        <w:rPr>
          <w:rFonts w:ascii="Times New Roman" w:hAnsi="Times New Roman" w:cs="Times New Roman"/>
        </w:rPr>
      </w:pPr>
      <w:r w:rsidRPr="005A1C28">
        <w:rPr>
          <w:rFonts w:ascii="Times New Roman" w:hAnsi="Times New Roman" w:cs="Times New Roman"/>
        </w:rPr>
        <w:t>Turnkey assigns the majority of execution and cost-overrun risk to the contractor, DIY and multi-contract assign risk to the client, and hybrid assigns risks according to capability allocation (Zhao &amp; Park, 2024).</w:t>
      </w:r>
    </w:p>
    <w:p w14:paraId="7567C590" w14:textId="77777777" w:rsidR="009C5306" w:rsidRPr="005A1C28" w:rsidRDefault="009C5306" w:rsidP="00F640E7">
      <w:pPr>
        <w:pStyle w:val="ListParagraph"/>
        <w:numPr>
          <w:ilvl w:val="0"/>
          <w:numId w:val="6"/>
        </w:numPr>
        <w:spacing w:line="360" w:lineRule="auto"/>
        <w:jc w:val="both"/>
        <w:rPr>
          <w:rFonts w:ascii="Times New Roman" w:hAnsi="Times New Roman" w:cs="Times New Roman"/>
        </w:rPr>
      </w:pPr>
      <w:r w:rsidRPr="005A1C28">
        <w:rPr>
          <w:rFonts w:ascii="Times New Roman" w:hAnsi="Times New Roman" w:cs="Times New Roman"/>
        </w:rPr>
        <w:t>Control and knowledge retention: Turnkey offers the least amount of control, hybrid offers intermediate control, and DIY and Multicontract offer the most (Gonzalez &amp; Reed, 2023).</w:t>
      </w:r>
    </w:p>
    <w:p w14:paraId="05A6CB7E" w14:textId="6FC5742A" w:rsidR="00C42C2D" w:rsidRPr="005A1C28" w:rsidRDefault="00635FCB" w:rsidP="00F640E7">
      <w:pPr>
        <w:pStyle w:val="ListParagraph"/>
        <w:numPr>
          <w:ilvl w:val="0"/>
          <w:numId w:val="6"/>
        </w:numPr>
        <w:spacing w:line="360" w:lineRule="auto"/>
        <w:jc w:val="both"/>
        <w:rPr>
          <w:rFonts w:ascii="Times New Roman" w:hAnsi="Times New Roman" w:cs="Times New Roman"/>
        </w:rPr>
      </w:pPr>
      <w:r w:rsidRPr="005A1C28">
        <w:rPr>
          <w:rFonts w:ascii="Times New Roman" w:hAnsi="Times New Roman" w:cs="Times New Roman"/>
        </w:rPr>
        <w:t>Turnkey reduces client-side management costs, DIY and Multicontract raise them, and hybrids necessitate significant governance capacity (Kongsuk et al., 2022).</w:t>
      </w:r>
    </w:p>
    <w:p w14:paraId="400A7A8E" w14:textId="3BBF93FB" w:rsidR="0097244B" w:rsidRPr="005A1C28" w:rsidRDefault="0097244B" w:rsidP="00F640E7">
      <w:pPr>
        <w:pStyle w:val="ListParagraph"/>
        <w:numPr>
          <w:ilvl w:val="0"/>
          <w:numId w:val="6"/>
        </w:numPr>
        <w:spacing w:line="360" w:lineRule="auto"/>
        <w:jc w:val="both"/>
        <w:rPr>
          <w:rFonts w:ascii="Times New Roman" w:hAnsi="Times New Roman" w:cs="Times New Roman"/>
        </w:rPr>
      </w:pPr>
      <w:r w:rsidRPr="005A1C28">
        <w:rPr>
          <w:rFonts w:ascii="Times New Roman" w:hAnsi="Times New Roman" w:cs="Times New Roman"/>
        </w:rPr>
        <w:t>Flexibility and innovation: Turnkey can inhibit client-driven innovation unless contractually encouraged, whereas Multicontract and DIY promote innovation from numerous vendors and client involvement (Ochieng &amp; Carter, 2021).</w:t>
      </w:r>
    </w:p>
    <w:p w14:paraId="2F2B854B" w14:textId="09687E6B" w:rsidR="00C42C2D" w:rsidRPr="005A1C28" w:rsidRDefault="005C3715" w:rsidP="00F640E7">
      <w:pPr>
        <w:spacing w:line="360" w:lineRule="auto"/>
        <w:jc w:val="both"/>
        <w:rPr>
          <w:rFonts w:ascii="Times New Roman" w:hAnsi="Times New Roman" w:cs="Times New Roman"/>
        </w:rPr>
      </w:pPr>
      <w:r w:rsidRPr="005A1C28">
        <w:rPr>
          <w:rFonts w:ascii="Times New Roman" w:hAnsi="Times New Roman" w:cs="Times New Roman"/>
        </w:rPr>
        <w:t>Considerations for the project lifespan are also important. Regardless of the delivery type, clients should include lifecycle performance requirements and incentives in contracts for projects where whole-life cost and maintainability are crucial (such as hospitals and data centres) (Almeida &amp; Singh, 2022).</w:t>
      </w:r>
      <w:r w:rsidR="00C42C2D" w:rsidRPr="005A1C28">
        <w:rPr>
          <w:rFonts w:ascii="Times New Roman" w:hAnsi="Times New Roman" w:cs="Times New Roman"/>
        </w:rPr>
        <w:t xml:space="preserve"> </w:t>
      </w:r>
      <w:r w:rsidR="00F10817" w:rsidRPr="005A1C28">
        <w:rPr>
          <w:rFonts w:ascii="Times New Roman" w:hAnsi="Times New Roman" w:cs="Times New Roman"/>
        </w:rPr>
        <w:t>Single-point accountability (Turnkey) lowers interface risk for technology-heavy projects with significant integration risk; nonetheless, the client must guarantee thorough acceptance testing and performance criteria (Zhang et al., 2023).</w:t>
      </w:r>
    </w:p>
    <w:p w14:paraId="1EE5D096" w14:textId="18D715A8" w:rsidR="009A5015" w:rsidRPr="005A1C28" w:rsidRDefault="00C42C2D" w:rsidP="00F640E7">
      <w:pPr>
        <w:pStyle w:val="ListParagraph"/>
        <w:numPr>
          <w:ilvl w:val="0"/>
          <w:numId w:val="1"/>
        </w:numPr>
        <w:spacing w:line="360" w:lineRule="auto"/>
        <w:jc w:val="both"/>
        <w:outlineLvl w:val="4"/>
        <w:rPr>
          <w:rFonts w:ascii="Times New Roman" w:hAnsi="Times New Roman" w:cs="Times New Roman"/>
        </w:rPr>
      </w:pPr>
      <w:bookmarkStart w:id="4" w:name="_Toc233534849"/>
      <w:r w:rsidRPr="005A1C28">
        <w:rPr>
          <w:rFonts w:ascii="Times New Roman" w:hAnsi="Times New Roman" w:cs="Times New Roman"/>
        </w:rPr>
        <w:t>Market context influences method choice</w:t>
      </w:r>
      <w:bookmarkEnd w:id="4"/>
    </w:p>
    <w:p w14:paraId="0947A708" w14:textId="77777777" w:rsidR="001B09CD" w:rsidRPr="005A1C28" w:rsidRDefault="001B09CD" w:rsidP="00F640E7">
      <w:pPr>
        <w:spacing w:line="360" w:lineRule="auto"/>
        <w:jc w:val="both"/>
        <w:rPr>
          <w:rFonts w:ascii="Times New Roman" w:hAnsi="Times New Roman" w:cs="Times New Roman"/>
        </w:rPr>
      </w:pPr>
      <w:r w:rsidRPr="005A1C28">
        <w:rPr>
          <w:rFonts w:ascii="Times New Roman" w:hAnsi="Times New Roman" w:cs="Times New Roman"/>
        </w:rPr>
        <w:t>Multi-contracting may lead to improved price-performance trade-offs in competitive marketplaces with a large number of specialist contractors. On the other hand, turnkey may be dangerous or costly in areas with few trustworthy turnkey providers (Walker &amp; Dey, 2022).</w:t>
      </w:r>
    </w:p>
    <w:p w14:paraId="741C3DAF" w14:textId="402FEA98" w:rsidR="00476EF5" w:rsidRPr="005A1C28" w:rsidRDefault="00C42C2D" w:rsidP="00F640E7">
      <w:pPr>
        <w:spacing w:line="360" w:lineRule="auto"/>
        <w:ind w:firstLine="720"/>
        <w:jc w:val="both"/>
        <w:rPr>
          <w:rFonts w:ascii="Times New Roman" w:hAnsi="Times New Roman" w:cs="Times New Roman"/>
        </w:rPr>
      </w:pPr>
      <w:r w:rsidRPr="005A1C28">
        <w:rPr>
          <w:rFonts w:ascii="Times New Roman" w:hAnsi="Times New Roman" w:cs="Times New Roman"/>
        </w:rPr>
        <w:t>Contract drafting and governance are decisive</w:t>
      </w:r>
    </w:p>
    <w:p w14:paraId="592962FA" w14:textId="02EC74BB" w:rsidR="00C42C2D" w:rsidRPr="005A1C28" w:rsidRDefault="00D11464" w:rsidP="00F640E7">
      <w:pPr>
        <w:spacing w:line="360" w:lineRule="auto"/>
        <w:jc w:val="both"/>
        <w:rPr>
          <w:rFonts w:ascii="Times New Roman" w:hAnsi="Times New Roman" w:cs="Times New Roman"/>
        </w:rPr>
      </w:pPr>
      <w:r w:rsidRPr="005A1C28">
        <w:rPr>
          <w:rFonts w:ascii="Times New Roman" w:hAnsi="Times New Roman" w:cs="Times New Roman"/>
        </w:rPr>
        <w:lastRenderedPageBreak/>
        <w:t xml:space="preserve">Regardless of the delivery type, the possibility of project failure is decreased by </w:t>
      </w:r>
      <w:r w:rsidR="00274F45" w:rsidRPr="005A1C28">
        <w:rPr>
          <w:rFonts w:ascii="Times New Roman" w:hAnsi="Times New Roman" w:cs="Times New Roman"/>
        </w:rPr>
        <w:t>well-defined</w:t>
      </w:r>
      <w:r w:rsidRPr="005A1C28">
        <w:rPr>
          <w:rFonts w:ascii="Times New Roman" w:hAnsi="Times New Roman" w:cs="Times New Roman"/>
        </w:rPr>
        <w:t xml:space="preserve"> performance requirements, explicit interface roles, risk-sharing mechanisms (such as incentives and capped liabilities), progress verification, and dispute resolution provisions (Ochieng &amp; Carter, 2021).</w:t>
      </w:r>
      <w:r w:rsidR="00C42C2D" w:rsidRPr="005A1C28">
        <w:rPr>
          <w:rFonts w:ascii="Times New Roman" w:hAnsi="Times New Roman" w:cs="Times New Roman"/>
        </w:rPr>
        <w:t xml:space="preserve"> </w:t>
      </w:r>
      <w:r w:rsidR="00F627ED" w:rsidRPr="005A1C28">
        <w:rPr>
          <w:rFonts w:ascii="Times New Roman" w:hAnsi="Times New Roman" w:cs="Times New Roman"/>
        </w:rPr>
        <w:t>Alliancing and integrated project delivery (IPD), two contemporary strategies that use contractual incentives to bring parties together around common goals, can be used in addition to or instead of the four approaches covered (Kongsuk et al., 2022).</w:t>
      </w:r>
    </w:p>
    <w:p w14:paraId="23C6F407" w14:textId="008FCECF" w:rsidR="00C42C2D" w:rsidRPr="005A1C28" w:rsidRDefault="00C42C2D" w:rsidP="00F640E7">
      <w:pPr>
        <w:spacing w:line="360" w:lineRule="auto"/>
        <w:ind w:firstLine="720"/>
        <w:jc w:val="both"/>
        <w:rPr>
          <w:rFonts w:ascii="Times New Roman" w:hAnsi="Times New Roman" w:cs="Times New Roman"/>
        </w:rPr>
      </w:pPr>
      <w:r w:rsidRPr="005A1C28">
        <w:rPr>
          <w:rFonts w:ascii="Times New Roman" w:hAnsi="Times New Roman" w:cs="Times New Roman"/>
        </w:rPr>
        <w:t>Contextual example (mid-size urban hospital, approx.</w:t>
      </w:r>
      <w:r w:rsidR="00AE6D69" w:rsidRPr="005A1C28">
        <w:rPr>
          <w:rFonts w:ascii="Times New Roman" w:hAnsi="Times New Roman" w:cs="Times New Roman"/>
        </w:rPr>
        <w:t xml:space="preserve"> £</w:t>
      </w:r>
      <w:r w:rsidRPr="005A1C28">
        <w:rPr>
          <w:rFonts w:ascii="Times New Roman" w:hAnsi="Times New Roman" w:cs="Times New Roman"/>
        </w:rPr>
        <w:t>150M)</w:t>
      </w:r>
    </w:p>
    <w:p w14:paraId="1506502B" w14:textId="4DC5AEE9" w:rsidR="00F057E2" w:rsidRPr="005A1C28" w:rsidRDefault="00F057E2" w:rsidP="00F640E7">
      <w:pPr>
        <w:spacing w:line="360" w:lineRule="auto"/>
        <w:jc w:val="both"/>
        <w:rPr>
          <w:rFonts w:ascii="Times New Roman" w:hAnsi="Times New Roman" w:cs="Times New Roman"/>
        </w:rPr>
      </w:pPr>
      <w:r w:rsidRPr="005A1C28">
        <w:rPr>
          <w:rFonts w:ascii="Times New Roman" w:hAnsi="Times New Roman" w:cs="Times New Roman"/>
        </w:rPr>
        <w:t>Turnkey: Attractive if the healthcare authority needs quick delivery and lacks internal delivery capacity</w:t>
      </w:r>
      <w:r w:rsidR="00FA42F9" w:rsidRPr="005A1C28">
        <w:rPr>
          <w:rFonts w:ascii="Times New Roman" w:hAnsi="Times New Roman" w:cs="Times New Roman"/>
        </w:rPr>
        <w:t>,</w:t>
      </w:r>
      <w:r w:rsidRPr="005A1C28">
        <w:rPr>
          <w:rFonts w:ascii="Times New Roman" w:hAnsi="Times New Roman" w:cs="Times New Roman"/>
        </w:rPr>
        <w:t xml:space="preserve"> drawbacks include higher contractor profit and less control over clinical layout</w:t>
      </w:r>
      <w:r w:rsidR="006E638E">
        <w:rPr>
          <w:rFonts w:ascii="Times New Roman" w:hAnsi="Times New Roman" w:cs="Times New Roman"/>
        </w:rPr>
        <w:t xml:space="preserve"> </w:t>
      </w:r>
      <w:r w:rsidR="006E638E" w:rsidRPr="005A1C28">
        <w:rPr>
          <w:rFonts w:ascii="Times New Roman" w:hAnsi="Times New Roman" w:cs="Times New Roman"/>
        </w:rPr>
        <w:t>(Zhao &amp; Park, 2024).</w:t>
      </w:r>
    </w:p>
    <w:p w14:paraId="148C963A" w14:textId="07593A67" w:rsidR="00673E93" w:rsidRPr="005A1C28" w:rsidRDefault="00673E93" w:rsidP="00F640E7">
      <w:pPr>
        <w:spacing w:line="360" w:lineRule="auto"/>
        <w:jc w:val="both"/>
        <w:rPr>
          <w:rFonts w:ascii="Times New Roman" w:hAnsi="Times New Roman" w:cs="Times New Roman"/>
        </w:rPr>
      </w:pPr>
      <w:r w:rsidRPr="005A1C28">
        <w:rPr>
          <w:rFonts w:ascii="Times New Roman" w:hAnsi="Times New Roman" w:cs="Times New Roman"/>
        </w:rPr>
        <w:t>Multi-contract: Desirable if the authority want to maintain control over clinical planning and choose specialized medical equipment providers directly</w:t>
      </w:r>
      <w:r w:rsidR="00FA42F9" w:rsidRPr="005A1C28">
        <w:rPr>
          <w:rFonts w:ascii="Times New Roman" w:hAnsi="Times New Roman" w:cs="Times New Roman"/>
        </w:rPr>
        <w:t>,</w:t>
      </w:r>
      <w:r w:rsidRPr="005A1C28">
        <w:rPr>
          <w:rFonts w:ascii="Times New Roman" w:hAnsi="Times New Roman" w:cs="Times New Roman"/>
        </w:rPr>
        <w:t xml:space="preserve"> requires a robust PMO to handle interfaces</w:t>
      </w:r>
      <w:r w:rsidR="0051776C">
        <w:rPr>
          <w:rFonts w:ascii="Times New Roman" w:hAnsi="Times New Roman" w:cs="Times New Roman"/>
        </w:rPr>
        <w:t xml:space="preserve"> </w:t>
      </w:r>
      <w:r w:rsidR="0051776C" w:rsidRPr="005A1C28">
        <w:rPr>
          <w:rFonts w:ascii="Times New Roman" w:hAnsi="Times New Roman" w:cs="Times New Roman"/>
        </w:rPr>
        <w:t>(Gonzalez &amp; Reed, 2023).</w:t>
      </w:r>
    </w:p>
    <w:p w14:paraId="5AEEFA8C" w14:textId="221F2829" w:rsidR="00673E93" w:rsidRPr="005A1C28" w:rsidRDefault="00673E93" w:rsidP="00F640E7">
      <w:pPr>
        <w:spacing w:line="360" w:lineRule="auto"/>
        <w:jc w:val="both"/>
        <w:rPr>
          <w:rFonts w:ascii="Times New Roman" w:hAnsi="Times New Roman" w:cs="Times New Roman"/>
        </w:rPr>
      </w:pPr>
      <w:r w:rsidRPr="005A1C28">
        <w:rPr>
          <w:rFonts w:ascii="Times New Roman" w:hAnsi="Times New Roman" w:cs="Times New Roman"/>
        </w:rPr>
        <w:t>DIY: High risk</w:t>
      </w:r>
      <w:r w:rsidR="00FA42F9" w:rsidRPr="005A1C28">
        <w:rPr>
          <w:rFonts w:ascii="Times New Roman" w:hAnsi="Times New Roman" w:cs="Times New Roman"/>
        </w:rPr>
        <w:t>,</w:t>
      </w:r>
      <w:r w:rsidRPr="005A1C28">
        <w:rPr>
          <w:rFonts w:ascii="Times New Roman" w:hAnsi="Times New Roman" w:cs="Times New Roman"/>
        </w:rPr>
        <w:t xml:space="preserve"> only feasible if the authority has robust internal technical teams and a consistent project burden</w:t>
      </w:r>
      <w:r w:rsidR="00A37245">
        <w:rPr>
          <w:rFonts w:ascii="Times New Roman" w:hAnsi="Times New Roman" w:cs="Times New Roman"/>
        </w:rPr>
        <w:t xml:space="preserve"> </w:t>
      </w:r>
      <w:r w:rsidR="00A37245" w:rsidRPr="005A1C28">
        <w:rPr>
          <w:rFonts w:ascii="Times New Roman" w:hAnsi="Times New Roman" w:cs="Times New Roman"/>
        </w:rPr>
        <w:t>(Kongsuk et al., 2022).</w:t>
      </w:r>
    </w:p>
    <w:p w14:paraId="65193675" w14:textId="77777777" w:rsidR="0089691A" w:rsidRPr="005A1C28" w:rsidRDefault="0089691A" w:rsidP="00F640E7">
      <w:pPr>
        <w:spacing w:line="360" w:lineRule="auto"/>
        <w:jc w:val="both"/>
        <w:rPr>
          <w:rFonts w:ascii="Times New Roman" w:hAnsi="Times New Roman" w:cs="Times New Roman"/>
        </w:rPr>
      </w:pPr>
      <w:r w:rsidRPr="005A1C28">
        <w:rPr>
          <w:rFonts w:ascii="Times New Roman" w:hAnsi="Times New Roman" w:cs="Times New Roman"/>
        </w:rPr>
        <w:t>Hybrid: A popular option that balances control and competence by having the client oversee clinical design and equipment selection (DIY portions) while using specialized contractors for building work and MEP (Almeida &amp; Singh, 2022).</w:t>
      </w:r>
    </w:p>
    <w:p w14:paraId="3F327A16" w14:textId="6D4B37B7" w:rsidR="009A5015" w:rsidRPr="005A1C28" w:rsidRDefault="00C42C2D" w:rsidP="00F640E7">
      <w:pPr>
        <w:pStyle w:val="ListParagraph"/>
        <w:numPr>
          <w:ilvl w:val="0"/>
          <w:numId w:val="1"/>
        </w:numPr>
        <w:spacing w:line="360" w:lineRule="auto"/>
        <w:jc w:val="both"/>
        <w:outlineLvl w:val="5"/>
        <w:rPr>
          <w:rFonts w:ascii="Times New Roman" w:hAnsi="Times New Roman" w:cs="Times New Roman"/>
        </w:rPr>
      </w:pPr>
      <w:bookmarkStart w:id="5" w:name="_Toc233534850"/>
      <w:r w:rsidRPr="005A1C28">
        <w:rPr>
          <w:rFonts w:ascii="Times New Roman" w:hAnsi="Times New Roman" w:cs="Times New Roman"/>
        </w:rPr>
        <w:t>Conclusion</w:t>
      </w:r>
      <w:bookmarkEnd w:id="5"/>
      <w:r w:rsidRPr="005A1C28">
        <w:rPr>
          <w:rFonts w:ascii="Times New Roman" w:hAnsi="Times New Roman" w:cs="Times New Roman"/>
        </w:rPr>
        <w:t xml:space="preserve"> </w:t>
      </w:r>
    </w:p>
    <w:p w14:paraId="3FBF9F22" w14:textId="09987C27" w:rsidR="00110901" w:rsidRDefault="00C65B7E" w:rsidP="00F640E7">
      <w:pPr>
        <w:spacing w:line="360" w:lineRule="auto"/>
        <w:jc w:val="both"/>
        <w:rPr>
          <w:rFonts w:ascii="Times New Roman" w:hAnsi="Times New Roman" w:cs="Times New Roman"/>
        </w:rPr>
      </w:pPr>
      <w:r w:rsidRPr="005A1C28">
        <w:rPr>
          <w:rFonts w:ascii="Times New Roman" w:hAnsi="Times New Roman" w:cs="Times New Roman"/>
        </w:rPr>
        <w:t xml:space="preserve">The choice of contracting technique is a strategic choice that has a significant impact on project results. Although turnkey reduces client control and can be more expensive, it offers single-point accountability and schedule assurance. </w:t>
      </w:r>
      <w:r w:rsidR="005A1C28" w:rsidRPr="005A1C28">
        <w:rPr>
          <w:rFonts w:ascii="Times New Roman" w:hAnsi="Times New Roman" w:cs="Times New Roman"/>
        </w:rPr>
        <w:t>Higher control and possible cost benefits are provided by multi-contracting, but it necessitates good coordination skills. Although DIY centralizes control and knowledge retention, it requires substantial internal expertise and fully exposes the client to project risk.</w:t>
      </w:r>
      <w:r w:rsidR="00C42C2D" w:rsidRPr="005A1C28">
        <w:rPr>
          <w:rFonts w:ascii="Times New Roman" w:hAnsi="Times New Roman" w:cs="Times New Roman"/>
        </w:rPr>
        <w:t xml:space="preserve"> </w:t>
      </w:r>
      <w:r w:rsidR="005A1C28" w:rsidRPr="005A1C28">
        <w:rPr>
          <w:rFonts w:ascii="Times New Roman" w:hAnsi="Times New Roman" w:cs="Times New Roman"/>
        </w:rPr>
        <w:t>Although it gives flexibility and balance, the hybrid multi-contract + DIY method complicates governance. Project size, complexity, customer capability, market conditions, and risk tolerance all influence the best option. All approaches to project success depend on efficient contract drafting, precise interface definitions, and governance procedures.</w:t>
      </w:r>
    </w:p>
    <w:p w14:paraId="54AC2560" w14:textId="77777777" w:rsidR="001A71C5" w:rsidRPr="005A1C28" w:rsidRDefault="001A71C5" w:rsidP="00F640E7">
      <w:pPr>
        <w:spacing w:line="360" w:lineRule="auto"/>
        <w:jc w:val="both"/>
        <w:rPr>
          <w:rFonts w:ascii="Times New Roman" w:hAnsi="Times New Roman" w:cs="Times New Roman"/>
        </w:rPr>
      </w:pPr>
    </w:p>
    <w:p w14:paraId="76440016" w14:textId="7B6DE7D6" w:rsidR="00C42C2D" w:rsidRPr="005A1C28" w:rsidRDefault="00C42C2D" w:rsidP="00F640E7">
      <w:pPr>
        <w:pStyle w:val="ListParagraph"/>
        <w:numPr>
          <w:ilvl w:val="0"/>
          <w:numId w:val="1"/>
        </w:numPr>
        <w:spacing w:line="360" w:lineRule="auto"/>
        <w:jc w:val="both"/>
        <w:outlineLvl w:val="6"/>
        <w:rPr>
          <w:rFonts w:ascii="Times New Roman" w:hAnsi="Times New Roman" w:cs="Times New Roman"/>
        </w:rPr>
      </w:pPr>
      <w:bookmarkStart w:id="6" w:name="_Toc233534851"/>
      <w:r w:rsidRPr="005A1C28">
        <w:rPr>
          <w:rFonts w:ascii="Times New Roman" w:hAnsi="Times New Roman" w:cs="Times New Roman"/>
        </w:rPr>
        <w:lastRenderedPageBreak/>
        <w:t>References</w:t>
      </w:r>
      <w:bookmarkEnd w:id="6"/>
    </w:p>
    <w:p w14:paraId="6BCB5EFA" w14:textId="099E70E2"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Almeida, R. &amp; Singh, P., 2022. Integrated procurement strategies for infrastructure projects: balancing speed and quality. International Journal of Project Management, 40(3), pp.212–227.</w:t>
      </w:r>
    </w:p>
    <w:p w14:paraId="5FD586E4" w14:textId="4423B6CC"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Gonzalez, L. &amp; Reed, M., 2023. Owner capability and contract strategy: evidence from complex public projects. Construction Management and Economics, 41(1), pp.34–52.</w:t>
      </w:r>
    </w:p>
    <w:p w14:paraId="1DA4D270"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Harris, J. &amp; Nguyen, T., 2022. Client-managed delivery in utilities: benefits, risks and governance. Journal of Infrastructure Systems, 28(4), article 05022005.</w:t>
      </w:r>
    </w:p>
    <w:p w14:paraId="7D4175C6"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Kongsuk, C., Patel, S. &amp; O’Malley, D., 2022. Contracting models and transaction costs in construction procurement. Journal of Construction Procurement, 18(2), pp.89–108.</w:t>
      </w:r>
    </w:p>
    <w:p w14:paraId="44F1ADC2"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Ochieng, E. &amp; Carter, B., 2021. Turnkey and design–build contracts: performance and dispute drivers. International Journal of Law in the Built Environment, 13(1), pp.45–64.</w:t>
      </w:r>
    </w:p>
    <w:p w14:paraId="5348AC6F"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PMI (Project Management Institute), 2021. A Guide to the Project Management Body of Knowledge (PMBOK Guide) — Seventh Edition. Newtown Square, PA: PMI.</w:t>
      </w:r>
    </w:p>
    <w:p w14:paraId="35AF043F"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Walker, D. &amp; Dey, R., 2022. Strategies for multi-prime contracting: interface management and risk. Journal of Project, Program &amp; Portfolio Management, 13(2), pp.101–118.</w:t>
      </w:r>
    </w:p>
    <w:p w14:paraId="1A5C4E94"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Zhang, H., Li, Y. &amp; Miller, S., 2023. Contractual choice and project performance in public infrastructure. Journal of Construction Engineering and Management, 149(6), article 04023042.</w:t>
      </w:r>
    </w:p>
    <w:p w14:paraId="32C342D2"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Zhao, L. &amp; Park, K., 2024. Pricing, incentives and risk-sharing under turnkey versus multi-prime procurement. International Journal of Procurement Management, 17(1), pp.1–23.</w:t>
      </w:r>
    </w:p>
    <w:p w14:paraId="4C66A1EE"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Smith, A., 2022. Hybrid delivery models and governance: lessons from transport projects. Transportation Research Record, 2676(3), pp.56–66.</w:t>
      </w:r>
    </w:p>
    <w:p w14:paraId="125F7A84"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Lee, C. &amp; Mensah, P., 2025. Knowledge retention through client involvement: a longitudinal study of public sector projects. Public Works Management &amp; Policy, 30(2), pp.155–174.</w:t>
      </w:r>
    </w:p>
    <w:p w14:paraId="37F86959" w14:textId="77777777" w:rsidR="00C42C2D" w:rsidRPr="005A1C28" w:rsidRDefault="00C42C2D" w:rsidP="00F640E7">
      <w:pPr>
        <w:spacing w:line="360" w:lineRule="auto"/>
        <w:jc w:val="both"/>
        <w:rPr>
          <w:rFonts w:ascii="Times New Roman" w:hAnsi="Times New Roman" w:cs="Times New Roman"/>
        </w:rPr>
      </w:pPr>
      <w:r w:rsidRPr="005A1C28">
        <w:rPr>
          <w:rFonts w:ascii="Times New Roman" w:hAnsi="Times New Roman" w:cs="Times New Roman"/>
        </w:rPr>
        <w:t>Patel, R. &amp; Gomes, L., 2024. Life-cycle performance specifications in procurement contracts: healthcare and data-centre case studies. Construction Innovation, 24(4), pp.410–428.</w:t>
      </w:r>
    </w:p>
    <w:p w14:paraId="31C32A94" w14:textId="3ECB1892" w:rsidR="00F57AEE" w:rsidRPr="005A1C28" w:rsidRDefault="00C42C2D" w:rsidP="00110901">
      <w:pPr>
        <w:spacing w:line="360" w:lineRule="auto"/>
        <w:jc w:val="both"/>
        <w:rPr>
          <w:rFonts w:ascii="Times New Roman" w:hAnsi="Times New Roman" w:cs="Times New Roman"/>
        </w:rPr>
      </w:pPr>
      <w:r w:rsidRPr="005A1C28">
        <w:rPr>
          <w:rFonts w:ascii="Times New Roman" w:hAnsi="Times New Roman" w:cs="Times New Roman"/>
        </w:rPr>
        <w:t>Ng, S. &amp; Kim, E., 2023. Market structure effects on procurement choice: empirical analysis of building projects. Journal of Construction Economics, 11(2), pp.71–90.</w:t>
      </w:r>
    </w:p>
    <w:sectPr w:rsidR="00F57AEE" w:rsidRPr="005A1C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33F84"/>
    <w:multiLevelType w:val="hybridMultilevel"/>
    <w:tmpl w:val="E2D6E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F53763"/>
    <w:multiLevelType w:val="hybridMultilevel"/>
    <w:tmpl w:val="3BA0F48A"/>
    <w:lvl w:ilvl="0" w:tplc="B4001C7E">
      <w:start w:val="3"/>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1661725"/>
    <w:multiLevelType w:val="hybridMultilevel"/>
    <w:tmpl w:val="751C542C"/>
    <w:lvl w:ilvl="0" w:tplc="B4001C7E">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AD1B3B"/>
    <w:multiLevelType w:val="multilevel"/>
    <w:tmpl w:val="1AD83BB4"/>
    <w:lvl w:ilvl="0">
      <w:start w:val="1"/>
      <w:numFmt w:val="decimal"/>
      <w:lvlText w:val="%1."/>
      <w:lvlJc w:val="left"/>
      <w:pPr>
        <w:ind w:left="720" w:hanging="360"/>
      </w:pPr>
      <w:rPr>
        <w:rFonts w:hint="default"/>
      </w:rPr>
    </w:lvl>
    <w:lvl w:ilvl="1">
      <w:start w:val="1"/>
      <w:numFmt w:val="decimal"/>
      <w:isLgl/>
      <w:lvlText w:val="%1.%2"/>
      <w:lvlJc w:val="left"/>
      <w:pPr>
        <w:ind w:left="930" w:hanging="5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DD603B5"/>
    <w:multiLevelType w:val="hybridMultilevel"/>
    <w:tmpl w:val="8EA25D4C"/>
    <w:lvl w:ilvl="0" w:tplc="B4001C7E">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970A3F"/>
    <w:multiLevelType w:val="hybridMultilevel"/>
    <w:tmpl w:val="40DA65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04349590">
    <w:abstractNumId w:val="3"/>
  </w:num>
  <w:num w:numId="2" w16cid:durableId="293220495">
    <w:abstractNumId w:val="0"/>
  </w:num>
  <w:num w:numId="3" w16cid:durableId="600453528">
    <w:abstractNumId w:val="2"/>
  </w:num>
  <w:num w:numId="4" w16cid:durableId="2100563924">
    <w:abstractNumId w:val="5"/>
  </w:num>
  <w:num w:numId="5" w16cid:durableId="122968537">
    <w:abstractNumId w:val="1"/>
  </w:num>
  <w:num w:numId="6" w16cid:durableId="20137534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DA8"/>
    <w:rsid w:val="000268D1"/>
    <w:rsid w:val="000345F2"/>
    <w:rsid w:val="0007310E"/>
    <w:rsid w:val="000B7097"/>
    <w:rsid w:val="00110901"/>
    <w:rsid w:val="00131AAB"/>
    <w:rsid w:val="00173647"/>
    <w:rsid w:val="00176B84"/>
    <w:rsid w:val="001A71C5"/>
    <w:rsid w:val="001B09CD"/>
    <w:rsid w:val="00206164"/>
    <w:rsid w:val="00251867"/>
    <w:rsid w:val="00274F45"/>
    <w:rsid w:val="002917E2"/>
    <w:rsid w:val="002A726B"/>
    <w:rsid w:val="002B105A"/>
    <w:rsid w:val="002C4471"/>
    <w:rsid w:val="002C68AD"/>
    <w:rsid w:val="00361DD3"/>
    <w:rsid w:val="00374667"/>
    <w:rsid w:val="003B2F5D"/>
    <w:rsid w:val="0041309A"/>
    <w:rsid w:val="004479B1"/>
    <w:rsid w:val="004615BE"/>
    <w:rsid w:val="004747B3"/>
    <w:rsid w:val="00476EF5"/>
    <w:rsid w:val="00483007"/>
    <w:rsid w:val="004858E1"/>
    <w:rsid w:val="004C78F8"/>
    <w:rsid w:val="004F2E24"/>
    <w:rsid w:val="005014C0"/>
    <w:rsid w:val="0051150D"/>
    <w:rsid w:val="0051776C"/>
    <w:rsid w:val="00525049"/>
    <w:rsid w:val="00540FA1"/>
    <w:rsid w:val="00575104"/>
    <w:rsid w:val="005A1C28"/>
    <w:rsid w:val="005C0062"/>
    <w:rsid w:val="005C3715"/>
    <w:rsid w:val="005F5738"/>
    <w:rsid w:val="0060250A"/>
    <w:rsid w:val="00635FCB"/>
    <w:rsid w:val="0066519A"/>
    <w:rsid w:val="00673E93"/>
    <w:rsid w:val="006C1B67"/>
    <w:rsid w:val="006E638E"/>
    <w:rsid w:val="006F574A"/>
    <w:rsid w:val="00750184"/>
    <w:rsid w:val="007659EF"/>
    <w:rsid w:val="00795D8D"/>
    <w:rsid w:val="0089691A"/>
    <w:rsid w:val="008C0AD7"/>
    <w:rsid w:val="008C320A"/>
    <w:rsid w:val="008E548E"/>
    <w:rsid w:val="00943C91"/>
    <w:rsid w:val="009679CA"/>
    <w:rsid w:val="0097244B"/>
    <w:rsid w:val="00976A0A"/>
    <w:rsid w:val="009A5015"/>
    <w:rsid w:val="009C0384"/>
    <w:rsid w:val="009C5306"/>
    <w:rsid w:val="00A15BDD"/>
    <w:rsid w:val="00A25CE6"/>
    <w:rsid w:val="00A32618"/>
    <w:rsid w:val="00A37245"/>
    <w:rsid w:val="00A37A3F"/>
    <w:rsid w:val="00A540C0"/>
    <w:rsid w:val="00A672E8"/>
    <w:rsid w:val="00A90949"/>
    <w:rsid w:val="00AE6D69"/>
    <w:rsid w:val="00B07AF7"/>
    <w:rsid w:val="00B73792"/>
    <w:rsid w:val="00B97568"/>
    <w:rsid w:val="00BA07FC"/>
    <w:rsid w:val="00BF4DA8"/>
    <w:rsid w:val="00C05820"/>
    <w:rsid w:val="00C13FD2"/>
    <w:rsid w:val="00C2702E"/>
    <w:rsid w:val="00C42C2D"/>
    <w:rsid w:val="00C65B7E"/>
    <w:rsid w:val="00CC00EA"/>
    <w:rsid w:val="00CE7336"/>
    <w:rsid w:val="00D11464"/>
    <w:rsid w:val="00D45F15"/>
    <w:rsid w:val="00D65219"/>
    <w:rsid w:val="00D71685"/>
    <w:rsid w:val="00D80A3B"/>
    <w:rsid w:val="00DA56B8"/>
    <w:rsid w:val="00DE7261"/>
    <w:rsid w:val="00DF5881"/>
    <w:rsid w:val="00E209DD"/>
    <w:rsid w:val="00E27872"/>
    <w:rsid w:val="00E35B58"/>
    <w:rsid w:val="00EA4536"/>
    <w:rsid w:val="00EB31ED"/>
    <w:rsid w:val="00EB6229"/>
    <w:rsid w:val="00F057E2"/>
    <w:rsid w:val="00F10817"/>
    <w:rsid w:val="00F13489"/>
    <w:rsid w:val="00F501A4"/>
    <w:rsid w:val="00F5683F"/>
    <w:rsid w:val="00F57AEE"/>
    <w:rsid w:val="00F627ED"/>
    <w:rsid w:val="00F640E7"/>
    <w:rsid w:val="00F73DE6"/>
    <w:rsid w:val="00FA42F9"/>
    <w:rsid w:val="00FF7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00089"/>
  <w15:chartTrackingRefBased/>
  <w15:docId w15:val="{6E04EDE5-84CF-48E9-879F-9D601F910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D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4D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4D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4D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4D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4D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4D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4D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4D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4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4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4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4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4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4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4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4DA8"/>
    <w:rPr>
      <w:rFonts w:eastAsiaTheme="majorEastAsia" w:cstheme="majorBidi"/>
      <w:color w:val="272727" w:themeColor="text1" w:themeTint="D8"/>
    </w:rPr>
  </w:style>
  <w:style w:type="paragraph" w:styleId="Title">
    <w:name w:val="Title"/>
    <w:basedOn w:val="Normal"/>
    <w:next w:val="Normal"/>
    <w:link w:val="TitleChar"/>
    <w:uiPriority w:val="10"/>
    <w:qFormat/>
    <w:rsid w:val="00BF4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4D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4DA8"/>
    <w:pPr>
      <w:spacing w:before="160"/>
      <w:jc w:val="center"/>
    </w:pPr>
    <w:rPr>
      <w:i/>
      <w:iCs/>
      <w:color w:val="404040" w:themeColor="text1" w:themeTint="BF"/>
    </w:rPr>
  </w:style>
  <w:style w:type="character" w:customStyle="1" w:styleId="QuoteChar">
    <w:name w:val="Quote Char"/>
    <w:basedOn w:val="DefaultParagraphFont"/>
    <w:link w:val="Quote"/>
    <w:uiPriority w:val="29"/>
    <w:rsid w:val="00BF4DA8"/>
    <w:rPr>
      <w:i/>
      <w:iCs/>
      <w:color w:val="404040" w:themeColor="text1" w:themeTint="BF"/>
    </w:rPr>
  </w:style>
  <w:style w:type="paragraph" w:styleId="ListParagraph">
    <w:name w:val="List Paragraph"/>
    <w:basedOn w:val="Normal"/>
    <w:uiPriority w:val="34"/>
    <w:qFormat/>
    <w:rsid w:val="00BF4DA8"/>
    <w:pPr>
      <w:ind w:left="720"/>
      <w:contextualSpacing/>
    </w:pPr>
  </w:style>
  <w:style w:type="character" w:styleId="IntenseEmphasis">
    <w:name w:val="Intense Emphasis"/>
    <w:basedOn w:val="DefaultParagraphFont"/>
    <w:uiPriority w:val="21"/>
    <w:qFormat/>
    <w:rsid w:val="00BF4DA8"/>
    <w:rPr>
      <w:i/>
      <w:iCs/>
      <w:color w:val="0F4761" w:themeColor="accent1" w:themeShade="BF"/>
    </w:rPr>
  </w:style>
  <w:style w:type="paragraph" w:styleId="IntenseQuote">
    <w:name w:val="Intense Quote"/>
    <w:basedOn w:val="Normal"/>
    <w:next w:val="Normal"/>
    <w:link w:val="IntenseQuoteChar"/>
    <w:uiPriority w:val="30"/>
    <w:qFormat/>
    <w:rsid w:val="00BF4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4DA8"/>
    <w:rPr>
      <w:i/>
      <w:iCs/>
      <w:color w:val="0F4761" w:themeColor="accent1" w:themeShade="BF"/>
    </w:rPr>
  </w:style>
  <w:style w:type="character" w:styleId="IntenseReference">
    <w:name w:val="Intense Reference"/>
    <w:basedOn w:val="DefaultParagraphFont"/>
    <w:uiPriority w:val="32"/>
    <w:qFormat/>
    <w:rsid w:val="00BF4DA8"/>
    <w:rPr>
      <w:b/>
      <w:bCs/>
      <w:smallCaps/>
      <w:color w:val="0F4761" w:themeColor="accent1" w:themeShade="BF"/>
      <w:spacing w:val="5"/>
    </w:rPr>
  </w:style>
  <w:style w:type="paragraph" w:styleId="TOCHeading">
    <w:name w:val="TOC Heading"/>
    <w:basedOn w:val="Heading1"/>
    <w:next w:val="Normal"/>
    <w:uiPriority w:val="39"/>
    <w:unhideWhenUsed/>
    <w:qFormat/>
    <w:rsid w:val="005F573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F573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5F573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5F5738"/>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5F5738"/>
    <w:rPr>
      <w:color w:val="467886" w:themeColor="hyperlink"/>
      <w:u w:val="single"/>
    </w:rPr>
  </w:style>
  <w:style w:type="paragraph" w:styleId="TOC4">
    <w:name w:val="toc 4"/>
    <w:basedOn w:val="Normal"/>
    <w:next w:val="Normal"/>
    <w:autoRedefine/>
    <w:uiPriority w:val="39"/>
    <w:unhideWhenUsed/>
    <w:rsid w:val="00176B84"/>
    <w:pPr>
      <w:spacing w:after="100"/>
      <w:ind w:left="720"/>
    </w:pPr>
  </w:style>
  <w:style w:type="paragraph" w:styleId="TOC5">
    <w:name w:val="toc 5"/>
    <w:basedOn w:val="Normal"/>
    <w:next w:val="Normal"/>
    <w:autoRedefine/>
    <w:uiPriority w:val="39"/>
    <w:unhideWhenUsed/>
    <w:rsid w:val="00AE6D69"/>
    <w:pPr>
      <w:spacing w:after="100"/>
      <w:ind w:left="960"/>
    </w:pPr>
  </w:style>
  <w:style w:type="paragraph" w:styleId="TOC6">
    <w:name w:val="toc 6"/>
    <w:basedOn w:val="Normal"/>
    <w:next w:val="Normal"/>
    <w:autoRedefine/>
    <w:uiPriority w:val="39"/>
    <w:unhideWhenUsed/>
    <w:rsid w:val="00AE6D69"/>
    <w:pPr>
      <w:spacing w:after="100"/>
      <w:ind w:left="1200"/>
    </w:pPr>
  </w:style>
  <w:style w:type="paragraph" w:styleId="TOC7">
    <w:name w:val="toc 7"/>
    <w:basedOn w:val="Normal"/>
    <w:next w:val="Normal"/>
    <w:autoRedefine/>
    <w:uiPriority w:val="39"/>
    <w:unhideWhenUsed/>
    <w:rsid w:val="00AE6D69"/>
    <w:pPr>
      <w:spacing w:after="100"/>
      <w:ind w:left="1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71D4A6-54FE-4990-A0F7-BAF93CD32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24897</TotalTime>
  <Pages>10</Pages>
  <Words>2712</Words>
  <Characters>15461</Characters>
  <Application>Microsoft Office Word</Application>
  <DocSecurity>0</DocSecurity>
  <Lines>128</Lines>
  <Paragraphs>36</Paragraphs>
  <ScaleCrop>false</ScaleCrop>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Octavian-George Stoica (2330278)</dc:creator>
  <cp:keywords/>
  <dc:description/>
  <cp:lastModifiedBy>Octavian-George Stoica (2330278)</cp:lastModifiedBy>
  <cp:revision>103</cp:revision>
  <dcterms:created xsi:type="dcterms:W3CDTF">2026-06-28T07:52:00Z</dcterms:created>
  <dcterms:modified xsi:type="dcterms:W3CDTF">2026-07-21T19:44:00Z</dcterms:modified>
</cp:coreProperties>
</file>