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B79FD" w14:textId="77777777" w:rsidR="003204D7" w:rsidRDefault="003204D7" w:rsidP="003204D7">
      <w:pPr>
        <w:snapToGrid w:val="0"/>
        <w:spacing w:line="480" w:lineRule="auto"/>
        <w:jc w:val="center"/>
        <w:outlineLvl w:val="0"/>
        <w:rPr>
          <w:rFonts w:ascii="Arial" w:hAnsi="Arial" w:cs="Arial"/>
          <w:b/>
          <w:bCs/>
          <w:sz w:val="28"/>
          <w:szCs w:val="28"/>
        </w:rPr>
      </w:pPr>
      <w:r w:rsidRPr="003204D7">
        <w:rPr>
          <w:rFonts w:ascii="Arial" w:hAnsi="Arial" w:cs="Arial"/>
          <w:b/>
          <w:bCs/>
          <w:sz w:val="28"/>
          <w:szCs w:val="28"/>
          <w:lang w:eastAsia="zh-CN"/>
        </w:rPr>
        <w:t>Ritz-Carlton</w:t>
      </w:r>
      <w:r>
        <w:rPr>
          <w:rFonts w:ascii="Arial" w:hAnsi="Arial" w:cs="Arial"/>
          <w:b/>
          <w:bCs/>
          <w:sz w:val="28"/>
          <w:szCs w:val="28"/>
          <w:lang w:eastAsia="zh-CN"/>
        </w:rPr>
        <w:t xml:space="preserve"> </w:t>
      </w:r>
      <w:r w:rsidRPr="003204D7">
        <w:rPr>
          <w:rFonts w:ascii="Arial" w:hAnsi="Arial" w:cs="Arial"/>
          <w:b/>
          <w:bCs/>
          <w:sz w:val="28"/>
          <w:szCs w:val="28"/>
          <w:lang w:eastAsia="zh-CN"/>
        </w:rPr>
        <w:t>Hotel Report on Change Management</w:t>
      </w:r>
      <w:r>
        <w:rPr>
          <w:rFonts w:ascii="Arial" w:hAnsi="Arial" w:cs="Arial"/>
          <w:b/>
          <w:bCs/>
          <w:sz w:val="28"/>
          <w:szCs w:val="28"/>
          <w:lang w:eastAsia="zh-CN"/>
        </w:rPr>
        <w:br/>
      </w:r>
    </w:p>
    <w:p w14:paraId="09716DA5" w14:textId="77777777" w:rsidR="003204D7" w:rsidRPr="0066052B" w:rsidRDefault="003204D7" w:rsidP="003204D7">
      <w:pPr>
        <w:snapToGrid w:val="0"/>
        <w:spacing w:line="480" w:lineRule="auto"/>
        <w:jc w:val="center"/>
        <w:outlineLvl w:val="0"/>
        <w:rPr>
          <w:rFonts w:ascii="Arial" w:hAnsi="Arial" w:cs="Arial"/>
          <w:b/>
          <w:bCs/>
          <w:sz w:val="28"/>
          <w:szCs w:val="28"/>
        </w:rPr>
      </w:pPr>
    </w:p>
    <w:p w14:paraId="5F881135" w14:textId="77777777" w:rsidR="003204D7" w:rsidRPr="0066052B" w:rsidRDefault="003204D7" w:rsidP="003204D7">
      <w:pPr>
        <w:snapToGrid w:val="0"/>
        <w:spacing w:line="480" w:lineRule="auto"/>
        <w:jc w:val="center"/>
        <w:outlineLvl w:val="0"/>
        <w:rPr>
          <w:rFonts w:ascii="Arial" w:hAnsi="Arial" w:cs="Arial"/>
          <w:b/>
          <w:bCs/>
          <w:sz w:val="28"/>
          <w:szCs w:val="28"/>
        </w:rPr>
      </w:pPr>
    </w:p>
    <w:p w14:paraId="0208F5ED" w14:textId="77777777" w:rsidR="003204D7" w:rsidRPr="0066052B" w:rsidRDefault="003204D7" w:rsidP="003204D7">
      <w:pPr>
        <w:snapToGrid w:val="0"/>
        <w:spacing w:line="480" w:lineRule="auto"/>
        <w:jc w:val="center"/>
      </w:pPr>
      <w:r w:rsidRPr="0066052B">
        <w:rPr>
          <w:noProof/>
        </w:rPr>
        <w:drawing>
          <wp:inline distT="0" distB="0" distL="0" distR="0" wp14:anchorId="2FE92C5C" wp14:editId="1F579EE3">
            <wp:extent cx="2900499" cy="2774390"/>
            <wp:effectExtent l="0" t="0" r="0" b="6985"/>
            <wp:docPr id="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2737" cy="2786096"/>
                    </a:xfrm>
                    <a:prstGeom prst="rect">
                      <a:avLst/>
                    </a:prstGeom>
                  </pic:spPr>
                </pic:pic>
              </a:graphicData>
            </a:graphic>
          </wp:inline>
        </w:drawing>
      </w:r>
    </w:p>
    <w:p w14:paraId="2CCF2624" w14:textId="017F49F1" w:rsidR="003204D7" w:rsidRPr="0066052B" w:rsidRDefault="003204D7" w:rsidP="003204D7">
      <w:pPr>
        <w:snapToGrid w:val="0"/>
        <w:spacing w:line="480" w:lineRule="auto"/>
        <w:jc w:val="center"/>
        <w:outlineLvl w:val="0"/>
        <w:rPr>
          <w:rFonts w:ascii="Arial" w:hAnsi="Arial" w:cs="Arial"/>
          <w:szCs w:val="24"/>
        </w:rPr>
      </w:pPr>
      <w:r w:rsidRPr="003204D7">
        <w:rPr>
          <w:rFonts w:ascii="Arial" w:hAnsi="Arial" w:cs="Arial"/>
          <w:szCs w:val="24"/>
        </w:rPr>
        <w:t>April</w:t>
      </w:r>
      <w:r>
        <w:rPr>
          <w:rFonts w:ascii="Arial" w:hAnsi="Arial" w:cs="Arial"/>
          <w:szCs w:val="24"/>
        </w:rPr>
        <w:t xml:space="preserve"> </w:t>
      </w:r>
      <w:r w:rsidRPr="0066052B">
        <w:rPr>
          <w:rFonts w:ascii="Arial" w:hAnsi="Arial" w:cs="Arial"/>
          <w:szCs w:val="24"/>
        </w:rPr>
        <w:t>2023</w:t>
      </w:r>
    </w:p>
    <w:p w14:paraId="21F710E5" w14:textId="77777777" w:rsidR="003204D7" w:rsidRPr="0066052B" w:rsidRDefault="003204D7" w:rsidP="003204D7">
      <w:pPr>
        <w:spacing w:line="360" w:lineRule="auto"/>
        <w:rPr>
          <w:rFonts w:ascii="Arial" w:eastAsiaTheme="minorHAnsi" w:hAnsi="Arial" w:cs="Arial"/>
          <w:b/>
          <w:bCs/>
          <w:szCs w:val="24"/>
          <w:shd w:val="clear" w:color="auto" w:fill="FFFFFF"/>
        </w:rPr>
      </w:pPr>
    </w:p>
    <w:p w14:paraId="1E4FD532" w14:textId="77777777" w:rsidR="003204D7" w:rsidRDefault="003204D7" w:rsidP="003204D7">
      <w:pPr>
        <w:spacing w:line="360" w:lineRule="auto"/>
        <w:rPr>
          <w:rFonts w:ascii="Arial" w:hAnsi="Arial" w:cs="Arial"/>
          <w:b/>
          <w:bCs/>
          <w:szCs w:val="24"/>
          <w:shd w:val="clear" w:color="auto" w:fill="FFFFFF"/>
          <w:lang w:eastAsia="zh-CN"/>
        </w:rPr>
      </w:pPr>
    </w:p>
    <w:p w14:paraId="77B294E2" w14:textId="3EE35380" w:rsidR="003204D7" w:rsidRDefault="003204D7" w:rsidP="003204D7">
      <w:pPr>
        <w:adjustRightInd w:val="0"/>
        <w:snapToGrid w:val="0"/>
        <w:rPr>
          <w:rFonts w:ascii="Arial" w:eastAsiaTheme="minorHAnsi" w:hAnsi="Arial" w:cs="Arial"/>
          <w:b/>
          <w:bCs/>
          <w:szCs w:val="24"/>
          <w:shd w:val="clear" w:color="auto" w:fill="FFFFFF"/>
        </w:rPr>
      </w:pPr>
      <w:r w:rsidRPr="0066052B">
        <w:rPr>
          <w:rFonts w:ascii="Arial" w:eastAsiaTheme="minorHAnsi" w:hAnsi="Arial" w:cs="Arial"/>
          <w:b/>
          <w:bCs/>
          <w:szCs w:val="24"/>
          <w:shd w:val="clear" w:color="auto" w:fill="FFFFFF"/>
        </w:rPr>
        <w:t>Module:</w:t>
      </w:r>
      <w:r w:rsidRPr="0066052B">
        <w:t xml:space="preserve"> </w:t>
      </w:r>
      <w:r w:rsidRPr="003204D7">
        <w:rPr>
          <w:rFonts w:ascii="Arial" w:eastAsiaTheme="minorHAnsi" w:hAnsi="Arial" w:cs="Arial"/>
          <w:b/>
          <w:bCs/>
          <w:szCs w:val="24"/>
          <w:shd w:val="clear" w:color="auto" w:fill="FFFFFF"/>
        </w:rPr>
        <w:t xml:space="preserve">Change and Stability Management </w:t>
      </w:r>
      <w:r w:rsidRPr="0066052B">
        <w:rPr>
          <w:rFonts w:ascii="Arial" w:eastAsiaTheme="minorHAnsi" w:hAnsi="Arial" w:cs="Arial"/>
          <w:b/>
          <w:bCs/>
          <w:szCs w:val="24"/>
          <w:shd w:val="clear" w:color="auto" w:fill="FFFFFF"/>
        </w:rPr>
        <w:t>(BMMB700</w:t>
      </w:r>
      <w:r>
        <w:rPr>
          <w:rFonts w:ascii="Arial" w:eastAsiaTheme="minorHAnsi" w:hAnsi="Arial" w:cs="Arial"/>
          <w:b/>
          <w:bCs/>
          <w:szCs w:val="24"/>
          <w:shd w:val="clear" w:color="auto" w:fill="FFFFFF"/>
        </w:rPr>
        <w:t>0</w:t>
      </w:r>
      <w:r w:rsidRPr="0066052B">
        <w:rPr>
          <w:rFonts w:ascii="Arial" w:eastAsiaTheme="minorHAnsi" w:hAnsi="Arial" w:cs="Arial"/>
          <w:b/>
          <w:bCs/>
          <w:szCs w:val="24"/>
          <w:shd w:val="clear" w:color="auto" w:fill="FFFFFF"/>
        </w:rPr>
        <w:t>)</w:t>
      </w:r>
      <w:r>
        <w:rPr>
          <w:rFonts w:ascii="Arial" w:eastAsiaTheme="minorHAnsi" w:hAnsi="Arial" w:cs="Arial"/>
          <w:b/>
          <w:bCs/>
          <w:szCs w:val="24"/>
          <w:shd w:val="clear" w:color="auto" w:fill="FFFFFF"/>
        </w:rPr>
        <w:br/>
      </w:r>
      <w:r w:rsidRPr="0066052B">
        <w:rPr>
          <w:rFonts w:ascii="Arial" w:eastAsiaTheme="minorHAnsi" w:hAnsi="Arial" w:cs="Arial"/>
          <w:b/>
          <w:bCs/>
          <w:szCs w:val="24"/>
          <w:shd w:val="clear" w:color="auto" w:fill="FFFFFF"/>
        </w:rPr>
        <w:t>Student name: Wenlong Wang</w:t>
      </w:r>
      <w:r w:rsidRPr="0066052B">
        <w:rPr>
          <w:rFonts w:ascii="Arial" w:eastAsiaTheme="minorHAnsi" w:hAnsi="Arial" w:cs="Arial"/>
          <w:b/>
          <w:bCs/>
          <w:szCs w:val="24"/>
          <w:shd w:val="clear" w:color="auto" w:fill="FFFFFF"/>
        </w:rPr>
        <w:cr/>
        <w:t>Student number: 2218783</w:t>
      </w:r>
      <w:r w:rsidRPr="0066052B">
        <w:rPr>
          <w:rFonts w:ascii="Arial" w:eastAsiaTheme="minorHAnsi" w:hAnsi="Arial" w:cs="Arial"/>
          <w:b/>
          <w:bCs/>
          <w:szCs w:val="24"/>
          <w:shd w:val="clear" w:color="auto" w:fill="FFFFFF"/>
        </w:rPr>
        <w:cr/>
        <w:t xml:space="preserve">Lecturer: </w:t>
      </w:r>
      <w:r w:rsidRPr="003204D7">
        <w:rPr>
          <w:rFonts w:ascii="Arial" w:eastAsiaTheme="minorHAnsi" w:hAnsi="Arial" w:cs="Arial"/>
          <w:b/>
          <w:bCs/>
          <w:szCs w:val="24"/>
          <w:shd w:val="clear" w:color="auto" w:fill="FFFFFF"/>
        </w:rPr>
        <w:t>Marie Pitson</w:t>
      </w:r>
    </w:p>
    <w:p w14:paraId="1906AB5F" w14:textId="7F249155" w:rsidR="003204D7" w:rsidRPr="00DB1127" w:rsidRDefault="003204D7" w:rsidP="003204D7">
      <w:pPr>
        <w:adjustRightInd w:val="0"/>
        <w:snapToGrid w:val="0"/>
        <w:rPr>
          <w:rFonts w:ascii="Arial" w:eastAsiaTheme="minorHAnsi" w:hAnsi="Arial" w:cs="Arial"/>
          <w:b/>
          <w:bCs/>
          <w:shd w:val="clear" w:color="auto" w:fill="FFFFFF"/>
        </w:rPr>
      </w:pPr>
      <w:r w:rsidRPr="00DB1127">
        <w:rPr>
          <w:rFonts w:ascii="Arial" w:eastAsiaTheme="minorHAnsi" w:hAnsi="Arial" w:cs="Arial"/>
          <w:b/>
          <w:bCs/>
          <w:szCs w:val="24"/>
          <w:shd w:val="clear" w:color="auto" w:fill="FFFFFF"/>
        </w:rPr>
        <w:t>Content words:</w:t>
      </w:r>
      <w:r>
        <w:rPr>
          <w:rFonts w:ascii="Arial" w:eastAsiaTheme="minorHAnsi" w:hAnsi="Arial" w:cs="Arial"/>
          <w:b/>
          <w:bCs/>
          <w:szCs w:val="24"/>
          <w:shd w:val="clear" w:color="auto" w:fill="FFFFFF"/>
        </w:rPr>
        <w:t>3</w:t>
      </w:r>
      <w:r w:rsidRPr="00DB1127">
        <w:rPr>
          <w:rFonts w:ascii="Arial" w:eastAsiaTheme="minorHAnsi" w:hAnsi="Arial" w:cs="Arial"/>
          <w:b/>
          <w:bCs/>
          <w:szCs w:val="24"/>
          <w:shd w:val="clear" w:color="auto" w:fill="FFFFFF"/>
        </w:rPr>
        <w:t>,</w:t>
      </w:r>
      <w:r w:rsidR="0035305D">
        <w:rPr>
          <w:rFonts w:ascii="Arial" w:eastAsiaTheme="minorHAnsi" w:hAnsi="Arial" w:cs="Arial"/>
          <w:b/>
          <w:bCs/>
          <w:szCs w:val="24"/>
          <w:shd w:val="clear" w:color="auto" w:fill="FFFFFF"/>
        </w:rPr>
        <w:t>650</w:t>
      </w:r>
    </w:p>
    <w:p w14:paraId="1F8BA34E" w14:textId="77777777" w:rsidR="00A41341" w:rsidRDefault="00A41341">
      <w:pPr>
        <w:spacing w:before="240" w:after="240" w:line="480" w:lineRule="auto"/>
        <w:contextualSpacing/>
        <w:jc w:val="center"/>
        <w:rPr>
          <w:szCs w:val="24"/>
        </w:rPr>
      </w:pPr>
    </w:p>
    <w:p w14:paraId="4B04A7C6" w14:textId="77777777" w:rsidR="00A41341" w:rsidRDefault="00A41341">
      <w:pPr>
        <w:spacing w:before="240" w:after="240" w:line="480" w:lineRule="auto"/>
        <w:contextualSpacing/>
        <w:jc w:val="center"/>
        <w:rPr>
          <w:szCs w:val="24"/>
        </w:rPr>
      </w:pPr>
    </w:p>
    <w:p w14:paraId="0CA538DD" w14:textId="77777777" w:rsidR="00A41341" w:rsidRDefault="00A41341">
      <w:pPr>
        <w:spacing w:before="240" w:after="240" w:line="480" w:lineRule="auto"/>
        <w:contextualSpacing/>
        <w:jc w:val="center"/>
        <w:rPr>
          <w:szCs w:val="24"/>
        </w:rPr>
      </w:pPr>
    </w:p>
    <w:p w14:paraId="39833946" w14:textId="77777777" w:rsidR="00A41341" w:rsidRDefault="00A41341">
      <w:pPr>
        <w:spacing w:line="480" w:lineRule="auto"/>
        <w:contextualSpacing/>
        <w:jc w:val="center"/>
        <w:rPr>
          <w:szCs w:val="24"/>
        </w:rPr>
      </w:pPr>
    </w:p>
    <w:p w14:paraId="7A38F4BD" w14:textId="77777777" w:rsidR="00A41341" w:rsidRDefault="00A41341">
      <w:pPr>
        <w:spacing w:line="480" w:lineRule="auto"/>
        <w:contextualSpacing/>
        <w:rPr>
          <w:szCs w:val="24"/>
        </w:rPr>
      </w:pPr>
    </w:p>
    <w:sdt>
      <w:sdtPr>
        <w:rPr>
          <w:rFonts w:eastAsia="Times New Roman" w:cs="Times New Roman"/>
          <w:b w:val="0"/>
          <w:color w:val="auto"/>
          <w:szCs w:val="24"/>
          <w:lang w:val="en-GB" w:eastAsia="en-GB"/>
        </w:rPr>
        <w:id w:val="840890762"/>
        <w:docPartObj>
          <w:docPartGallery w:val="Table of Contents"/>
          <w:docPartUnique/>
        </w:docPartObj>
      </w:sdtPr>
      <w:sdtEndPr>
        <w:rPr>
          <w:bCs/>
        </w:rPr>
      </w:sdtEndPr>
      <w:sdtContent>
        <w:p w14:paraId="7611ED58" w14:textId="77777777" w:rsidR="00A41341" w:rsidRDefault="00DE083A">
          <w:pPr>
            <w:pStyle w:val="TOCHeading1"/>
            <w:spacing w:before="0" w:line="480" w:lineRule="auto"/>
            <w:contextualSpacing/>
            <w:rPr>
              <w:rFonts w:cs="Times New Roman"/>
              <w:szCs w:val="24"/>
            </w:rPr>
          </w:pPr>
          <w:r>
            <w:rPr>
              <w:rFonts w:cs="Times New Roman"/>
              <w:szCs w:val="24"/>
            </w:rPr>
            <w:t>Table of Contents</w:t>
          </w:r>
        </w:p>
        <w:p w14:paraId="28CB3E62" w14:textId="77777777" w:rsidR="00925645" w:rsidRDefault="00DE083A">
          <w:pPr>
            <w:pStyle w:val="TOC1"/>
            <w:tabs>
              <w:tab w:val="right" w:leader="dot" w:pos="8296"/>
            </w:tabs>
            <w:rPr>
              <w:rFonts w:asciiTheme="minorHAnsi" w:eastAsiaTheme="minorEastAsia" w:hAnsiTheme="minorHAnsi" w:cstheme="minorBidi"/>
              <w:noProof/>
              <w:sz w:val="22"/>
              <w:szCs w:val="22"/>
              <w:lang w:val="en-US" w:eastAsia="en-US"/>
            </w:rPr>
          </w:pPr>
          <w:r>
            <w:rPr>
              <w:szCs w:val="24"/>
            </w:rPr>
            <w:fldChar w:fldCharType="begin"/>
          </w:r>
          <w:r>
            <w:rPr>
              <w:szCs w:val="24"/>
            </w:rPr>
            <w:instrText xml:space="preserve"> TOC \o "1-3" \h \z \u </w:instrText>
          </w:r>
          <w:r>
            <w:rPr>
              <w:szCs w:val="24"/>
            </w:rPr>
            <w:fldChar w:fldCharType="separate"/>
          </w:r>
          <w:hyperlink w:anchor="_Toc133674940" w:history="1">
            <w:r w:rsidR="00925645" w:rsidRPr="00EA6841">
              <w:rPr>
                <w:rStyle w:val="a8"/>
                <w:rFonts w:eastAsiaTheme="majorEastAsia"/>
                <w:noProof/>
              </w:rPr>
              <w:t>Executive Summary</w:t>
            </w:r>
            <w:r w:rsidR="00925645">
              <w:rPr>
                <w:noProof/>
                <w:webHidden/>
              </w:rPr>
              <w:tab/>
            </w:r>
            <w:r w:rsidR="00925645">
              <w:rPr>
                <w:noProof/>
                <w:webHidden/>
              </w:rPr>
              <w:fldChar w:fldCharType="begin"/>
            </w:r>
            <w:r w:rsidR="00925645">
              <w:rPr>
                <w:noProof/>
                <w:webHidden/>
              </w:rPr>
              <w:instrText xml:space="preserve"> PAGEREF _Toc133674940 \h </w:instrText>
            </w:r>
            <w:r w:rsidR="00925645">
              <w:rPr>
                <w:noProof/>
                <w:webHidden/>
              </w:rPr>
            </w:r>
            <w:r w:rsidR="00925645">
              <w:rPr>
                <w:noProof/>
                <w:webHidden/>
              </w:rPr>
              <w:fldChar w:fldCharType="separate"/>
            </w:r>
            <w:r w:rsidR="00925645">
              <w:rPr>
                <w:noProof/>
                <w:webHidden/>
              </w:rPr>
              <w:t>3</w:t>
            </w:r>
            <w:r w:rsidR="00925645">
              <w:rPr>
                <w:noProof/>
                <w:webHidden/>
              </w:rPr>
              <w:fldChar w:fldCharType="end"/>
            </w:r>
          </w:hyperlink>
        </w:p>
        <w:p w14:paraId="1825015B"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41" w:history="1">
            <w:r w:rsidR="00925645" w:rsidRPr="00EA6841">
              <w:rPr>
                <w:rStyle w:val="a8"/>
                <w:rFonts w:eastAsiaTheme="majorEastAsia"/>
                <w:noProof/>
              </w:rPr>
              <w:t>Introduction and background to the organization</w:t>
            </w:r>
            <w:r w:rsidR="00925645">
              <w:rPr>
                <w:noProof/>
                <w:webHidden/>
              </w:rPr>
              <w:tab/>
            </w:r>
            <w:r w:rsidR="00925645">
              <w:rPr>
                <w:noProof/>
                <w:webHidden/>
              </w:rPr>
              <w:fldChar w:fldCharType="begin"/>
            </w:r>
            <w:r w:rsidR="00925645">
              <w:rPr>
                <w:noProof/>
                <w:webHidden/>
              </w:rPr>
              <w:instrText xml:space="preserve"> PAGEREF _Toc133674941 \h </w:instrText>
            </w:r>
            <w:r w:rsidR="00925645">
              <w:rPr>
                <w:noProof/>
                <w:webHidden/>
              </w:rPr>
            </w:r>
            <w:r w:rsidR="00925645">
              <w:rPr>
                <w:noProof/>
                <w:webHidden/>
              </w:rPr>
              <w:fldChar w:fldCharType="separate"/>
            </w:r>
            <w:r w:rsidR="00925645">
              <w:rPr>
                <w:noProof/>
                <w:webHidden/>
              </w:rPr>
              <w:t>4</w:t>
            </w:r>
            <w:r w:rsidR="00925645">
              <w:rPr>
                <w:noProof/>
                <w:webHidden/>
              </w:rPr>
              <w:fldChar w:fldCharType="end"/>
            </w:r>
          </w:hyperlink>
        </w:p>
        <w:p w14:paraId="5EB1CC09"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42" w:history="1">
            <w:r w:rsidR="00925645" w:rsidRPr="00EA6841">
              <w:rPr>
                <w:rStyle w:val="a8"/>
                <w:rFonts w:eastAsiaTheme="majorEastAsia"/>
                <w:noProof/>
              </w:rPr>
              <w:t>Key change management models</w:t>
            </w:r>
            <w:r w:rsidR="00925645">
              <w:rPr>
                <w:noProof/>
                <w:webHidden/>
              </w:rPr>
              <w:tab/>
            </w:r>
            <w:r w:rsidR="00925645">
              <w:rPr>
                <w:noProof/>
                <w:webHidden/>
              </w:rPr>
              <w:fldChar w:fldCharType="begin"/>
            </w:r>
            <w:r w:rsidR="00925645">
              <w:rPr>
                <w:noProof/>
                <w:webHidden/>
              </w:rPr>
              <w:instrText xml:space="preserve"> PAGEREF _Toc133674942 \h </w:instrText>
            </w:r>
            <w:r w:rsidR="00925645">
              <w:rPr>
                <w:noProof/>
                <w:webHidden/>
              </w:rPr>
            </w:r>
            <w:r w:rsidR="00925645">
              <w:rPr>
                <w:noProof/>
                <w:webHidden/>
              </w:rPr>
              <w:fldChar w:fldCharType="separate"/>
            </w:r>
            <w:r w:rsidR="00925645">
              <w:rPr>
                <w:noProof/>
                <w:webHidden/>
              </w:rPr>
              <w:t>5</w:t>
            </w:r>
            <w:r w:rsidR="00925645">
              <w:rPr>
                <w:noProof/>
                <w:webHidden/>
              </w:rPr>
              <w:fldChar w:fldCharType="end"/>
            </w:r>
          </w:hyperlink>
        </w:p>
        <w:p w14:paraId="65ED5626" w14:textId="77777777" w:rsidR="00925645" w:rsidRDefault="00000000">
          <w:pPr>
            <w:pStyle w:val="TOC2"/>
            <w:tabs>
              <w:tab w:val="right" w:leader="dot" w:pos="8296"/>
            </w:tabs>
            <w:rPr>
              <w:rFonts w:asciiTheme="minorHAnsi" w:eastAsiaTheme="minorEastAsia" w:hAnsiTheme="minorHAnsi" w:cstheme="minorBidi"/>
              <w:noProof/>
              <w:sz w:val="22"/>
              <w:szCs w:val="22"/>
              <w:lang w:val="en-US" w:eastAsia="en-US"/>
            </w:rPr>
          </w:pPr>
          <w:hyperlink w:anchor="_Toc133674943" w:history="1">
            <w:r w:rsidR="00925645" w:rsidRPr="00EA6841">
              <w:rPr>
                <w:rStyle w:val="a8"/>
                <w:rFonts w:eastAsiaTheme="majorEastAsia"/>
                <w:noProof/>
              </w:rPr>
              <w:t>Planned Change Management Model</w:t>
            </w:r>
            <w:r w:rsidR="00925645">
              <w:rPr>
                <w:noProof/>
                <w:webHidden/>
              </w:rPr>
              <w:tab/>
            </w:r>
            <w:r w:rsidR="00925645">
              <w:rPr>
                <w:noProof/>
                <w:webHidden/>
              </w:rPr>
              <w:fldChar w:fldCharType="begin"/>
            </w:r>
            <w:r w:rsidR="00925645">
              <w:rPr>
                <w:noProof/>
                <w:webHidden/>
              </w:rPr>
              <w:instrText xml:space="preserve"> PAGEREF _Toc133674943 \h </w:instrText>
            </w:r>
            <w:r w:rsidR="00925645">
              <w:rPr>
                <w:noProof/>
                <w:webHidden/>
              </w:rPr>
            </w:r>
            <w:r w:rsidR="00925645">
              <w:rPr>
                <w:noProof/>
                <w:webHidden/>
              </w:rPr>
              <w:fldChar w:fldCharType="separate"/>
            </w:r>
            <w:r w:rsidR="00925645">
              <w:rPr>
                <w:noProof/>
                <w:webHidden/>
              </w:rPr>
              <w:t>5</w:t>
            </w:r>
            <w:r w:rsidR="00925645">
              <w:rPr>
                <w:noProof/>
                <w:webHidden/>
              </w:rPr>
              <w:fldChar w:fldCharType="end"/>
            </w:r>
          </w:hyperlink>
        </w:p>
        <w:p w14:paraId="5D0EEAB0" w14:textId="77777777" w:rsidR="00925645" w:rsidRDefault="00000000">
          <w:pPr>
            <w:pStyle w:val="TOC2"/>
            <w:tabs>
              <w:tab w:val="right" w:leader="dot" w:pos="8296"/>
            </w:tabs>
            <w:rPr>
              <w:rFonts w:asciiTheme="minorHAnsi" w:eastAsiaTheme="minorEastAsia" w:hAnsiTheme="minorHAnsi" w:cstheme="minorBidi"/>
              <w:noProof/>
              <w:sz w:val="22"/>
              <w:szCs w:val="22"/>
              <w:lang w:val="en-US" w:eastAsia="en-US"/>
            </w:rPr>
          </w:pPr>
          <w:hyperlink w:anchor="_Toc133674944" w:history="1">
            <w:r w:rsidR="00925645" w:rsidRPr="00EA6841">
              <w:rPr>
                <w:rStyle w:val="a8"/>
                <w:rFonts w:eastAsiaTheme="majorEastAsia"/>
                <w:noProof/>
              </w:rPr>
              <w:t>Emergent Change Management Model</w:t>
            </w:r>
            <w:r w:rsidR="00925645">
              <w:rPr>
                <w:noProof/>
                <w:webHidden/>
              </w:rPr>
              <w:tab/>
            </w:r>
            <w:r w:rsidR="00925645">
              <w:rPr>
                <w:noProof/>
                <w:webHidden/>
              </w:rPr>
              <w:fldChar w:fldCharType="begin"/>
            </w:r>
            <w:r w:rsidR="00925645">
              <w:rPr>
                <w:noProof/>
                <w:webHidden/>
              </w:rPr>
              <w:instrText xml:space="preserve"> PAGEREF _Toc133674944 \h </w:instrText>
            </w:r>
            <w:r w:rsidR="00925645">
              <w:rPr>
                <w:noProof/>
                <w:webHidden/>
              </w:rPr>
            </w:r>
            <w:r w:rsidR="00925645">
              <w:rPr>
                <w:noProof/>
                <w:webHidden/>
              </w:rPr>
              <w:fldChar w:fldCharType="separate"/>
            </w:r>
            <w:r w:rsidR="00925645">
              <w:rPr>
                <w:noProof/>
                <w:webHidden/>
              </w:rPr>
              <w:t>6</w:t>
            </w:r>
            <w:r w:rsidR="00925645">
              <w:rPr>
                <w:noProof/>
                <w:webHidden/>
              </w:rPr>
              <w:fldChar w:fldCharType="end"/>
            </w:r>
          </w:hyperlink>
        </w:p>
        <w:p w14:paraId="204E3795"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45" w:history="1">
            <w:r w:rsidR="00925645" w:rsidRPr="00EA6841">
              <w:rPr>
                <w:rStyle w:val="a8"/>
                <w:rFonts w:eastAsiaTheme="majorEastAsia"/>
                <w:noProof/>
              </w:rPr>
              <w:t>Changes Experienced</w:t>
            </w:r>
            <w:r w:rsidR="00925645">
              <w:rPr>
                <w:noProof/>
                <w:webHidden/>
              </w:rPr>
              <w:tab/>
            </w:r>
            <w:r w:rsidR="00925645">
              <w:rPr>
                <w:noProof/>
                <w:webHidden/>
              </w:rPr>
              <w:fldChar w:fldCharType="begin"/>
            </w:r>
            <w:r w:rsidR="00925645">
              <w:rPr>
                <w:noProof/>
                <w:webHidden/>
              </w:rPr>
              <w:instrText xml:space="preserve"> PAGEREF _Toc133674945 \h </w:instrText>
            </w:r>
            <w:r w:rsidR="00925645">
              <w:rPr>
                <w:noProof/>
                <w:webHidden/>
              </w:rPr>
            </w:r>
            <w:r w:rsidR="00925645">
              <w:rPr>
                <w:noProof/>
                <w:webHidden/>
              </w:rPr>
              <w:fldChar w:fldCharType="separate"/>
            </w:r>
            <w:r w:rsidR="00925645">
              <w:rPr>
                <w:noProof/>
                <w:webHidden/>
              </w:rPr>
              <w:t>7</w:t>
            </w:r>
            <w:r w:rsidR="00925645">
              <w:rPr>
                <w:noProof/>
                <w:webHidden/>
              </w:rPr>
              <w:fldChar w:fldCharType="end"/>
            </w:r>
          </w:hyperlink>
        </w:p>
        <w:p w14:paraId="73B71A34"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46" w:history="1">
            <w:r w:rsidR="00925645" w:rsidRPr="00EA6841">
              <w:rPr>
                <w:rStyle w:val="a8"/>
                <w:rFonts w:eastAsiaTheme="majorEastAsia"/>
                <w:noProof/>
              </w:rPr>
              <w:t>Application of the models</w:t>
            </w:r>
            <w:r w:rsidR="00925645">
              <w:rPr>
                <w:noProof/>
                <w:webHidden/>
              </w:rPr>
              <w:tab/>
            </w:r>
            <w:r w:rsidR="00925645">
              <w:rPr>
                <w:noProof/>
                <w:webHidden/>
              </w:rPr>
              <w:fldChar w:fldCharType="begin"/>
            </w:r>
            <w:r w:rsidR="00925645">
              <w:rPr>
                <w:noProof/>
                <w:webHidden/>
              </w:rPr>
              <w:instrText xml:space="preserve"> PAGEREF _Toc133674946 \h </w:instrText>
            </w:r>
            <w:r w:rsidR="00925645">
              <w:rPr>
                <w:noProof/>
                <w:webHidden/>
              </w:rPr>
            </w:r>
            <w:r w:rsidR="00925645">
              <w:rPr>
                <w:noProof/>
                <w:webHidden/>
              </w:rPr>
              <w:fldChar w:fldCharType="separate"/>
            </w:r>
            <w:r w:rsidR="00925645">
              <w:rPr>
                <w:noProof/>
                <w:webHidden/>
              </w:rPr>
              <w:t>9</w:t>
            </w:r>
            <w:r w:rsidR="00925645">
              <w:rPr>
                <w:noProof/>
                <w:webHidden/>
              </w:rPr>
              <w:fldChar w:fldCharType="end"/>
            </w:r>
          </w:hyperlink>
        </w:p>
        <w:p w14:paraId="52753D3E"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47" w:history="1">
            <w:r w:rsidR="00925645" w:rsidRPr="00EA6841">
              <w:rPr>
                <w:rStyle w:val="a8"/>
                <w:rFonts w:eastAsiaTheme="majorEastAsia"/>
                <w:noProof/>
              </w:rPr>
              <w:t>Driving factors for change</w:t>
            </w:r>
            <w:r w:rsidR="00925645">
              <w:rPr>
                <w:noProof/>
                <w:webHidden/>
              </w:rPr>
              <w:tab/>
            </w:r>
            <w:r w:rsidR="00925645">
              <w:rPr>
                <w:noProof/>
                <w:webHidden/>
              </w:rPr>
              <w:fldChar w:fldCharType="begin"/>
            </w:r>
            <w:r w:rsidR="00925645">
              <w:rPr>
                <w:noProof/>
                <w:webHidden/>
              </w:rPr>
              <w:instrText xml:space="preserve"> PAGEREF _Toc133674947 \h </w:instrText>
            </w:r>
            <w:r w:rsidR="00925645">
              <w:rPr>
                <w:noProof/>
                <w:webHidden/>
              </w:rPr>
            </w:r>
            <w:r w:rsidR="00925645">
              <w:rPr>
                <w:noProof/>
                <w:webHidden/>
              </w:rPr>
              <w:fldChar w:fldCharType="separate"/>
            </w:r>
            <w:r w:rsidR="00925645">
              <w:rPr>
                <w:noProof/>
                <w:webHidden/>
              </w:rPr>
              <w:t>10</w:t>
            </w:r>
            <w:r w:rsidR="00925645">
              <w:rPr>
                <w:noProof/>
                <w:webHidden/>
              </w:rPr>
              <w:fldChar w:fldCharType="end"/>
            </w:r>
          </w:hyperlink>
        </w:p>
        <w:p w14:paraId="76BB5334" w14:textId="77777777" w:rsidR="00925645" w:rsidRDefault="00000000">
          <w:pPr>
            <w:pStyle w:val="TOC2"/>
            <w:tabs>
              <w:tab w:val="right" w:leader="dot" w:pos="8296"/>
            </w:tabs>
            <w:rPr>
              <w:rFonts w:asciiTheme="minorHAnsi" w:eastAsiaTheme="minorEastAsia" w:hAnsiTheme="minorHAnsi" w:cstheme="minorBidi"/>
              <w:noProof/>
              <w:sz w:val="22"/>
              <w:szCs w:val="22"/>
              <w:lang w:val="en-US" w:eastAsia="en-US"/>
            </w:rPr>
          </w:pPr>
          <w:hyperlink w:anchor="_Toc133674948" w:history="1">
            <w:r w:rsidR="00925645" w:rsidRPr="00EA6841">
              <w:rPr>
                <w:rStyle w:val="a8"/>
                <w:rFonts w:eastAsiaTheme="majorEastAsia"/>
                <w:bCs/>
                <w:noProof/>
              </w:rPr>
              <w:t>Internal Factors</w:t>
            </w:r>
            <w:r w:rsidR="00925645">
              <w:rPr>
                <w:noProof/>
                <w:webHidden/>
              </w:rPr>
              <w:tab/>
            </w:r>
            <w:r w:rsidR="00925645">
              <w:rPr>
                <w:noProof/>
                <w:webHidden/>
              </w:rPr>
              <w:fldChar w:fldCharType="begin"/>
            </w:r>
            <w:r w:rsidR="00925645">
              <w:rPr>
                <w:noProof/>
                <w:webHidden/>
              </w:rPr>
              <w:instrText xml:space="preserve"> PAGEREF _Toc133674948 \h </w:instrText>
            </w:r>
            <w:r w:rsidR="00925645">
              <w:rPr>
                <w:noProof/>
                <w:webHidden/>
              </w:rPr>
            </w:r>
            <w:r w:rsidR="00925645">
              <w:rPr>
                <w:noProof/>
                <w:webHidden/>
              </w:rPr>
              <w:fldChar w:fldCharType="separate"/>
            </w:r>
            <w:r w:rsidR="00925645">
              <w:rPr>
                <w:noProof/>
                <w:webHidden/>
              </w:rPr>
              <w:t>10</w:t>
            </w:r>
            <w:r w:rsidR="00925645">
              <w:rPr>
                <w:noProof/>
                <w:webHidden/>
              </w:rPr>
              <w:fldChar w:fldCharType="end"/>
            </w:r>
          </w:hyperlink>
        </w:p>
        <w:p w14:paraId="0B73F060" w14:textId="77777777" w:rsidR="00925645" w:rsidRDefault="00000000">
          <w:pPr>
            <w:pStyle w:val="TOC2"/>
            <w:tabs>
              <w:tab w:val="right" w:leader="dot" w:pos="8296"/>
            </w:tabs>
            <w:rPr>
              <w:rFonts w:asciiTheme="minorHAnsi" w:eastAsiaTheme="minorEastAsia" w:hAnsiTheme="minorHAnsi" w:cstheme="minorBidi"/>
              <w:noProof/>
              <w:sz w:val="22"/>
              <w:szCs w:val="22"/>
              <w:lang w:val="en-US" w:eastAsia="en-US"/>
            </w:rPr>
          </w:pPr>
          <w:hyperlink w:anchor="_Toc133674949" w:history="1">
            <w:r w:rsidR="00925645" w:rsidRPr="00EA6841">
              <w:rPr>
                <w:rStyle w:val="a8"/>
                <w:rFonts w:eastAsiaTheme="majorEastAsia"/>
                <w:noProof/>
              </w:rPr>
              <w:t>External Factors</w:t>
            </w:r>
            <w:r w:rsidR="00925645">
              <w:rPr>
                <w:noProof/>
                <w:webHidden/>
              </w:rPr>
              <w:tab/>
            </w:r>
            <w:r w:rsidR="00925645">
              <w:rPr>
                <w:noProof/>
                <w:webHidden/>
              </w:rPr>
              <w:fldChar w:fldCharType="begin"/>
            </w:r>
            <w:r w:rsidR="00925645">
              <w:rPr>
                <w:noProof/>
                <w:webHidden/>
              </w:rPr>
              <w:instrText xml:space="preserve"> PAGEREF _Toc133674949 \h </w:instrText>
            </w:r>
            <w:r w:rsidR="00925645">
              <w:rPr>
                <w:noProof/>
                <w:webHidden/>
              </w:rPr>
            </w:r>
            <w:r w:rsidR="00925645">
              <w:rPr>
                <w:noProof/>
                <w:webHidden/>
              </w:rPr>
              <w:fldChar w:fldCharType="separate"/>
            </w:r>
            <w:r w:rsidR="00925645">
              <w:rPr>
                <w:noProof/>
                <w:webHidden/>
              </w:rPr>
              <w:t>12</w:t>
            </w:r>
            <w:r w:rsidR="00925645">
              <w:rPr>
                <w:noProof/>
                <w:webHidden/>
              </w:rPr>
              <w:fldChar w:fldCharType="end"/>
            </w:r>
          </w:hyperlink>
        </w:p>
        <w:p w14:paraId="79D9375D"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50" w:history="1">
            <w:r w:rsidR="00925645" w:rsidRPr="00EA6841">
              <w:rPr>
                <w:rStyle w:val="a8"/>
                <w:rFonts w:eastAsiaTheme="majorEastAsia"/>
                <w:noProof/>
              </w:rPr>
              <w:t>Resistance factors to the change</w:t>
            </w:r>
            <w:r w:rsidR="00925645">
              <w:rPr>
                <w:noProof/>
                <w:webHidden/>
              </w:rPr>
              <w:tab/>
            </w:r>
            <w:r w:rsidR="00925645">
              <w:rPr>
                <w:noProof/>
                <w:webHidden/>
              </w:rPr>
              <w:fldChar w:fldCharType="begin"/>
            </w:r>
            <w:r w:rsidR="00925645">
              <w:rPr>
                <w:noProof/>
                <w:webHidden/>
              </w:rPr>
              <w:instrText xml:space="preserve"> PAGEREF _Toc133674950 \h </w:instrText>
            </w:r>
            <w:r w:rsidR="00925645">
              <w:rPr>
                <w:noProof/>
                <w:webHidden/>
              </w:rPr>
            </w:r>
            <w:r w:rsidR="00925645">
              <w:rPr>
                <w:noProof/>
                <w:webHidden/>
              </w:rPr>
              <w:fldChar w:fldCharType="separate"/>
            </w:r>
            <w:r w:rsidR="00925645">
              <w:rPr>
                <w:noProof/>
                <w:webHidden/>
              </w:rPr>
              <w:t>13</w:t>
            </w:r>
            <w:r w:rsidR="00925645">
              <w:rPr>
                <w:noProof/>
                <w:webHidden/>
              </w:rPr>
              <w:fldChar w:fldCharType="end"/>
            </w:r>
          </w:hyperlink>
        </w:p>
        <w:p w14:paraId="1D2DD63C"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51" w:history="1">
            <w:r w:rsidR="00925645" w:rsidRPr="00EA6841">
              <w:rPr>
                <w:rStyle w:val="a8"/>
                <w:rFonts w:eastAsiaTheme="majorEastAsia"/>
                <w:noProof/>
              </w:rPr>
              <w:t>Conclusion and Recommendations</w:t>
            </w:r>
            <w:r w:rsidR="00925645">
              <w:rPr>
                <w:noProof/>
                <w:webHidden/>
              </w:rPr>
              <w:tab/>
            </w:r>
            <w:r w:rsidR="00925645">
              <w:rPr>
                <w:noProof/>
                <w:webHidden/>
              </w:rPr>
              <w:fldChar w:fldCharType="begin"/>
            </w:r>
            <w:r w:rsidR="00925645">
              <w:rPr>
                <w:noProof/>
                <w:webHidden/>
              </w:rPr>
              <w:instrText xml:space="preserve"> PAGEREF _Toc133674951 \h </w:instrText>
            </w:r>
            <w:r w:rsidR="00925645">
              <w:rPr>
                <w:noProof/>
                <w:webHidden/>
              </w:rPr>
            </w:r>
            <w:r w:rsidR="00925645">
              <w:rPr>
                <w:noProof/>
                <w:webHidden/>
              </w:rPr>
              <w:fldChar w:fldCharType="separate"/>
            </w:r>
            <w:r w:rsidR="00925645">
              <w:rPr>
                <w:noProof/>
                <w:webHidden/>
              </w:rPr>
              <w:t>16</w:t>
            </w:r>
            <w:r w:rsidR="00925645">
              <w:rPr>
                <w:noProof/>
                <w:webHidden/>
              </w:rPr>
              <w:fldChar w:fldCharType="end"/>
            </w:r>
          </w:hyperlink>
        </w:p>
        <w:p w14:paraId="0280818F" w14:textId="77777777" w:rsidR="00925645" w:rsidRDefault="00000000">
          <w:pPr>
            <w:pStyle w:val="TOC1"/>
            <w:tabs>
              <w:tab w:val="right" w:leader="dot" w:pos="8296"/>
            </w:tabs>
            <w:rPr>
              <w:rFonts w:asciiTheme="minorHAnsi" w:eastAsiaTheme="minorEastAsia" w:hAnsiTheme="minorHAnsi" w:cstheme="minorBidi"/>
              <w:noProof/>
              <w:sz w:val="22"/>
              <w:szCs w:val="22"/>
              <w:lang w:val="en-US" w:eastAsia="en-US"/>
            </w:rPr>
          </w:pPr>
          <w:hyperlink w:anchor="_Toc133674952" w:history="1">
            <w:r w:rsidR="00925645" w:rsidRPr="00EA6841">
              <w:rPr>
                <w:rStyle w:val="a8"/>
                <w:rFonts w:eastAsiaTheme="majorEastAsia"/>
                <w:noProof/>
                <w:lang w:val="en-US"/>
              </w:rPr>
              <w:t>References</w:t>
            </w:r>
            <w:r w:rsidR="00925645">
              <w:rPr>
                <w:noProof/>
                <w:webHidden/>
              </w:rPr>
              <w:tab/>
            </w:r>
            <w:r w:rsidR="00925645">
              <w:rPr>
                <w:noProof/>
                <w:webHidden/>
              </w:rPr>
              <w:fldChar w:fldCharType="begin"/>
            </w:r>
            <w:r w:rsidR="00925645">
              <w:rPr>
                <w:noProof/>
                <w:webHidden/>
              </w:rPr>
              <w:instrText xml:space="preserve"> PAGEREF _Toc133674952 \h </w:instrText>
            </w:r>
            <w:r w:rsidR="00925645">
              <w:rPr>
                <w:noProof/>
                <w:webHidden/>
              </w:rPr>
            </w:r>
            <w:r w:rsidR="00925645">
              <w:rPr>
                <w:noProof/>
                <w:webHidden/>
              </w:rPr>
              <w:fldChar w:fldCharType="separate"/>
            </w:r>
            <w:r w:rsidR="00925645">
              <w:rPr>
                <w:noProof/>
                <w:webHidden/>
              </w:rPr>
              <w:t>18</w:t>
            </w:r>
            <w:r w:rsidR="00925645">
              <w:rPr>
                <w:noProof/>
                <w:webHidden/>
              </w:rPr>
              <w:fldChar w:fldCharType="end"/>
            </w:r>
          </w:hyperlink>
        </w:p>
        <w:p w14:paraId="16F7028D" w14:textId="77777777" w:rsidR="00A41341" w:rsidRDefault="00DE083A">
          <w:pPr>
            <w:spacing w:line="480" w:lineRule="auto"/>
            <w:contextualSpacing/>
            <w:rPr>
              <w:szCs w:val="24"/>
            </w:rPr>
          </w:pPr>
          <w:r>
            <w:rPr>
              <w:b/>
              <w:bCs/>
              <w:szCs w:val="24"/>
            </w:rPr>
            <w:fldChar w:fldCharType="end"/>
          </w:r>
        </w:p>
      </w:sdtContent>
    </w:sdt>
    <w:p w14:paraId="1D298629" w14:textId="77777777" w:rsidR="00A41341" w:rsidRDefault="00DE083A">
      <w:pPr>
        <w:rPr>
          <w:b/>
          <w:szCs w:val="24"/>
        </w:rPr>
      </w:pPr>
      <w:r>
        <w:rPr>
          <w:b/>
          <w:szCs w:val="24"/>
        </w:rPr>
        <w:br w:type="page"/>
      </w:r>
    </w:p>
    <w:p w14:paraId="5D0CA072" w14:textId="77777777" w:rsidR="00A41341" w:rsidRDefault="00DE083A">
      <w:pPr>
        <w:pStyle w:val="1"/>
        <w:rPr>
          <w:rFonts w:cs="Times New Roman"/>
          <w:szCs w:val="24"/>
        </w:rPr>
      </w:pPr>
      <w:bookmarkStart w:id="0" w:name="_Toc133674940"/>
      <w:r>
        <w:rPr>
          <w:rFonts w:cs="Times New Roman"/>
          <w:szCs w:val="24"/>
        </w:rPr>
        <w:lastRenderedPageBreak/>
        <w:t>Executive Summary</w:t>
      </w:r>
      <w:bookmarkEnd w:id="0"/>
    </w:p>
    <w:p w14:paraId="48740F2E" w14:textId="77777777" w:rsidR="00A41341" w:rsidRDefault="00DE083A">
      <w:pPr>
        <w:spacing w:before="240" w:after="240" w:line="360" w:lineRule="auto"/>
        <w:ind w:firstLine="420"/>
        <w:rPr>
          <w:szCs w:val="24"/>
        </w:rPr>
      </w:pPr>
      <w:r>
        <w:rPr>
          <w:szCs w:val="24"/>
        </w:rPr>
        <w:t>Change is important for every organization as organizations need to adapt it so as to strive and thrive in the modern economic environment. Ritz, a universal luxury hotel in Washington D.C is one of the organizations that have had to adopt to the constantly evolving economy. This report aims to analyse the changes that the hotel has faced recently. The report will also analyse the key change models for managing the changes; including planned and emergent change models and the changes experienced from the application of these models. Additionally, the report examines the key driving factors for change at Ritz Carlton. These factors include culture, leadership, competition, digitalization, social, political and economic factors. Finally, the report examines resistance factors to change. This paper concludes that change is critical for any organization, and its adoption at Ritz Carlton has helped and still remains important for keeping the business afloat throughout the unpredictable economic environment.</w:t>
      </w:r>
    </w:p>
    <w:p w14:paraId="2777226B" w14:textId="77777777" w:rsidR="00A41341" w:rsidRDefault="00DE083A">
      <w:pPr>
        <w:rPr>
          <w:rFonts w:eastAsiaTheme="majorEastAsia"/>
          <w:b/>
          <w:color w:val="000000" w:themeColor="text1"/>
          <w:szCs w:val="24"/>
        </w:rPr>
      </w:pPr>
      <w:r>
        <w:rPr>
          <w:szCs w:val="24"/>
        </w:rPr>
        <w:br w:type="page"/>
      </w:r>
    </w:p>
    <w:p w14:paraId="20701A05" w14:textId="77777777" w:rsidR="00A41341" w:rsidRDefault="00DE083A">
      <w:pPr>
        <w:pStyle w:val="1"/>
        <w:spacing w:after="240" w:line="480" w:lineRule="auto"/>
        <w:rPr>
          <w:rFonts w:cs="Times New Roman"/>
          <w:szCs w:val="24"/>
        </w:rPr>
      </w:pPr>
      <w:bookmarkStart w:id="1" w:name="_Toc133674941"/>
      <w:r>
        <w:rPr>
          <w:rFonts w:cs="Times New Roman"/>
          <w:szCs w:val="24"/>
        </w:rPr>
        <w:lastRenderedPageBreak/>
        <w:t>Introduction and background to the organization</w:t>
      </w:r>
      <w:bookmarkEnd w:id="1"/>
      <w:r>
        <w:rPr>
          <w:rFonts w:cs="Times New Roman"/>
          <w:szCs w:val="24"/>
        </w:rPr>
        <w:t xml:space="preserve"> </w:t>
      </w:r>
    </w:p>
    <w:p w14:paraId="07A2FFAC" w14:textId="77777777" w:rsidR="00A41341" w:rsidRDefault="00DE083A">
      <w:pPr>
        <w:spacing w:before="240" w:after="240" w:line="360" w:lineRule="auto"/>
        <w:ind w:firstLine="420"/>
        <w:rPr>
          <w:color w:val="222222"/>
          <w:szCs w:val="24"/>
          <w:shd w:val="clear" w:color="auto" w:fill="FFFFFF"/>
        </w:rPr>
      </w:pPr>
      <w:r>
        <w:rPr>
          <w:szCs w:val="24"/>
        </w:rPr>
        <w:t xml:space="preserve">Ritz is a universal luxury hotel that is distinguished by its top-tier service delivery to customers. The hotel has its headquarters in Chevy Chase, Maryland in Washington D.C. The hotel has expanded its market niche to more than 30 hotels in 24 different countries. Celebrities and politicians have found Ritz hotels to be fascinating and this is expressed through their loyalty and the referrals the customers give </w:t>
      </w:r>
      <w:r>
        <w:rPr>
          <w:color w:val="222222"/>
          <w:szCs w:val="24"/>
          <w:shd w:val="clear" w:color="auto" w:fill="FFFFFF"/>
        </w:rPr>
        <w:t>(Golden &amp; Zajac, 2001)</w:t>
      </w:r>
      <w:r>
        <w:rPr>
          <w:szCs w:val="24"/>
        </w:rPr>
        <w:t xml:space="preserve">. Extreme nobility and luxury dictate most of the engagements in the hotel; this has led to the nickname "the roof of the world" (Haveman et al., 2001). However, the hotel does not operate in a vacuum, it has to encounter forces in the marketplace and embrace change to remain strategic and competitive in the dynamic world. Change has been inevitable to the hotel making it important to adjust and keep abreast with the current trends. </w:t>
      </w:r>
    </w:p>
    <w:p w14:paraId="13371266" w14:textId="77777777" w:rsidR="00A41341" w:rsidRDefault="00DE083A">
      <w:pPr>
        <w:spacing w:before="240" w:after="240" w:line="360" w:lineRule="auto"/>
        <w:ind w:firstLine="420"/>
        <w:rPr>
          <w:color w:val="222222"/>
          <w:szCs w:val="24"/>
          <w:shd w:val="clear" w:color="auto" w:fill="FFFFFF"/>
        </w:rPr>
      </w:pPr>
      <w:r>
        <w:rPr>
          <w:szCs w:val="24"/>
        </w:rPr>
        <w:t xml:space="preserve">There are various reasons why Ritz is obliged to adopt change in their hotel management and operations. </w:t>
      </w:r>
      <w:r>
        <w:rPr>
          <w:color w:val="222222"/>
          <w:szCs w:val="24"/>
          <w:shd w:val="clear" w:color="auto" w:fill="FFFFFF"/>
        </w:rPr>
        <w:t xml:space="preserve">Pradipta et al. (2023) </w:t>
      </w:r>
      <w:r>
        <w:rPr>
          <w:szCs w:val="24"/>
        </w:rPr>
        <w:t xml:space="preserve">articulates that over the recent past, the market has been volatile and faced with challenges like the Covid-19 pandemic which has necessitated that organizations change the way they do business. </w:t>
      </w:r>
      <w:r>
        <w:rPr>
          <w:color w:val="222222"/>
          <w:szCs w:val="24"/>
          <w:shd w:val="clear" w:color="auto" w:fill="FFFFFF"/>
        </w:rPr>
        <w:t xml:space="preserve">Pradipta et al. (2023) </w:t>
      </w:r>
      <w:r>
        <w:rPr>
          <w:szCs w:val="24"/>
        </w:rPr>
        <w:t xml:space="preserve">observes that lockdowns led to the reduced number of clients among all Ritz Hotels globally a situation that calls for the need to adopt new strategies. Besides, the world is rapidly revolutionizing, with technological advancements taking the centre stage in how business is conducted. Ritz has had to change its culture to embrace an online presence which is a strategic intent for competitiveness (Bordia et al., 2004). Moreover, the competitive pressures have influenced change in the organizations as they strive to maintain their competitive edge and thrive in the market. Furthermore, pressure from customers has pushed the organization to adopt a change to fulfil their changing tastes and preferences (Baker et al., 2014). Legislative institutions have also influenced change in the hotel organization as they formulate new guidelines for the operation which the hotel management has had to comply with. </w:t>
      </w:r>
      <w:r>
        <w:rPr>
          <w:szCs w:val="24"/>
        </w:rPr>
        <w:lastRenderedPageBreak/>
        <w:t xml:space="preserve">The need to discover and optimally use new skills has also led to a change in the organization. </w:t>
      </w:r>
    </w:p>
    <w:p w14:paraId="42C98D46" w14:textId="77777777" w:rsidR="00A41341" w:rsidRDefault="00DE083A">
      <w:pPr>
        <w:pStyle w:val="1"/>
        <w:spacing w:after="240" w:line="480" w:lineRule="auto"/>
        <w:rPr>
          <w:rFonts w:cs="Times New Roman"/>
          <w:szCs w:val="24"/>
        </w:rPr>
      </w:pPr>
      <w:bookmarkStart w:id="2" w:name="_Toc133674942"/>
      <w:r>
        <w:rPr>
          <w:rFonts w:cs="Times New Roman"/>
          <w:szCs w:val="24"/>
        </w:rPr>
        <w:t>Key change management models</w:t>
      </w:r>
      <w:bookmarkEnd w:id="2"/>
    </w:p>
    <w:p w14:paraId="493D9570" w14:textId="77777777" w:rsidR="00A41341" w:rsidRDefault="00DE083A">
      <w:pPr>
        <w:jc w:val="center"/>
        <w:rPr>
          <w:rFonts w:eastAsia="宋体"/>
          <w:szCs w:val="24"/>
          <w:lang w:eastAsia="zh-CN"/>
        </w:rPr>
      </w:pPr>
      <w:r>
        <w:rPr>
          <w:rFonts w:eastAsia="宋体" w:hint="eastAsia"/>
          <w:noProof/>
          <w:szCs w:val="24"/>
          <w:lang w:val="en-US" w:eastAsia="en-US"/>
        </w:rPr>
        <w:drawing>
          <wp:inline distT="0" distB="0" distL="114300" distR="114300" wp14:anchorId="3EE4CDDD" wp14:editId="6ABA7C70">
            <wp:extent cx="4918710" cy="2818765"/>
            <wp:effectExtent l="0" t="0" r="15240" b="635"/>
            <wp:docPr id="2" name="图片 2" descr="3ec850d35a40d1a6ef96212d3a726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3ec850d35a40d1a6ef96212d3a726b1"/>
                    <pic:cNvPicPr>
                      <a:picLocks noChangeAspect="1"/>
                    </pic:cNvPicPr>
                  </pic:nvPicPr>
                  <pic:blipFill>
                    <a:blip r:embed="rId9"/>
                    <a:stretch>
                      <a:fillRect/>
                    </a:stretch>
                  </pic:blipFill>
                  <pic:spPr>
                    <a:xfrm>
                      <a:off x="0" y="0"/>
                      <a:ext cx="4918710" cy="2818765"/>
                    </a:xfrm>
                    <a:prstGeom prst="rect">
                      <a:avLst/>
                    </a:prstGeom>
                  </pic:spPr>
                </pic:pic>
              </a:graphicData>
            </a:graphic>
          </wp:inline>
        </w:drawing>
      </w:r>
    </w:p>
    <w:p w14:paraId="5A9ACFD0" w14:textId="77777777" w:rsidR="00A41341" w:rsidRDefault="00DE083A">
      <w:pPr>
        <w:spacing w:line="360" w:lineRule="auto"/>
        <w:ind w:firstLineChars="200" w:firstLine="480"/>
        <w:contextualSpacing/>
        <w:rPr>
          <w:szCs w:val="24"/>
        </w:rPr>
      </w:pPr>
      <w:r>
        <w:rPr>
          <w:szCs w:val="24"/>
        </w:rPr>
        <w:t>Lewin’s theory provides three phases that can be followed to manage change in an organization. The phases include unfreeze, change and freeze, for an organization to successfully get to the desired change it is important they manage these phases effectively. Unfreeze entails identifying the area where change is needed and preparing on how that change will be achieved. The second phase entails change; this is the stage where things get done and actual change is implemented. The last phase according to the theory is freeze; once the desired change has been achieved the organization ought to solidify the change to make sure they do not draw back to the previous trends and norms.</w:t>
      </w:r>
    </w:p>
    <w:p w14:paraId="00234E82" w14:textId="77777777" w:rsidR="00A41341" w:rsidRDefault="00DE083A">
      <w:pPr>
        <w:pStyle w:val="2"/>
        <w:rPr>
          <w:rFonts w:cs="Times New Roman"/>
          <w:szCs w:val="24"/>
        </w:rPr>
      </w:pPr>
      <w:bookmarkStart w:id="3" w:name="_Toc133674943"/>
      <w:r>
        <w:rPr>
          <w:rFonts w:cs="Times New Roman"/>
          <w:szCs w:val="24"/>
        </w:rPr>
        <w:t>Planned Change Management Model</w:t>
      </w:r>
      <w:bookmarkEnd w:id="3"/>
    </w:p>
    <w:p w14:paraId="658792F0" w14:textId="77777777" w:rsidR="00A41341" w:rsidRDefault="00DE083A">
      <w:pPr>
        <w:spacing w:before="240" w:after="240" w:line="360" w:lineRule="auto"/>
        <w:ind w:firstLine="418"/>
        <w:contextualSpacing/>
        <w:rPr>
          <w:szCs w:val="24"/>
        </w:rPr>
      </w:pPr>
      <w:r>
        <w:rPr>
          <w:szCs w:val="24"/>
        </w:rPr>
        <w:t xml:space="preserve">The planned change model is a structured approach to change that encompasses a series of steps, including diagnosis, planning of events, implementation, and evaluations. In Ritz Carton, the planned change model has been optimized to introduce new hotel designs, technological advancements that reflect new norms, and also employee training programs. For instance, the organization optimizes the model </w:t>
      </w:r>
      <w:r>
        <w:rPr>
          <w:szCs w:val="24"/>
        </w:rPr>
        <w:lastRenderedPageBreak/>
        <w:t>in new branding strategies which entails a rebranding exercise and the introduction of new design concepts to create a modernized and luxurious ambiance. This initiative has been observed to increase market share by 20% annually (Hammersley, 2010).</w:t>
      </w:r>
    </w:p>
    <w:p w14:paraId="1D1CE67F" w14:textId="77777777" w:rsidR="00A41341" w:rsidRDefault="00DE083A">
      <w:pPr>
        <w:spacing w:before="240" w:after="240" w:line="360" w:lineRule="auto"/>
        <w:ind w:firstLine="418"/>
        <w:contextualSpacing/>
        <w:rPr>
          <w:szCs w:val="24"/>
        </w:rPr>
      </w:pPr>
      <w:r>
        <w:rPr>
          <w:szCs w:val="24"/>
        </w:rPr>
        <w:t xml:space="preserve">The strength of planned change is that it allows the organization to manage changes in a structured and systematic manner. It provides a clear roadmap for change, which makes it earlier for employees to understand and follow </w:t>
      </w:r>
      <w:r>
        <w:rPr>
          <w:color w:val="222222"/>
          <w:szCs w:val="24"/>
          <w:shd w:val="clear" w:color="auto" w:fill="FFFFFF"/>
        </w:rPr>
        <w:t>(Sakano &amp; Lewin, 1999)</w:t>
      </w:r>
      <w:r>
        <w:rPr>
          <w:szCs w:val="24"/>
        </w:rPr>
        <w:t>. The weakness of the model entails it being inflexible and slow to respond to changing conditions. The rigid structure of the planned change model may prevent Ritz Carlton from responding quickly to changes in the market.</w:t>
      </w:r>
    </w:p>
    <w:p w14:paraId="78C347D0" w14:textId="77777777" w:rsidR="00A41341" w:rsidRDefault="00DE083A">
      <w:pPr>
        <w:pStyle w:val="2"/>
        <w:spacing w:before="240" w:after="240" w:line="480" w:lineRule="auto"/>
        <w:rPr>
          <w:rFonts w:cs="Times New Roman"/>
          <w:szCs w:val="24"/>
        </w:rPr>
      </w:pPr>
      <w:bookmarkStart w:id="4" w:name="_Toc133674944"/>
      <w:r>
        <w:rPr>
          <w:rFonts w:cs="Times New Roman"/>
          <w:szCs w:val="24"/>
        </w:rPr>
        <w:t>Emergent Change Management Model</w:t>
      </w:r>
      <w:bookmarkEnd w:id="4"/>
    </w:p>
    <w:p w14:paraId="76A6E0CF" w14:textId="77777777" w:rsidR="00A41341" w:rsidRDefault="00DE083A">
      <w:pPr>
        <w:spacing w:before="240" w:after="240" w:line="360" w:lineRule="auto"/>
        <w:ind w:firstLine="418"/>
        <w:contextualSpacing/>
        <w:rPr>
          <w:szCs w:val="24"/>
        </w:rPr>
      </w:pPr>
      <w:r>
        <w:rPr>
          <w:szCs w:val="24"/>
        </w:rPr>
        <w:t>The emergent change management model entails an adaptive tactic to change that allows organizations to respond quickly to changing circumstances. This model is built on the notion that change is a constant process, and organizations need to be flexible to succeed (Haveman et al., 2001). In Ritz Carlton, the emergent change model has been used to introduce new customer service initiatives, employee empowerment programs, and sustainability practices.</w:t>
      </w:r>
    </w:p>
    <w:p w14:paraId="7B0B54EA" w14:textId="77777777" w:rsidR="00A41341" w:rsidRDefault="00DE083A">
      <w:pPr>
        <w:spacing w:before="240" w:after="240" w:line="360" w:lineRule="auto"/>
        <w:ind w:firstLine="418"/>
        <w:contextualSpacing/>
        <w:rPr>
          <w:szCs w:val="24"/>
        </w:rPr>
      </w:pPr>
      <w:r>
        <w:rPr>
          <w:szCs w:val="24"/>
        </w:rPr>
        <w:t xml:space="preserve">The strength of the emergent change model is its flexibility and adaptability. It allows organizations to return quickly to changes in the market, which is essential in the highly competitive industry </w:t>
      </w:r>
      <w:r>
        <w:rPr>
          <w:color w:val="222222"/>
          <w:szCs w:val="24"/>
          <w:shd w:val="clear" w:color="auto" w:fill="FFFFFF"/>
        </w:rPr>
        <w:t>(Claessens et al. 2000)</w:t>
      </w:r>
      <w:r>
        <w:rPr>
          <w:szCs w:val="24"/>
        </w:rPr>
        <w:t>. The weakness is reflected in the chaotic and unstructured aspect, which may result in confusion and resistance among employees. Lack of a clear roadmap for change may lead to resistance and confusion among employees in the organization (Gaylen et al., 2009).</w:t>
      </w:r>
    </w:p>
    <w:p w14:paraId="7CC58E9D" w14:textId="77777777" w:rsidR="00A41341" w:rsidRDefault="00DE083A">
      <w:pPr>
        <w:spacing w:before="240" w:after="240" w:line="360" w:lineRule="auto"/>
        <w:ind w:firstLine="418"/>
        <w:contextualSpacing/>
        <w:rPr>
          <w:szCs w:val="24"/>
        </w:rPr>
      </w:pPr>
      <w:r>
        <w:rPr>
          <w:szCs w:val="24"/>
        </w:rPr>
        <w:t xml:space="preserve">Ultimately, the Ritz Carlton has used both planned and emergent change management models to drive change in the organization. While the planned change model provides structure and clarity, the emergent change model allows for flexibility and adaptability </w:t>
      </w:r>
      <w:r>
        <w:rPr>
          <w:color w:val="222222"/>
          <w:szCs w:val="24"/>
          <w:shd w:val="clear" w:color="auto" w:fill="FFFFFF"/>
        </w:rPr>
        <w:t>(Fondas &amp; Wiersema, 1997)</w:t>
      </w:r>
      <w:r>
        <w:rPr>
          <w:szCs w:val="24"/>
        </w:rPr>
        <w:t xml:space="preserve">. To achieve success, Ritz Carlton needs to strike a balance between these two approaches and adopt a hybrid approach that combines the best elements of both models (Haveman et al., 2001). This will enable </w:t>
      </w:r>
      <w:r>
        <w:rPr>
          <w:szCs w:val="24"/>
        </w:rPr>
        <w:lastRenderedPageBreak/>
        <w:t>the organization to manage change effectively while remaining competitive in the highly dynamic hospitality industry.</w:t>
      </w:r>
    </w:p>
    <w:p w14:paraId="41FD15BF" w14:textId="77777777" w:rsidR="00A41341" w:rsidRDefault="00DE083A">
      <w:pPr>
        <w:spacing w:before="240" w:after="240" w:line="360" w:lineRule="auto"/>
        <w:ind w:firstLine="418"/>
        <w:contextualSpacing/>
        <w:rPr>
          <w:szCs w:val="24"/>
        </w:rPr>
      </w:pPr>
      <w:r>
        <w:rPr>
          <w:szCs w:val="24"/>
        </w:rPr>
        <w:br/>
      </w:r>
      <w:r>
        <w:rPr>
          <w:rFonts w:eastAsiaTheme="majorEastAsia" w:hint="eastAsia"/>
          <w:b/>
          <w:color w:val="000000" w:themeColor="text1"/>
          <w:szCs w:val="24"/>
        </w:rPr>
        <w:t xml:space="preserve">Kotter's eight-step change model </w:t>
      </w:r>
    </w:p>
    <w:p w14:paraId="25380BD7" w14:textId="77777777" w:rsidR="00A41341" w:rsidRDefault="00DE083A">
      <w:pPr>
        <w:spacing w:before="240" w:after="240" w:line="360" w:lineRule="auto"/>
        <w:contextualSpacing/>
        <w:rPr>
          <w:rFonts w:eastAsia="宋体"/>
          <w:szCs w:val="24"/>
          <w:lang w:eastAsia="zh-CN"/>
        </w:rPr>
      </w:pPr>
      <w:r>
        <w:rPr>
          <w:rFonts w:eastAsia="宋体" w:hint="eastAsia"/>
          <w:noProof/>
          <w:szCs w:val="24"/>
          <w:lang w:val="en-US" w:eastAsia="en-US"/>
        </w:rPr>
        <w:drawing>
          <wp:inline distT="0" distB="0" distL="114300" distR="114300" wp14:anchorId="0F44B6C6" wp14:editId="5A24747D">
            <wp:extent cx="5266690" cy="3147695"/>
            <wp:effectExtent l="0" t="0" r="10160" b="14605"/>
            <wp:docPr id="3" name="图片 3" descr="aba77d298d0ae35162dfd2f6540d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aba77d298d0ae35162dfd2f6540d988"/>
                    <pic:cNvPicPr>
                      <a:picLocks noChangeAspect="1"/>
                    </pic:cNvPicPr>
                  </pic:nvPicPr>
                  <pic:blipFill>
                    <a:blip r:embed="rId10"/>
                    <a:stretch>
                      <a:fillRect/>
                    </a:stretch>
                  </pic:blipFill>
                  <pic:spPr>
                    <a:xfrm>
                      <a:off x="0" y="0"/>
                      <a:ext cx="5266690" cy="3147695"/>
                    </a:xfrm>
                    <a:prstGeom prst="rect">
                      <a:avLst/>
                    </a:prstGeom>
                  </pic:spPr>
                </pic:pic>
              </a:graphicData>
            </a:graphic>
          </wp:inline>
        </w:drawing>
      </w:r>
    </w:p>
    <w:p w14:paraId="722B0D92" w14:textId="77777777" w:rsidR="00A41341" w:rsidRDefault="00DE083A">
      <w:pPr>
        <w:spacing w:before="240" w:after="240" w:line="360" w:lineRule="auto"/>
        <w:ind w:firstLineChars="200" w:firstLine="480"/>
        <w:contextualSpacing/>
        <w:rPr>
          <w:szCs w:val="24"/>
        </w:rPr>
      </w:pPr>
      <w:r>
        <w:rPr>
          <w:rFonts w:hint="eastAsia"/>
          <w:szCs w:val="24"/>
        </w:rPr>
        <w:t>John Kotter's eight-step change model was put forward in his book Leading Change, which is widely regarded as a fundamental work in the field of change management</w:t>
      </w:r>
      <w:r>
        <w:rPr>
          <w:rFonts w:eastAsia="宋体" w:hint="eastAsia"/>
          <w:szCs w:val="24"/>
          <w:lang w:val="en-US" w:eastAsia="zh-CN"/>
        </w:rPr>
        <w:t>(</w:t>
      </w:r>
      <w:r>
        <w:rPr>
          <w:rFonts w:eastAsia="宋体" w:hint="eastAsia"/>
          <w:color w:val="222222"/>
          <w:szCs w:val="24"/>
          <w:shd w:val="clear" w:color="auto" w:fill="FFFFFF"/>
          <w:lang w:val="en-US" w:eastAsia="zh-CN"/>
        </w:rPr>
        <w:t>Mert, A</w:t>
      </w:r>
      <w:r>
        <w:rPr>
          <w:color w:val="222222"/>
          <w:szCs w:val="24"/>
          <w:shd w:val="clear" w:color="auto" w:fill="FFFFFF"/>
        </w:rPr>
        <w:t>, 20</w:t>
      </w:r>
      <w:r>
        <w:rPr>
          <w:rFonts w:eastAsia="宋体" w:hint="eastAsia"/>
          <w:color w:val="222222"/>
          <w:szCs w:val="24"/>
          <w:shd w:val="clear" w:color="auto" w:fill="FFFFFF"/>
          <w:lang w:val="en-US" w:eastAsia="zh-CN"/>
        </w:rPr>
        <w:t>23)</w:t>
      </w:r>
      <w:r>
        <w:rPr>
          <w:rFonts w:hint="eastAsia"/>
          <w:szCs w:val="24"/>
        </w:rPr>
        <w:t>. Kotter's theory is a simple and easy road map that provides leaders with reference to ensure that the correct steps are taken when it comes to planning and managing change.</w:t>
      </w:r>
    </w:p>
    <w:p w14:paraId="78B48B67" w14:textId="77777777" w:rsidR="00A41341" w:rsidRDefault="00DE083A">
      <w:pPr>
        <w:spacing w:before="240" w:after="240" w:line="360" w:lineRule="auto"/>
        <w:ind w:firstLineChars="200" w:firstLine="480"/>
        <w:contextualSpacing/>
        <w:rPr>
          <w:szCs w:val="24"/>
        </w:rPr>
      </w:pPr>
      <w:r>
        <w:rPr>
          <w:rFonts w:hint="eastAsia"/>
          <w:szCs w:val="24"/>
        </w:rPr>
        <w:t>This model also has its own limitations in the context of the modern reform plan - although it encourages to be inclusive as much as possible, but it is quite traditional.</w:t>
      </w:r>
    </w:p>
    <w:p w14:paraId="4154E7E1" w14:textId="77777777" w:rsidR="00A41341" w:rsidRDefault="00DE083A">
      <w:pPr>
        <w:spacing w:before="240" w:after="240" w:line="360" w:lineRule="auto"/>
        <w:contextualSpacing/>
        <w:rPr>
          <w:szCs w:val="24"/>
        </w:rPr>
      </w:pPr>
      <w:r>
        <w:rPr>
          <w:rFonts w:hint="eastAsia"/>
          <w:szCs w:val="24"/>
        </w:rPr>
        <w:t>In addition, these 8 major steps are too detailed and strict, it makes people feel very rigid lacks the flexibility required by the reform project.</w:t>
      </w:r>
      <w:r>
        <w:rPr>
          <w:rFonts w:eastAsia="宋体" w:hint="eastAsia"/>
          <w:szCs w:val="24"/>
          <w:lang w:val="en-US" w:eastAsia="zh-CN"/>
        </w:rPr>
        <w:t xml:space="preserve"> </w:t>
      </w:r>
      <w:r>
        <w:rPr>
          <w:rFonts w:hint="eastAsia"/>
          <w:szCs w:val="24"/>
        </w:rPr>
        <w:t>One of the most important key points in Kotter's theory is to create "sense of urgency", which will affect employees' feedback.</w:t>
      </w:r>
    </w:p>
    <w:p w14:paraId="71506725" w14:textId="77777777" w:rsidR="00A41341" w:rsidRDefault="00DE083A">
      <w:pPr>
        <w:pStyle w:val="1"/>
        <w:spacing w:after="240" w:line="480" w:lineRule="auto"/>
        <w:rPr>
          <w:rFonts w:cs="Times New Roman"/>
          <w:szCs w:val="24"/>
        </w:rPr>
      </w:pPr>
      <w:bookmarkStart w:id="5" w:name="_Toc133674945"/>
      <w:r>
        <w:rPr>
          <w:rFonts w:cs="Times New Roman"/>
          <w:szCs w:val="24"/>
        </w:rPr>
        <w:t>Changes Experienced</w:t>
      </w:r>
      <w:bookmarkEnd w:id="5"/>
      <w:r>
        <w:rPr>
          <w:rFonts w:cs="Times New Roman"/>
          <w:szCs w:val="24"/>
        </w:rPr>
        <w:t xml:space="preserve"> </w:t>
      </w:r>
    </w:p>
    <w:p w14:paraId="3491F06D" w14:textId="77777777" w:rsidR="00A41341" w:rsidRDefault="00DE083A">
      <w:pPr>
        <w:spacing w:before="240" w:after="240" w:line="360" w:lineRule="auto"/>
        <w:ind w:firstLine="418"/>
        <w:contextualSpacing/>
        <w:rPr>
          <w:szCs w:val="24"/>
          <w:lang w:val="en-US"/>
        </w:rPr>
      </w:pPr>
      <w:r>
        <w:rPr>
          <w:szCs w:val="24"/>
          <w:lang w:val="en-US"/>
        </w:rPr>
        <w:t xml:space="preserve">Approach that Ritz-Carlton could use to foster innovation is bricolage. Bricolage refers to the process of creating something new by combining different resources that </w:t>
      </w:r>
      <w:r>
        <w:rPr>
          <w:szCs w:val="24"/>
          <w:lang w:val="en-US"/>
        </w:rPr>
        <w:lastRenderedPageBreak/>
        <w:t>are readily available. According to Senyard et al. (2014), bricolage is a path to innovativeness for resource-constrained new firms. Ritz-Carlton could use this approach to foster innovation by encouraging employees to come up with new ideas and solutions to problems by combining existing resources.</w:t>
      </w:r>
    </w:p>
    <w:p w14:paraId="5DC15459" w14:textId="77777777" w:rsidR="00A41341" w:rsidRDefault="00DE083A" w:rsidP="00636424">
      <w:pPr>
        <w:spacing w:before="240" w:after="240" w:line="360" w:lineRule="auto"/>
        <w:ind w:firstLine="418"/>
        <w:contextualSpacing/>
        <w:rPr>
          <w:szCs w:val="24"/>
          <w:lang w:val="en-US"/>
        </w:rPr>
      </w:pPr>
      <w:r>
        <w:rPr>
          <w:szCs w:val="24"/>
          <w:lang w:val="en-US"/>
        </w:rPr>
        <w:t>Another approach that Ritz-Carlton could use to improve its service delivery is through employee voice behavior. Employee voice behavior refers to the expression of ideas, opinions, and concerns by employees about the work environment. Morrison (2011) argues that employee voice behavior can lead to improved performance and innovation within an organization. Ritz-Carlton uses this approach to encourage employees to share their ideas and concerns about the organization's service delivery, thereby leading to improved performance.</w:t>
      </w:r>
    </w:p>
    <w:p w14:paraId="5CCDB080" w14:textId="77777777" w:rsidR="00A41341" w:rsidRDefault="00DE083A">
      <w:pPr>
        <w:spacing w:before="240" w:after="240" w:line="360" w:lineRule="auto"/>
        <w:ind w:firstLine="418"/>
        <w:contextualSpacing/>
        <w:rPr>
          <w:szCs w:val="24"/>
          <w:lang w:val="en-US"/>
        </w:rPr>
      </w:pPr>
      <w:r>
        <w:rPr>
          <w:szCs w:val="24"/>
          <w:lang w:val="en-US"/>
        </w:rPr>
        <w:t>Causation and effectuation processes could also be used to foster innovation within Ritz-Carlton. Causation refers to the process of identifying goals and then developing a plan to achieve those goals. Effectuation, on the other hand, involves using available resources to create new opportunities. Chandler et al. (2009) argue that causation and effectuation processes influnces innovative outcomes. Ritz-Carlton could use this approach to foster innovation by identifying its goals and then developing a plan to achieve those goals, while also using available resources to create new opportunities (Tadry, 2000).</w:t>
      </w:r>
    </w:p>
    <w:p w14:paraId="59F8F3FE" w14:textId="77777777" w:rsidR="00A41341" w:rsidRDefault="00DE083A">
      <w:pPr>
        <w:spacing w:before="240" w:after="240" w:line="360" w:lineRule="auto"/>
        <w:ind w:firstLine="418"/>
        <w:contextualSpacing/>
        <w:rPr>
          <w:szCs w:val="24"/>
        </w:rPr>
      </w:pPr>
      <w:r>
        <w:rPr>
          <w:szCs w:val="24"/>
        </w:rPr>
        <w:t>In response to these challenges, Ritz-Carlton implemented a series of changes to improve their service quality and innovation. One of the changes was to empower their employees by providing them with the necessary resources, training, and support to deliver excellent service (Zollo et al., 2002). From the observation of the experiences in Ritz it is important to ensure that every employee understands the company's mission, vision, and values, and was committed to delivering excellent service. There is need of tools for employees to take ownership of their work and to feel empowered to make decisions that benefits Ritz Company (Gaylen et al., 2009).</w:t>
      </w:r>
    </w:p>
    <w:p w14:paraId="3EB53AC7" w14:textId="77777777" w:rsidR="00A41341" w:rsidRDefault="00DE083A">
      <w:pPr>
        <w:spacing w:before="240" w:after="240" w:line="360" w:lineRule="auto"/>
        <w:ind w:firstLine="418"/>
        <w:contextualSpacing/>
        <w:rPr>
          <w:szCs w:val="24"/>
        </w:rPr>
      </w:pPr>
      <w:r>
        <w:rPr>
          <w:szCs w:val="24"/>
        </w:rPr>
        <w:t>.</w:t>
      </w:r>
    </w:p>
    <w:p w14:paraId="499CC686" w14:textId="77777777" w:rsidR="00A41341" w:rsidRDefault="00DE083A">
      <w:pPr>
        <w:pStyle w:val="1"/>
        <w:spacing w:after="240" w:line="480" w:lineRule="auto"/>
        <w:rPr>
          <w:rFonts w:cs="Times New Roman"/>
          <w:szCs w:val="24"/>
        </w:rPr>
      </w:pPr>
      <w:bookmarkStart w:id="6" w:name="_Toc133674946"/>
      <w:r>
        <w:rPr>
          <w:rFonts w:cs="Times New Roman"/>
          <w:szCs w:val="24"/>
        </w:rPr>
        <w:lastRenderedPageBreak/>
        <w:t>Application of the models</w:t>
      </w:r>
      <w:bookmarkEnd w:id="6"/>
      <w:r>
        <w:rPr>
          <w:rFonts w:cs="Times New Roman"/>
          <w:szCs w:val="24"/>
        </w:rPr>
        <w:t xml:space="preserve"> </w:t>
      </w:r>
    </w:p>
    <w:p w14:paraId="1E78E18B" w14:textId="77777777" w:rsidR="00A41341" w:rsidRDefault="00DE083A">
      <w:pPr>
        <w:jc w:val="center"/>
        <w:rPr>
          <w:szCs w:val="24"/>
        </w:rPr>
      </w:pPr>
      <w:r>
        <w:rPr>
          <w:noProof/>
          <w:szCs w:val="24"/>
          <w:lang w:val="en-US" w:eastAsia="en-US"/>
        </w:rPr>
        <w:drawing>
          <wp:inline distT="0" distB="0" distL="0" distR="0" wp14:anchorId="4395BFD8" wp14:editId="62ED928A">
            <wp:extent cx="2867025" cy="1590675"/>
            <wp:effectExtent l="0" t="0" r="9525" b="9525"/>
            <wp:docPr id="7" name="Picture 7" descr="C:\Users\peterlis\Downloads\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Users\peterlis\Downloads\download (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67025" cy="1590675"/>
                    </a:xfrm>
                    <a:prstGeom prst="rect">
                      <a:avLst/>
                    </a:prstGeom>
                    <a:noFill/>
                    <a:ln>
                      <a:noFill/>
                    </a:ln>
                  </pic:spPr>
                </pic:pic>
              </a:graphicData>
            </a:graphic>
          </wp:inline>
        </w:drawing>
      </w:r>
    </w:p>
    <w:p w14:paraId="1E714353" w14:textId="77777777" w:rsidR="00A41341" w:rsidRDefault="00DE083A">
      <w:pPr>
        <w:spacing w:before="240" w:after="240" w:line="360" w:lineRule="auto"/>
        <w:ind w:firstLine="418"/>
        <w:contextualSpacing/>
        <w:jc w:val="both"/>
        <w:rPr>
          <w:szCs w:val="24"/>
        </w:rPr>
      </w:pPr>
      <w:r>
        <w:rPr>
          <w:szCs w:val="24"/>
        </w:rPr>
        <w:t>The planned and emergent change management models can be utilized for both incremental (small-scale) and large-scale change programs. The application of these models would differ based on the scope and nature of the change being implemented.</w:t>
      </w:r>
    </w:p>
    <w:p w14:paraId="7A3098F9" w14:textId="77777777" w:rsidR="00A41341" w:rsidRDefault="00DE083A">
      <w:pPr>
        <w:spacing w:before="240" w:after="240" w:line="360" w:lineRule="auto"/>
        <w:ind w:firstLine="418"/>
        <w:contextualSpacing/>
        <w:jc w:val="both"/>
        <w:rPr>
          <w:szCs w:val="24"/>
        </w:rPr>
      </w:pPr>
      <w:r>
        <w:rPr>
          <w:szCs w:val="24"/>
        </w:rPr>
        <w:t xml:space="preserve">For incremental change programs, the planned change management model would be more suitable as it provides a structured and systematic approach to change (Shirey, 2013). This model involves a series of steps such as diagnosis, planning, implementation, and evaluation. The diagnosis stage involves assessing the current situation and identifying areas for improvement </w:t>
      </w:r>
      <w:r>
        <w:rPr>
          <w:color w:val="222222"/>
          <w:szCs w:val="24"/>
          <w:shd w:val="clear" w:color="auto" w:fill="FFFFFF"/>
        </w:rPr>
        <w:t>(Faccio &amp; Lang, 2002).</w:t>
      </w:r>
      <w:r>
        <w:rPr>
          <w:szCs w:val="24"/>
        </w:rPr>
        <w:t xml:space="preserve"> The planning stage encompasses setting goals and objectives for Ritz, developing a change plan, and identifying the resources required to effect changes in Ritz organization. The implementation stage entails executing the plan and making the necessary changes, while the evaluation stage involves assessing the effectiveness of the change and making adjustments as necessary </w:t>
      </w:r>
      <w:r>
        <w:rPr>
          <w:color w:val="222222"/>
          <w:szCs w:val="24"/>
          <w:shd w:val="clear" w:color="auto" w:fill="FFFFFF"/>
        </w:rPr>
        <w:t>(Farrell &amp; Whidbee, 2002)</w:t>
      </w:r>
      <w:r>
        <w:rPr>
          <w:szCs w:val="24"/>
        </w:rPr>
        <w:t>. This model can be utilized to implement small-scale changes such as introducing new procedures or policies, updating technology systems, or providing additional employee training.</w:t>
      </w:r>
    </w:p>
    <w:p w14:paraId="35696FC9" w14:textId="77777777" w:rsidR="00A41341" w:rsidRDefault="00DE083A" w:rsidP="00E51352">
      <w:pPr>
        <w:spacing w:before="240" w:after="240" w:line="360" w:lineRule="auto"/>
        <w:ind w:firstLine="418"/>
        <w:contextualSpacing/>
        <w:jc w:val="both"/>
        <w:rPr>
          <w:szCs w:val="24"/>
        </w:rPr>
      </w:pPr>
      <w:r>
        <w:rPr>
          <w:szCs w:val="24"/>
        </w:rPr>
        <w:t xml:space="preserve">According to Ahmad et al. (2002), the emergent change management model would be more suitable as it provides a flexible and adaptable approach to change for large scale change program. This model is based on the idea that change is an ongoing process, and organizations need to be flexible and adaptable to succeed (Song et al., 2002). The emergent change model involves identifying the need for change and then experimenting with new ideas and approaches to determine what works best (WU et al., </w:t>
      </w:r>
      <w:r>
        <w:rPr>
          <w:szCs w:val="24"/>
        </w:rPr>
        <w:lastRenderedPageBreak/>
        <w:t>2010). This model can be utilized for large-scale changes such as restructuring the organization, introducing new product lines, or changing the business strategy.</w:t>
      </w:r>
    </w:p>
    <w:p w14:paraId="28F23814" w14:textId="77777777" w:rsidR="00A41341" w:rsidRDefault="00DE083A">
      <w:pPr>
        <w:pStyle w:val="1"/>
        <w:spacing w:after="240" w:line="480" w:lineRule="auto"/>
        <w:rPr>
          <w:rFonts w:cs="Times New Roman"/>
          <w:szCs w:val="24"/>
        </w:rPr>
      </w:pPr>
      <w:bookmarkStart w:id="7" w:name="_Toc133674947"/>
      <w:r>
        <w:rPr>
          <w:rFonts w:cs="Times New Roman"/>
          <w:szCs w:val="24"/>
        </w:rPr>
        <w:t>Driving factors for change</w:t>
      </w:r>
      <w:bookmarkEnd w:id="7"/>
      <w:r>
        <w:rPr>
          <w:rFonts w:cs="Times New Roman"/>
          <w:szCs w:val="24"/>
        </w:rPr>
        <w:t xml:space="preserve"> </w:t>
      </w:r>
    </w:p>
    <w:p w14:paraId="6F5E2ABC" w14:textId="77777777" w:rsidR="00A41341" w:rsidRDefault="00DE083A">
      <w:pPr>
        <w:jc w:val="center"/>
        <w:rPr>
          <w:szCs w:val="24"/>
        </w:rPr>
      </w:pPr>
      <w:r>
        <w:rPr>
          <w:noProof/>
          <w:szCs w:val="24"/>
          <w:lang w:val="en-US" w:eastAsia="en-US"/>
        </w:rPr>
        <w:drawing>
          <wp:inline distT="0" distB="0" distL="0" distR="0" wp14:anchorId="4F1BA680" wp14:editId="72CF6BB1">
            <wp:extent cx="2762250" cy="2068830"/>
            <wp:effectExtent l="0" t="0" r="0" b="7620"/>
            <wp:docPr id="5" name="Picture 5" descr="C:\Users\peterlis\Downloads\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peterlis\Downloads\download (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762250" cy="2069021"/>
                    </a:xfrm>
                    <a:prstGeom prst="rect">
                      <a:avLst/>
                    </a:prstGeom>
                    <a:noFill/>
                    <a:ln>
                      <a:noFill/>
                    </a:ln>
                  </pic:spPr>
                </pic:pic>
              </a:graphicData>
            </a:graphic>
          </wp:inline>
        </w:drawing>
      </w:r>
    </w:p>
    <w:p w14:paraId="0A9A557A" w14:textId="77777777" w:rsidR="00A41341" w:rsidRDefault="00DE083A">
      <w:pPr>
        <w:spacing w:before="240" w:after="240" w:line="360" w:lineRule="auto"/>
        <w:ind w:firstLine="418"/>
        <w:contextualSpacing/>
        <w:jc w:val="both"/>
        <w:rPr>
          <w:szCs w:val="24"/>
        </w:rPr>
      </w:pPr>
      <w:r>
        <w:rPr>
          <w:szCs w:val="24"/>
        </w:rPr>
        <w:t>Morrison (2011) articulates that, like any other organization, Ritz Carlton has to adapt to changes in the business environment to remain competitive. Various factors are observed to drive change in the organization which includes both internal and external factors. The various factors are critically evaluated to present how they drive change and influence business operations in the Ritz organization.</w:t>
      </w:r>
    </w:p>
    <w:p w14:paraId="5DCDE171" w14:textId="77777777" w:rsidR="00A41341" w:rsidRDefault="00DE083A">
      <w:pPr>
        <w:pStyle w:val="2"/>
        <w:spacing w:line="360" w:lineRule="auto"/>
        <w:rPr>
          <w:rStyle w:val="a7"/>
          <w:rFonts w:cs="Times New Roman"/>
          <w:b/>
          <w:szCs w:val="24"/>
        </w:rPr>
      </w:pPr>
      <w:bookmarkStart w:id="8" w:name="_Toc133674948"/>
      <w:r>
        <w:rPr>
          <w:rStyle w:val="a7"/>
          <w:rFonts w:cs="Times New Roman"/>
          <w:b/>
          <w:szCs w:val="24"/>
        </w:rPr>
        <w:t>Internal Factors</w:t>
      </w:r>
      <w:bookmarkEnd w:id="8"/>
    </w:p>
    <w:p w14:paraId="3E4E87C3" w14:textId="77777777" w:rsidR="00A41341" w:rsidRDefault="00DE083A">
      <w:pPr>
        <w:spacing w:line="360" w:lineRule="auto"/>
        <w:rPr>
          <w:rStyle w:val="a7"/>
          <w:szCs w:val="24"/>
        </w:rPr>
      </w:pPr>
      <w:r>
        <w:rPr>
          <w:rStyle w:val="a7"/>
          <w:szCs w:val="24"/>
        </w:rPr>
        <w:t>Culture</w:t>
      </w:r>
    </w:p>
    <w:p w14:paraId="65BB2A44" w14:textId="77777777" w:rsidR="00A41341" w:rsidRDefault="00DE083A">
      <w:pPr>
        <w:spacing w:before="240" w:after="240" w:line="360" w:lineRule="auto"/>
        <w:ind w:firstLine="418"/>
        <w:contextualSpacing/>
        <w:jc w:val="both"/>
        <w:rPr>
          <w:szCs w:val="24"/>
        </w:rPr>
      </w:pPr>
      <w:r>
        <w:rPr>
          <w:szCs w:val="24"/>
        </w:rPr>
        <w:t xml:space="preserve">Culture refers to the norms and ways of doing things in a particular setup. Domenico (2010) observes that organizational culture can be a significant driver of change. The Ritz Carlton culture is grounded on excellence that emphasizes exclusive customer service and attention to detail to ensure efficiency in the manner that the businesses run. This culture has been impactful in the organization, it has helped Ritz to remain competitive in the highly competitive market by providing the customer with high-quality service and amenities. The culture in the organization has also been a driver of change in the organization's approach to sustainability. The organization through its culture embraces environmental responsibility, which has influenced how the organization manages its resources including water and energy as they seek to </w:t>
      </w:r>
      <w:r>
        <w:rPr>
          <w:szCs w:val="24"/>
        </w:rPr>
        <w:lastRenderedPageBreak/>
        <w:t>uphold sustainable initiatives (Gaylen et al., 2009). The culture of sustainability has necessitated changes that focus on reducing carbon footprint and being more environmentally responsible. Ritz has reduced carbon footprint by 1000 tonnes by adopting sustainable initiatives, 96% of all lights withing their hotels are LED this has cut down electricity cost by 25%. Besides, the hotel through sustainability has reduced water and gas expenses by 10% (Hammersley, 2010). These key aspect of sustainability reflects the changes that has been experienced and contributes significantly to the firm’s bottom line.</w:t>
      </w:r>
    </w:p>
    <w:p w14:paraId="58515828" w14:textId="77777777" w:rsidR="00A41341" w:rsidRDefault="00DE083A">
      <w:pPr>
        <w:spacing w:line="360" w:lineRule="auto"/>
        <w:rPr>
          <w:rStyle w:val="a7"/>
          <w:szCs w:val="24"/>
        </w:rPr>
      </w:pPr>
      <w:r>
        <w:rPr>
          <w:rStyle w:val="a7"/>
          <w:szCs w:val="24"/>
        </w:rPr>
        <w:t>Leadership</w:t>
      </w:r>
    </w:p>
    <w:p w14:paraId="43AFCE1F" w14:textId="77777777" w:rsidR="00A41341" w:rsidRDefault="00DE083A">
      <w:pPr>
        <w:spacing w:before="240" w:after="240" w:line="360" w:lineRule="auto"/>
        <w:ind w:firstLine="420"/>
        <w:rPr>
          <w:color w:val="222222"/>
          <w:szCs w:val="24"/>
          <w:shd w:val="clear" w:color="auto" w:fill="FFFFFF"/>
        </w:rPr>
      </w:pPr>
      <w:r>
        <w:rPr>
          <w:szCs w:val="24"/>
        </w:rPr>
        <w:t xml:space="preserve">Domenico (2010) presents leadership as a significant driver of change. The leadership team in the organization is observed to be committed and innovative and focused on continuous improvement. Gill (2010) articulated that leadership has been an important driver of change in the organization by taking a leading role in the introduction of new products and services, updating technology systems, and implementing new employee training programs based on the current need. These leadership qualities have been instrumental in revolutionizing daily activities in the organization </w:t>
      </w:r>
      <w:r>
        <w:rPr>
          <w:color w:val="222222"/>
          <w:szCs w:val="24"/>
          <w:shd w:val="clear" w:color="auto" w:fill="FFFFFF"/>
        </w:rPr>
        <w:t>(Bovey &amp; Hede, 2001).</w:t>
      </w:r>
    </w:p>
    <w:p w14:paraId="4A836210" w14:textId="77777777" w:rsidR="00A41341" w:rsidRDefault="00DE083A">
      <w:pPr>
        <w:spacing w:before="240" w:after="240" w:line="360" w:lineRule="auto"/>
        <w:ind w:firstLine="420"/>
        <w:rPr>
          <w:color w:val="222222"/>
          <w:szCs w:val="24"/>
          <w:shd w:val="clear" w:color="auto" w:fill="FFFFFF"/>
        </w:rPr>
      </w:pPr>
      <w:r>
        <w:rPr>
          <w:szCs w:val="24"/>
        </w:rPr>
        <w:t xml:space="preserve">The leadership is also focused on sustainability and has been responsible for overseeing the organizational sustainability initiatives. Moreover, the leadership team has significantly driven change in how the organization approaches sustainability by identifying areas of concern where a change is necessary and coming up with opportunities for improvement and implementation of the new sustainability initiatives </w:t>
      </w:r>
      <w:r>
        <w:rPr>
          <w:color w:val="222222"/>
          <w:szCs w:val="24"/>
          <w:shd w:val="clear" w:color="auto" w:fill="FFFFFF"/>
        </w:rPr>
        <w:t>(Pradipta et al. 2023).</w:t>
      </w:r>
    </w:p>
    <w:p w14:paraId="2D55E1BF" w14:textId="77777777" w:rsidR="00A41341" w:rsidRDefault="00DE083A">
      <w:pPr>
        <w:spacing w:line="360" w:lineRule="auto"/>
        <w:rPr>
          <w:rStyle w:val="a7"/>
          <w:szCs w:val="24"/>
        </w:rPr>
      </w:pPr>
      <w:r>
        <w:rPr>
          <w:rStyle w:val="a7"/>
          <w:szCs w:val="24"/>
        </w:rPr>
        <w:t xml:space="preserve">Power </w:t>
      </w:r>
    </w:p>
    <w:p w14:paraId="52C21F5F" w14:textId="77777777" w:rsidR="00A41341" w:rsidRDefault="00DE083A">
      <w:pPr>
        <w:spacing w:before="240" w:after="240" w:line="360" w:lineRule="auto"/>
        <w:ind w:firstLine="418"/>
        <w:contextualSpacing/>
        <w:jc w:val="both"/>
        <w:rPr>
          <w:szCs w:val="24"/>
        </w:rPr>
      </w:pPr>
      <w:r>
        <w:rPr>
          <w:szCs w:val="24"/>
        </w:rPr>
        <w:t xml:space="preserve">Ritz Carlton is part of the Marriot international group which has significant influence in the hospitality industry; this aspect gives the organization significant power to make things happen and control changes in the market (Baker et al., 2014). The power has been a significant driver for change as it gives the company access to various </w:t>
      </w:r>
      <w:r>
        <w:rPr>
          <w:szCs w:val="24"/>
        </w:rPr>
        <w:lastRenderedPageBreak/>
        <w:t xml:space="preserve">resources and funding that enable the organization to be innovative and remain competitive in the market </w:t>
      </w:r>
      <w:r>
        <w:rPr>
          <w:color w:val="222222"/>
          <w:szCs w:val="24"/>
          <w:shd w:val="clear" w:color="auto" w:fill="FFFFFF"/>
        </w:rPr>
        <w:t>(Gordon et al., 2000)</w:t>
      </w:r>
      <w:r>
        <w:rPr>
          <w:szCs w:val="24"/>
        </w:rPr>
        <w:t>. The power is impactful in the organizational approach to sustainability. Gill (2010) articulates that Ritz has been able to bring change through the partnership that is necessitated by its power in the market. For instance, Ritz has been able to foster a partnership with Clean the World, a non-profit organization that recycles soap and toiletries from hotels and distributes them to needy communities. Recycling has reduced the negative impact on environment by 18% (Hammersley, 2010).</w:t>
      </w:r>
    </w:p>
    <w:p w14:paraId="7C3A682F" w14:textId="77777777" w:rsidR="00A41341" w:rsidRDefault="00DE083A">
      <w:pPr>
        <w:pStyle w:val="2"/>
        <w:spacing w:line="360" w:lineRule="auto"/>
        <w:rPr>
          <w:rFonts w:cs="Times New Roman"/>
          <w:szCs w:val="24"/>
        </w:rPr>
      </w:pPr>
      <w:bookmarkStart w:id="9" w:name="_Toc133674949"/>
      <w:r>
        <w:rPr>
          <w:rFonts w:cs="Times New Roman"/>
          <w:szCs w:val="24"/>
        </w:rPr>
        <w:t>External Factors</w:t>
      </w:r>
      <w:bookmarkEnd w:id="9"/>
    </w:p>
    <w:p w14:paraId="67BBC9C2" w14:textId="77777777" w:rsidR="00A41341" w:rsidRDefault="00DE083A">
      <w:pPr>
        <w:spacing w:line="360" w:lineRule="auto"/>
        <w:rPr>
          <w:rStyle w:val="a7"/>
          <w:szCs w:val="24"/>
        </w:rPr>
      </w:pPr>
      <w:r>
        <w:rPr>
          <w:rStyle w:val="a7"/>
          <w:szCs w:val="24"/>
        </w:rPr>
        <w:t xml:space="preserve">Political factors </w:t>
      </w:r>
    </w:p>
    <w:p w14:paraId="2A380CE4" w14:textId="77777777" w:rsidR="00A41341" w:rsidRDefault="00DE083A">
      <w:pPr>
        <w:spacing w:before="240" w:after="240" w:line="360" w:lineRule="auto"/>
        <w:ind w:firstLine="418"/>
        <w:contextualSpacing/>
        <w:jc w:val="both"/>
        <w:rPr>
          <w:szCs w:val="24"/>
        </w:rPr>
      </w:pPr>
      <w:r>
        <w:rPr>
          <w:szCs w:val="24"/>
        </w:rPr>
        <w:t>Gaylen et al. (2009) observes that political factors can be drivers of change in the Ritz organization. The hotels are situated in different political environments implying that the politics of a particular country can significantly impact the operations of Ritz. Changes in government policies can impact Ritz significantly, these changes include taxation policies, labour laws, and regulatory guidelines (Wenzel et al., 2021). Legal changes can also impact the organization's approach to sustainability, such as the introduction of new regulations on waste management and carbon emissions (Ahmad et al., 2002). For instance, changes in migration policies can impact the movement of clients and also areas where employees can be hired.</w:t>
      </w:r>
    </w:p>
    <w:p w14:paraId="43535281" w14:textId="77777777" w:rsidR="00A41341" w:rsidRDefault="00DE083A">
      <w:pPr>
        <w:spacing w:line="360" w:lineRule="auto"/>
        <w:rPr>
          <w:rStyle w:val="a7"/>
          <w:szCs w:val="24"/>
        </w:rPr>
      </w:pPr>
      <w:r>
        <w:rPr>
          <w:rStyle w:val="a7"/>
          <w:szCs w:val="24"/>
        </w:rPr>
        <w:t>Economic factors</w:t>
      </w:r>
    </w:p>
    <w:p w14:paraId="6E910A3C" w14:textId="77777777" w:rsidR="00A41341" w:rsidRDefault="00DE083A">
      <w:pPr>
        <w:spacing w:line="360" w:lineRule="auto"/>
        <w:ind w:firstLine="420"/>
        <w:rPr>
          <w:szCs w:val="24"/>
        </w:rPr>
      </w:pPr>
      <w:r>
        <w:rPr>
          <w:szCs w:val="24"/>
        </w:rPr>
        <w:t xml:space="preserve">Ritz has been in operation for a while and has experienced various economic situations such as recession periods and booms. These changes can significantly impact the revenues generated and the profitability of an organization by 75% (Ekvall, 1996). Economic changes can also impact customer behavior and spending patterns which can significantly influence the organization's marketing and sales strategies. Scott and Bruce (1994) articulates that these economic factors have forced the organization to adopt cautionary strategies that promote flexibility and cushion the organization from adverse conditions. </w:t>
      </w:r>
    </w:p>
    <w:p w14:paraId="4D4284CD" w14:textId="77777777" w:rsidR="00A41341" w:rsidRDefault="00DE083A">
      <w:pPr>
        <w:spacing w:line="360" w:lineRule="auto"/>
        <w:rPr>
          <w:rStyle w:val="a7"/>
          <w:szCs w:val="24"/>
        </w:rPr>
      </w:pPr>
      <w:r>
        <w:rPr>
          <w:rStyle w:val="a7"/>
          <w:szCs w:val="24"/>
        </w:rPr>
        <w:t xml:space="preserve">Social factors </w:t>
      </w:r>
    </w:p>
    <w:p w14:paraId="0BED809F" w14:textId="77777777" w:rsidR="00A41341" w:rsidRDefault="00DE083A">
      <w:pPr>
        <w:spacing w:before="240" w:after="240" w:line="360" w:lineRule="auto"/>
        <w:ind w:firstLine="418"/>
        <w:contextualSpacing/>
        <w:jc w:val="both"/>
        <w:rPr>
          <w:szCs w:val="24"/>
        </w:rPr>
      </w:pPr>
      <w:r>
        <w:rPr>
          <w:szCs w:val="24"/>
        </w:rPr>
        <w:lastRenderedPageBreak/>
        <w:t xml:space="preserve">Social drivers have also been influential in bringing change to Ritz's organization. Changes in social trends and attitudes have a significant impact on organizations' operations. Ritz has been faced with changes such as customer preference and behavior over time which has necessitated them to adopt new strategies to satisfy customer requirements and sustain their classical products and services </w:t>
      </w:r>
      <w:r>
        <w:rPr>
          <w:color w:val="222222"/>
          <w:szCs w:val="24"/>
          <w:shd w:val="clear" w:color="auto" w:fill="FFFFFF"/>
        </w:rPr>
        <w:t>(Gordon et al., 2000)</w:t>
      </w:r>
      <w:r>
        <w:rPr>
          <w:szCs w:val="24"/>
        </w:rPr>
        <w:t>.</w:t>
      </w:r>
    </w:p>
    <w:p w14:paraId="316C0690" w14:textId="77777777" w:rsidR="00A41341" w:rsidRDefault="00DE083A">
      <w:pPr>
        <w:spacing w:line="360" w:lineRule="auto"/>
        <w:rPr>
          <w:rStyle w:val="a7"/>
          <w:szCs w:val="24"/>
        </w:rPr>
      </w:pPr>
      <w:r>
        <w:rPr>
          <w:rStyle w:val="a7"/>
          <w:szCs w:val="24"/>
        </w:rPr>
        <w:t>Technological Factors</w:t>
      </w:r>
    </w:p>
    <w:p w14:paraId="1844A200" w14:textId="77777777" w:rsidR="00A41341" w:rsidRDefault="00DE083A">
      <w:pPr>
        <w:spacing w:before="240" w:after="240" w:line="360" w:lineRule="auto"/>
        <w:ind w:firstLine="418"/>
        <w:contextualSpacing/>
        <w:jc w:val="both"/>
        <w:rPr>
          <w:szCs w:val="24"/>
        </w:rPr>
      </w:pPr>
      <w:r>
        <w:rPr>
          <w:szCs w:val="24"/>
        </w:rPr>
        <w:t>One of the technological factors affecting change is digitalization. Ritz embraces digitalization as a way of enhancing the customer experiencing and reinforcing the organization to remain competitive (Ekvall, 1996). Online presence is of necessity in the current market. Organizations need to optimally use their online presence to reach a wide range of potential customers and advertise the various services and products they offer globally (Morrison, 2011). Digitalization has also changed how organization approaches sustainability. According to Domenico (2010), Ritz has introduced digital systems to monitor their energy and water consumption to reduce waste. The organization has also introduced digital platforms where they share its core values and policies that promote its sustainability initiatives to customers and employees (Farrell &amp; Whidbee, 2002). Through digitalization the firm has been able to increase their profit margin by 24% annually.</w:t>
      </w:r>
    </w:p>
    <w:p w14:paraId="1C078BC1" w14:textId="77777777" w:rsidR="00A41341" w:rsidRDefault="00DE083A">
      <w:pPr>
        <w:pStyle w:val="1"/>
        <w:spacing w:after="240" w:line="360" w:lineRule="auto"/>
        <w:rPr>
          <w:rFonts w:cs="Times New Roman"/>
          <w:szCs w:val="24"/>
        </w:rPr>
      </w:pPr>
      <w:bookmarkStart w:id="10" w:name="_Toc133674950"/>
      <w:r>
        <w:rPr>
          <w:rFonts w:cs="Times New Roman"/>
          <w:szCs w:val="24"/>
        </w:rPr>
        <w:t>Resistance factors to the change</w:t>
      </w:r>
      <w:bookmarkEnd w:id="10"/>
    </w:p>
    <w:p w14:paraId="688935F7" w14:textId="77777777" w:rsidR="00A41341" w:rsidRDefault="00DE083A">
      <w:pPr>
        <w:spacing w:before="240" w:after="240" w:line="360" w:lineRule="auto"/>
        <w:ind w:firstLine="420"/>
        <w:rPr>
          <w:szCs w:val="24"/>
        </w:rPr>
      </w:pPr>
      <w:r>
        <w:rPr>
          <w:szCs w:val="24"/>
        </w:rPr>
        <w:t xml:space="preserve">Levin’s force field model asserts that the restraining forces has a significant influence on the behaviour of both the group and individuals, ultimately deciding the fate of change. The theory provides that the driving force motivate and steer employees towards the new state, therefore, it is essential to take the driving forces of change strategically to ensure that the predetermined objectives of the planned change are being achieved (Bovey and Hede, 2001). Conversely, the theory provides that restricting factors should not be overstated as they dictate how much can be achieved. </w:t>
      </w:r>
    </w:p>
    <w:p w14:paraId="72E8302D" w14:textId="77777777" w:rsidR="00A41341" w:rsidRDefault="00DE083A">
      <w:pPr>
        <w:spacing w:before="240" w:after="240" w:line="360" w:lineRule="auto"/>
        <w:ind w:firstLine="420"/>
        <w:rPr>
          <w:szCs w:val="24"/>
        </w:rPr>
      </w:pPr>
      <w:r>
        <w:rPr>
          <w:szCs w:val="24"/>
        </w:rPr>
        <w:t xml:space="preserve">The driving factors of change according to the theory include; positive perception by the stakeholders, being reasonable to embrace change, embracing logic to drive the </w:t>
      </w:r>
      <w:r>
        <w:rPr>
          <w:szCs w:val="24"/>
        </w:rPr>
        <w:lastRenderedPageBreak/>
        <w:t xml:space="preserve">change, being conscious and taking the prevailing economic situation into account. Once these factors are leveraged and aligned with the objectives of the planned change, favourable results of the change implementation phase are attained. On the other hand, restraining forces include, negative perception and emotion of the various stakeholders responsible for change, this constrains the achievement of objectives. It is important for Ritz to optimize on the driving factor while the retaining forces should not be overlooked. </w:t>
      </w:r>
    </w:p>
    <w:p w14:paraId="508D1A52" w14:textId="77777777" w:rsidR="00A41341" w:rsidRDefault="00DE083A">
      <w:pPr>
        <w:spacing w:before="240" w:after="240" w:line="360" w:lineRule="auto"/>
        <w:ind w:firstLine="420"/>
        <w:rPr>
          <w:color w:val="222222"/>
          <w:szCs w:val="24"/>
          <w:shd w:val="clear" w:color="auto" w:fill="FFFFFF"/>
        </w:rPr>
      </w:pPr>
      <w:r>
        <w:rPr>
          <w:szCs w:val="24"/>
        </w:rPr>
        <w:t xml:space="preserve">While in some cases it is possible to introduce change (new ideas, systems, and processes) in an organization without facing significant resistance, resistance to change is a common phenomenon in organizations </w:t>
      </w:r>
      <w:r>
        <w:rPr>
          <w:color w:val="222222"/>
          <w:szCs w:val="24"/>
          <w:shd w:val="clear" w:color="auto" w:fill="FFFFFF"/>
        </w:rPr>
        <w:t>(Westpal &amp; Fredrickson, 2001)</w:t>
      </w:r>
      <w:r>
        <w:rPr>
          <w:szCs w:val="24"/>
        </w:rPr>
        <w:t xml:space="preserve">. Ritz has a long history of success and a strong culture that is deeply ingrained in its employees making it challenging to introduce change. Morrison (2011) articulates that introducing changes can be a challenging and hectic task which can be due to factors such as; organizational culture, communication problems, and lack of understanding or acceptance by key stakeholders. </w:t>
      </w:r>
    </w:p>
    <w:p w14:paraId="50378BE3" w14:textId="77777777" w:rsidR="00A41341" w:rsidRDefault="00DE083A">
      <w:pPr>
        <w:spacing w:before="240" w:after="240" w:line="360" w:lineRule="auto"/>
        <w:ind w:firstLine="576"/>
        <w:contextualSpacing/>
        <w:rPr>
          <w:szCs w:val="24"/>
        </w:rPr>
      </w:pPr>
      <w:r>
        <w:rPr>
          <w:szCs w:val="24"/>
        </w:rPr>
        <w:t xml:space="preserve">Organizational social and psychological culture can play a significant role in resistance to change. According to Lewin’s organizational climate theory, certain types of organizational cultures may be more conducive to creativity and innovation than others. If Ritz's culture values stability, predictability, and tradition over innovation, it may be difficult to introduce new ideas or processes that challenge these values </w:t>
      </w:r>
      <w:r>
        <w:rPr>
          <w:color w:val="222222"/>
          <w:szCs w:val="24"/>
          <w:shd w:val="clear" w:color="auto" w:fill="FFFFFF"/>
        </w:rPr>
        <w:t>(Simons et al.1999)</w:t>
      </w:r>
      <w:r>
        <w:rPr>
          <w:szCs w:val="24"/>
        </w:rPr>
        <w:t xml:space="preserve">. To overcome this challenge, Ritz may need to engage in a deliberate learning process to develop dynamic capabilities that enable it to adapt to changing environments (Zollo &amp; Winter, 2002). </w:t>
      </w:r>
    </w:p>
    <w:p w14:paraId="7DFE63F8" w14:textId="77777777" w:rsidR="00A41341" w:rsidRDefault="00DE083A" w:rsidP="00A32A5A">
      <w:pPr>
        <w:spacing w:before="240" w:after="240" w:line="360" w:lineRule="auto"/>
        <w:ind w:firstLine="576"/>
        <w:contextualSpacing/>
        <w:rPr>
          <w:szCs w:val="24"/>
        </w:rPr>
      </w:pPr>
      <w:r>
        <w:rPr>
          <w:szCs w:val="24"/>
        </w:rPr>
        <w:t xml:space="preserve">Moreover, individual factors can also contribute to resistance to change. Lewin’s suggests that factors such as personality traits, job characteristics, and work environment can influence an individual's propensity to engage in innovative behaviour. If Ritz employees are not accustomed to taking risks or experimenting with new ideas, they may be resistant to change (Ahmad et al., 2002). To address this </w:t>
      </w:r>
      <w:r>
        <w:rPr>
          <w:szCs w:val="24"/>
        </w:rPr>
        <w:lastRenderedPageBreak/>
        <w:t>challenge, Ritz may need to provide training and development opportunities that encourage employees to embrace innovation and take calculated risks.</w:t>
      </w:r>
    </w:p>
    <w:p w14:paraId="234E1F80" w14:textId="77777777" w:rsidR="00A41341" w:rsidRDefault="00DE083A">
      <w:pPr>
        <w:spacing w:before="240" w:after="240" w:line="360" w:lineRule="auto"/>
        <w:ind w:firstLine="576"/>
        <w:contextualSpacing/>
        <w:rPr>
          <w:szCs w:val="24"/>
        </w:rPr>
      </w:pPr>
      <w:r>
        <w:rPr>
          <w:szCs w:val="24"/>
        </w:rPr>
        <w:t xml:space="preserve">External factors can also contribute to resistance to change. </w:t>
      </w:r>
      <w:r>
        <w:rPr>
          <w:color w:val="222222"/>
          <w:szCs w:val="24"/>
          <w:shd w:val="clear" w:color="auto" w:fill="FFFFFF"/>
        </w:rPr>
        <w:t>Pettigrew (1990)</w:t>
      </w:r>
      <w:r>
        <w:rPr>
          <w:szCs w:val="24"/>
        </w:rPr>
        <w:t xml:space="preserve"> proposed that regulatory punctuations can disrupt organizational domains and lead to changes in CEO succession and performance. If Ritz is facing external pressures such as changes in regulations or market conditions, it may be more difficult to introduce change </w:t>
      </w:r>
      <w:r>
        <w:rPr>
          <w:color w:val="222222"/>
          <w:szCs w:val="24"/>
          <w:shd w:val="clear" w:color="auto" w:fill="FFFFFF"/>
        </w:rPr>
        <w:t>(Corbin &amp; Strauss, 1990)</w:t>
      </w:r>
      <w:r>
        <w:rPr>
          <w:szCs w:val="24"/>
        </w:rPr>
        <w:t>. To address this challenge, Ritz may need to engage in strategic planning and scenario analysis to anticipate potential disruptions and prepare accordingly.</w:t>
      </w:r>
    </w:p>
    <w:p w14:paraId="071B3577" w14:textId="77777777" w:rsidR="00A41341" w:rsidRDefault="00DE083A">
      <w:pPr>
        <w:spacing w:line="480" w:lineRule="auto"/>
        <w:rPr>
          <w:b/>
          <w:szCs w:val="24"/>
        </w:rPr>
      </w:pPr>
      <w:r>
        <w:rPr>
          <w:b/>
          <w:szCs w:val="24"/>
        </w:rPr>
        <w:t>How to know when the change program has been completed</w:t>
      </w:r>
    </w:p>
    <w:p w14:paraId="39DEC00B" w14:textId="77777777" w:rsidR="00A41341" w:rsidRDefault="00DE083A">
      <w:pPr>
        <w:spacing w:line="360" w:lineRule="auto"/>
        <w:ind w:firstLine="418"/>
        <w:rPr>
          <w:b/>
          <w:szCs w:val="24"/>
        </w:rPr>
      </w:pPr>
      <w:r>
        <w:rPr>
          <w:szCs w:val="24"/>
        </w:rPr>
        <w:t xml:space="preserve">It is important to establish clear objectives which will be worked towards. Before starting the project, it is crucial to establish clear objectives that define what is expected to be accomplished (Ekvall, 1996). This offers a point of reference and for assessment of the effectiveness of the program. This involve measuring changes in key performance indicators, like productivity, profitability, customer satisfaction, and employee engagement (Ahmad et al., 2002). It may also involve conducting surveys or focus groups to gather feedback from stakeholders, including employees, customers, or suppliers. Moreover, developing metrics can be helpful, metrics serve to measure the success of the change program. The metrics developed will be SMART (specific, measurable, achievable, relevant, and time-bound) to facilitate the process of ascertaining how well change has been realized </w:t>
      </w:r>
      <w:r>
        <w:rPr>
          <w:color w:val="222222"/>
          <w:szCs w:val="24"/>
          <w:shd w:val="clear" w:color="auto" w:fill="FFFFFF"/>
        </w:rPr>
        <w:t>(Tahura, 2022)</w:t>
      </w:r>
      <w:r>
        <w:rPr>
          <w:szCs w:val="24"/>
        </w:rPr>
        <w:t xml:space="preserve">. </w:t>
      </w:r>
    </w:p>
    <w:p w14:paraId="317A271C" w14:textId="77777777" w:rsidR="00A41341" w:rsidRDefault="00DE083A">
      <w:pPr>
        <w:spacing w:before="240" w:after="240" w:line="360" w:lineRule="auto"/>
        <w:ind w:firstLine="418"/>
        <w:contextualSpacing/>
        <w:rPr>
          <w:szCs w:val="24"/>
        </w:rPr>
      </w:pPr>
      <w:r>
        <w:rPr>
          <w:bCs/>
          <w:szCs w:val="24"/>
        </w:rPr>
        <w:t>Embarking on monitoring progress regularly to assess whether the change program is achieving its objectives is also vital (Moynihan et al., 2001). Monitoring will present an opportunity to identify areas of concern where adjustment can be done and also ascertain key milestones in the change program. After implementation of the change program it is important to conduct a post-implementation review to evaluate its effectiveness (Moynihan et al., 2001). This review includes an assessment of whether the program achi</w:t>
      </w:r>
      <w:r>
        <w:rPr>
          <w:szCs w:val="24"/>
        </w:rPr>
        <w:t xml:space="preserve">eved its objectives, whether it was completed within the </w:t>
      </w:r>
      <w:r>
        <w:rPr>
          <w:szCs w:val="24"/>
        </w:rPr>
        <w:lastRenderedPageBreak/>
        <w:t>allotted time and budget, and whether the various benefit realized outweigh the cost incurred.</w:t>
      </w:r>
    </w:p>
    <w:p w14:paraId="363B3118" w14:textId="77777777" w:rsidR="00A41341" w:rsidRDefault="00DE083A">
      <w:pPr>
        <w:pStyle w:val="1"/>
        <w:spacing w:after="240" w:line="360" w:lineRule="auto"/>
        <w:rPr>
          <w:rFonts w:cs="Times New Roman"/>
          <w:szCs w:val="24"/>
        </w:rPr>
      </w:pPr>
      <w:bookmarkStart w:id="11" w:name="_Toc133674951"/>
      <w:r>
        <w:rPr>
          <w:rFonts w:cs="Times New Roman"/>
          <w:szCs w:val="24"/>
        </w:rPr>
        <w:t>Conclusion and Recommendations</w:t>
      </w:r>
      <w:bookmarkEnd w:id="11"/>
    </w:p>
    <w:p w14:paraId="17D729FB" w14:textId="77777777" w:rsidR="00A41341" w:rsidRDefault="00DE083A">
      <w:pPr>
        <w:autoSpaceDE w:val="0"/>
        <w:autoSpaceDN w:val="0"/>
        <w:adjustRightInd w:val="0"/>
        <w:spacing w:after="200" w:line="360" w:lineRule="auto"/>
        <w:ind w:firstLineChars="200" w:firstLine="480"/>
        <w:rPr>
          <w:rFonts w:eastAsiaTheme="minorEastAsia"/>
          <w:szCs w:val="24"/>
        </w:rPr>
      </w:pPr>
      <w:r>
        <w:rPr>
          <w:rFonts w:eastAsiaTheme="minorEastAsia"/>
          <w:szCs w:val="24"/>
        </w:rPr>
        <w:t>Based on the analysis of Ritz Carlton's changes and driving factors, here are some recommendations for the business:</w:t>
      </w:r>
    </w:p>
    <w:p w14:paraId="347247DE" w14:textId="77777777" w:rsidR="00A41341" w:rsidRDefault="00DE083A">
      <w:pPr>
        <w:pStyle w:val="a9"/>
        <w:numPr>
          <w:ilvl w:val="0"/>
          <w:numId w:val="1"/>
        </w:numPr>
        <w:autoSpaceDE w:val="0"/>
        <w:autoSpaceDN w:val="0"/>
        <w:adjustRightInd w:val="0"/>
        <w:spacing w:after="200" w:line="360" w:lineRule="auto"/>
        <w:rPr>
          <w:rFonts w:eastAsiaTheme="minorEastAsia"/>
          <w:szCs w:val="24"/>
        </w:rPr>
      </w:pPr>
      <w:r>
        <w:rPr>
          <w:rFonts w:eastAsiaTheme="minorEastAsia"/>
          <w:szCs w:val="24"/>
        </w:rPr>
        <w:t xml:space="preserve">Foster a culture of innovation: The bricolage approach can be utilized to encourage employees to experiment and create new services using available resources. </w:t>
      </w:r>
    </w:p>
    <w:p w14:paraId="1F3BE6A4" w14:textId="77777777" w:rsidR="00A41341" w:rsidRDefault="00DE083A">
      <w:pPr>
        <w:pStyle w:val="a9"/>
        <w:numPr>
          <w:ilvl w:val="0"/>
          <w:numId w:val="1"/>
        </w:numPr>
        <w:autoSpaceDE w:val="0"/>
        <w:autoSpaceDN w:val="0"/>
        <w:adjustRightInd w:val="0"/>
        <w:spacing w:after="200" w:line="360" w:lineRule="auto"/>
        <w:rPr>
          <w:rFonts w:eastAsiaTheme="minorEastAsia"/>
          <w:szCs w:val="24"/>
        </w:rPr>
      </w:pPr>
      <w:r>
        <w:rPr>
          <w:rFonts w:eastAsiaTheme="minorEastAsia"/>
          <w:szCs w:val="24"/>
        </w:rPr>
        <w:t xml:space="preserve">Develop differentiated leadership styles: Leaders should tailor their leadership style to suit the needs of different employees or groups. </w:t>
      </w:r>
    </w:p>
    <w:p w14:paraId="580BF6FF" w14:textId="77777777" w:rsidR="00A41341" w:rsidRDefault="00DE083A">
      <w:pPr>
        <w:pStyle w:val="a9"/>
        <w:numPr>
          <w:ilvl w:val="0"/>
          <w:numId w:val="1"/>
        </w:numPr>
        <w:autoSpaceDE w:val="0"/>
        <w:autoSpaceDN w:val="0"/>
        <w:adjustRightInd w:val="0"/>
        <w:spacing w:after="200" w:line="360" w:lineRule="auto"/>
        <w:rPr>
          <w:rFonts w:eastAsiaTheme="minorEastAsia"/>
          <w:szCs w:val="24"/>
        </w:rPr>
      </w:pPr>
      <w:r>
        <w:rPr>
          <w:rFonts w:eastAsiaTheme="minorEastAsia"/>
          <w:szCs w:val="24"/>
        </w:rPr>
        <w:t>Continuously monitor external factors: Given the impact of political, economic, social, and technological factors on the hospitality industry, Ritz Carlton should continuously monitor these factors to anticipate changes and take proactive measures to adapt to them.</w:t>
      </w:r>
    </w:p>
    <w:p w14:paraId="5E0F712C" w14:textId="77777777" w:rsidR="00A41341" w:rsidRDefault="00DE083A">
      <w:pPr>
        <w:pStyle w:val="a9"/>
        <w:numPr>
          <w:ilvl w:val="0"/>
          <w:numId w:val="1"/>
        </w:numPr>
        <w:autoSpaceDE w:val="0"/>
        <w:autoSpaceDN w:val="0"/>
        <w:adjustRightInd w:val="0"/>
        <w:spacing w:after="200" w:line="360" w:lineRule="auto"/>
        <w:rPr>
          <w:rFonts w:eastAsiaTheme="minorEastAsia"/>
          <w:szCs w:val="24"/>
        </w:rPr>
      </w:pPr>
      <w:r>
        <w:rPr>
          <w:rFonts w:eastAsiaTheme="minorEastAsia"/>
          <w:szCs w:val="24"/>
        </w:rPr>
        <w:t>Leverage the power of the Marriot International Group: Ritz Carlton should collaborate with other brands within the group to share best practices, knowledge and expertise, which can help them to stay competitive in the market.</w:t>
      </w:r>
    </w:p>
    <w:p w14:paraId="11758B57" w14:textId="77777777" w:rsidR="00A41341" w:rsidRDefault="00DE083A">
      <w:pPr>
        <w:spacing w:before="240" w:after="240" w:line="360" w:lineRule="auto"/>
        <w:ind w:firstLine="418"/>
        <w:contextualSpacing/>
        <w:rPr>
          <w:szCs w:val="24"/>
        </w:rPr>
      </w:pPr>
      <w:r>
        <w:rPr>
          <w:szCs w:val="24"/>
        </w:rPr>
        <w:t xml:space="preserve">In conclusion, adopting change is essential for any organization, and Ritz Carlton's adoption of it has aided and continues to be essential for surviving the volatile economic climate. It is important to contemplate soliciting response from employees, customers, and other stakeholders to gain understanding into the effectiveness of the change program. Feedback is essential in giving first-hand information from the stakeholder in the company on how their experiences have improved following the change program. Moreover, it is important to engage in continuous improvement of the change program. This initiative will ensure that the organization remains responsive to changing circumstances and retains its competitive edge. </w:t>
      </w:r>
    </w:p>
    <w:p w14:paraId="656F40BA" w14:textId="77777777" w:rsidR="00A41341" w:rsidRDefault="00DE083A">
      <w:pPr>
        <w:spacing w:before="240" w:after="240" w:line="360" w:lineRule="auto"/>
        <w:contextualSpacing/>
        <w:rPr>
          <w:szCs w:val="24"/>
        </w:rPr>
      </w:pPr>
      <w:r>
        <w:rPr>
          <w:szCs w:val="24"/>
        </w:rPr>
        <w:lastRenderedPageBreak/>
        <w:br w:type="page"/>
      </w:r>
    </w:p>
    <w:p w14:paraId="7812FB48" w14:textId="77777777" w:rsidR="00A41341" w:rsidRDefault="00DE083A">
      <w:pPr>
        <w:pStyle w:val="1"/>
        <w:spacing w:after="240" w:line="480" w:lineRule="auto"/>
        <w:jc w:val="center"/>
        <w:rPr>
          <w:rFonts w:cs="Times New Roman"/>
          <w:szCs w:val="24"/>
          <w:lang w:val="en-US"/>
        </w:rPr>
      </w:pPr>
      <w:bookmarkStart w:id="12" w:name="_Toc133674952"/>
      <w:r>
        <w:rPr>
          <w:rFonts w:cs="Times New Roman"/>
          <w:szCs w:val="24"/>
          <w:lang w:val="en-US"/>
        </w:rPr>
        <w:lastRenderedPageBreak/>
        <w:t>References</w:t>
      </w:r>
      <w:bookmarkEnd w:id="12"/>
    </w:p>
    <w:p w14:paraId="0B3EDF96" w14:textId="77777777" w:rsidR="00A41341" w:rsidRDefault="00DE083A">
      <w:pPr>
        <w:spacing w:line="480" w:lineRule="auto"/>
        <w:ind w:left="420" w:hanging="420"/>
        <w:contextualSpacing/>
        <w:rPr>
          <w:color w:val="222222"/>
          <w:szCs w:val="24"/>
          <w:shd w:val="clear" w:color="auto" w:fill="FFFFFF"/>
        </w:rPr>
      </w:pPr>
      <w:r>
        <w:rPr>
          <w:color w:val="222222"/>
          <w:szCs w:val="24"/>
          <w:shd w:val="clear" w:color="auto" w:fill="FFFFFF"/>
        </w:rPr>
        <w:t>Abernethy, M.A. and Brownell, P., 1999. The role of budgets in organizations facing strategic change: an exploratory study. </w:t>
      </w:r>
      <w:r>
        <w:rPr>
          <w:i/>
          <w:iCs/>
          <w:color w:val="222222"/>
          <w:szCs w:val="24"/>
          <w:shd w:val="clear" w:color="auto" w:fill="FFFFFF"/>
        </w:rPr>
        <w:t>Accounting, organizations and society</w:t>
      </w:r>
      <w:r>
        <w:rPr>
          <w:color w:val="222222"/>
          <w:szCs w:val="24"/>
          <w:shd w:val="clear" w:color="auto" w:fill="FFFFFF"/>
        </w:rPr>
        <w:t>, </w:t>
      </w:r>
      <w:r>
        <w:rPr>
          <w:i/>
          <w:iCs/>
          <w:color w:val="222222"/>
          <w:szCs w:val="24"/>
          <w:shd w:val="clear" w:color="auto" w:fill="FFFFFF"/>
        </w:rPr>
        <w:t>24</w:t>
      </w:r>
      <w:r>
        <w:rPr>
          <w:color w:val="222222"/>
          <w:szCs w:val="24"/>
          <w:shd w:val="clear" w:color="auto" w:fill="FFFFFF"/>
        </w:rPr>
        <w:t>(3), pp.189-204.</w:t>
      </w:r>
    </w:p>
    <w:p w14:paraId="06143CA9"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Ahmad, S. and Schroeder, R.G., 2003. The impact of human resource management practices on operational performance: recognizing country and industry differences. </w:t>
      </w:r>
      <w:r>
        <w:rPr>
          <w:i/>
          <w:iCs/>
          <w:color w:val="222222"/>
          <w:szCs w:val="24"/>
          <w:shd w:val="clear" w:color="auto" w:fill="FFFFFF"/>
        </w:rPr>
        <w:t>Journal of operations Management</w:t>
      </w:r>
      <w:r>
        <w:rPr>
          <w:color w:val="222222"/>
          <w:szCs w:val="24"/>
          <w:shd w:val="clear" w:color="auto" w:fill="FFFFFF"/>
        </w:rPr>
        <w:t>, </w:t>
      </w:r>
      <w:r>
        <w:rPr>
          <w:i/>
          <w:iCs/>
          <w:color w:val="222222"/>
          <w:szCs w:val="24"/>
          <w:shd w:val="clear" w:color="auto" w:fill="FFFFFF"/>
        </w:rPr>
        <w:t>21</w:t>
      </w:r>
      <w:r>
        <w:rPr>
          <w:color w:val="222222"/>
          <w:szCs w:val="24"/>
          <w:shd w:val="clear" w:color="auto" w:fill="FFFFFF"/>
        </w:rPr>
        <w:t>(1), pp.19-43.</w:t>
      </w:r>
    </w:p>
    <w:p w14:paraId="5167D797"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Bordia, P., Hunt, E., Paulsen, N., Tourish, D. and DiFonzo, N., 2004. Uncertainty during organizational change: Is it all about control? </w:t>
      </w:r>
      <w:r>
        <w:rPr>
          <w:i/>
          <w:iCs/>
          <w:color w:val="222222"/>
          <w:szCs w:val="24"/>
          <w:shd w:val="clear" w:color="auto" w:fill="FFFFFF"/>
        </w:rPr>
        <w:t>European journal of work and organizational psychology</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(3), pp.345-365.</w:t>
      </w:r>
    </w:p>
    <w:p w14:paraId="17C69E8A"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Bovey, W.H. and Hede, A., 2001. Resistance to organisational change: the role of defence mechanisms. </w:t>
      </w:r>
      <w:r>
        <w:rPr>
          <w:i/>
          <w:iCs/>
          <w:color w:val="222222"/>
          <w:szCs w:val="24"/>
          <w:shd w:val="clear" w:color="auto" w:fill="FFFFFF"/>
        </w:rPr>
        <w:t>Journal of managerial psychology</w:t>
      </w:r>
      <w:r>
        <w:rPr>
          <w:color w:val="222222"/>
          <w:szCs w:val="24"/>
          <w:shd w:val="clear" w:color="auto" w:fill="FFFFFF"/>
        </w:rPr>
        <w:t>, </w:t>
      </w:r>
      <w:r>
        <w:rPr>
          <w:i/>
          <w:iCs/>
          <w:color w:val="222222"/>
          <w:szCs w:val="24"/>
          <w:shd w:val="clear" w:color="auto" w:fill="FFFFFF"/>
        </w:rPr>
        <w:t>16</w:t>
      </w:r>
      <w:r>
        <w:rPr>
          <w:color w:val="222222"/>
          <w:szCs w:val="24"/>
          <w:shd w:val="clear" w:color="auto" w:fill="FFFFFF"/>
        </w:rPr>
        <w:t>(7), pp.534-548.</w:t>
      </w:r>
    </w:p>
    <w:p w14:paraId="39BCD013"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Carpenter, M.A., 2000. The price of change: The role of CEO compensation in strategic variation and deviation from industry strategy norms. </w:t>
      </w:r>
      <w:r>
        <w:rPr>
          <w:i/>
          <w:iCs/>
          <w:color w:val="222222"/>
          <w:szCs w:val="24"/>
          <w:shd w:val="clear" w:color="auto" w:fill="FFFFFF"/>
        </w:rPr>
        <w:t>Journal of Management</w:t>
      </w:r>
      <w:r>
        <w:rPr>
          <w:color w:val="222222"/>
          <w:szCs w:val="24"/>
          <w:shd w:val="clear" w:color="auto" w:fill="FFFFFF"/>
        </w:rPr>
        <w:t>, </w:t>
      </w:r>
      <w:r>
        <w:rPr>
          <w:i/>
          <w:iCs/>
          <w:color w:val="222222"/>
          <w:szCs w:val="24"/>
          <w:shd w:val="clear" w:color="auto" w:fill="FFFFFF"/>
        </w:rPr>
        <w:t>26</w:t>
      </w:r>
      <w:r>
        <w:rPr>
          <w:color w:val="222222"/>
          <w:szCs w:val="24"/>
          <w:shd w:val="clear" w:color="auto" w:fill="FFFFFF"/>
        </w:rPr>
        <w:t>(6), pp.1179-1198.</w:t>
      </w:r>
    </w:p>
    <w:p w14:paraId="1B874EBC"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Chandler, G.N., DeTienne, D.R., McKelvie, A. and Mumford, T.V., 2011. Causation and effectuation processes: A validation study. </w:t>
      </w:r>
      <w:r>
        <w:rPr>
          <w:i/>
          <w:iCs/>
          <w:color w:val="222222"/>
          <w:szCs w:val="24"/>
          <w:shd w:val="clear" w:color="auto" w:fill="FFFFFF"/>
        </w:rPr>
        <w:t>Journal of business venturing</w:t>
      </w:r>
      <w:r>
        <w:rPr>
          <w:color w:val="222222"/>
          <w:szCs w:val="24"/>
          <w:shd w:val="clear" w:color="auto" w:fill="FFFFFF"/>
        </w:rPr>
        <w:t>, </w:t>
      </w:r>
      <w:r>
        <w:rPr>
          <w:i/>
          <w:iCs/>
          <w:color w:val="222222"/>
          <w:szCs w:val="24"/>
          <w:shd w:val="clear" w:color="auto" w:fill="FFFFFF"/>
        </w:rPr>
        <w:t>26</w:t>
      </w:r>
      <w:r>
        <w:rPr>
          <w:color w:val="222222"/>
          <w:szCs w:val="24"/>
          <w:shd w:val="clear" w:color="auto" w:fill="FFFFFF"/>
        </w:rPr>
        <w:t>(3), pp.375-390.</w:t>
      </w:r>
    </w:p>
    <w:p w14:paraId="30E43001"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Chang, S.J. and Rosenzweig, P.M., 1998. Industry and regional patterns in sequential foreign market entry. </w:t>
      </w:r>
      <w:r>
        <w:rPr>
          <w:i/>
          <w:iCs/>
          <w:color w:val="222222"/>
          <w:szCs w:val="24"/>
          <w:shd w:val="clear" w:color="auto" w:fill="FFFFFF"/>
        </w:rPr>
        <w:t>Journal of Management Studies</w:t>
      </w:r>
      <w:r>
        <w:rPr>
          <w:color w:val="222222"/>
          <w:szCs w:val="24"/>
          <w:shd w:val="clear" w:color="auto" w:fill="FFFFFF"/>
        </w:rPr>
        <w:t>, </w:t>
      </w:r>
      <w:r>
        <w:rPr>
          <w:i/>
          <w:iCs/>
          <w:color w:val="222222"/>
          <w:szCs w:val="24"/>
          <w:shd w:val="clear" w:color="auto" w:fill="FFFFFF"/>
        </w:rPr>
        <w:t>35</w:t>
      </w:r>
      <w:r>
        <w:rPr>
          <w:color w:val="222222"/>
          <w:szCs w:val="24"/>
          <w:shd w:val="clear" w:color="auto" w:fill="FFFFFF"/>
        </w:rPr>
        <w:t>(6), pp.797-821.</w:t>
      </w:r>
    </w:p>
    <w:p w14:paraId="3D12688F"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lastRenderedPageBreak/>
        <w:t>Claessens, S., Djankov, S. and Lang, L.H., 2000. The separation of ownership and control in East Asian corporations. </w:t>
      </w:r>
      <w:r>
        <w:rPr>
          <w:i/>
          <w:iCs/>
          <w:color w:val="222222"/>
          <w:szCs w:val="24"/>
          <w:shd w:val="clear" w:color="auto" w:fill="FFFFFF"/>
        </w:rPr>
        <w:t>Journal of financial Economics</w:t>
      </w:r>
      <w:r>
        <w:rPr>
          <w:color w:val="222222"/>
          <w:szCs w:val="24"/>
          <w:shd w:val="clear" w:color="auto" w:fill="FFFFFF"/>
        </w:rPr>
        <w:t>, </w:t>
      </w:r>
      <w:r>
        <w:rPr>
          <w:i/>
          <w:iCs/>
          <w:color w:val="222222"/>
          <w:szCs w:val="24"/>
          <w:shd w:val="clear" w:color="auto" w:fill="FFFFFF"/>
        </w:rPr>
        <w:t>58</w:t>
      </w:r>
      <w:r>
        <w:rPr>
          <w:color w:val="222222"/>
          <w:szCs w:val="24"/>
          <w:shd w:val="clear" w:color="auto" w:fill="FFFFFF"/>
        </w:rPr>
        <w:t>(1-2), pp.81-112.</w:t>
      </w:r>
    </w:p>
    <w:p w14:paraId="064219C2"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Corbin, J.M. and Strauss, A., 1990. Grounded theory research: Procedures, canons, and evaluative criteria. </w:t>
      </w:r>
      <w:r>
        <w:rPr>
          <w:i/>
          <w:iCs/>
          <w:color w:val="222222"/>
          <w:szCs w:val="24"/>
          <w:shd w:val="clear" w:color="auto" w:fill="FFFFFF"/>
        </w:rPr>
        <w:t>Qualitative sociology</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(1), pp.3-21.</w:t>
      </w:r>
    </w:p>
    <w:p w14:paraId="30E2D8DB"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Di Domenico, M., Haugh, H. and Tracey, P., 2010. Social bricolage: Theorizing social value creation in social enterprises. </w:t>
      </w:r>
      <w:r>
        <w:rPr>
          <w:i/>
          <w:iCs/>
          <w:color w:val="222222"/>
          <w:szCs w:val="24"/>
          <w:shd w:val="clear" w:color="auto" w:fill="FFFFFF"/>
        </w:rPr>
        <w:t>Entrepreneurship theory and practice</w:t>
      </w:r>
      <w:r>
        <w:rPr>
          <w:color w:val="222222"/>
          <w:szCs w:val="24"/>
          <w:shd w:val="clear" w:color="auto" w:fill="FFFFFF"/>
        </w:rPr>
        <w:t>, </w:t>
      </w:r>
      <w:r>
        <w:rPr>
          <w:i/>
          <w:iCs/>
          <w:color w:val="222222"/>
          <w:szCs w:val="24"/>
          <w:shd w:val="clear" w:color="auto" w:fill="FFFFFF"/>
        </w:rPr>
        <w:t>34</w:t>
      </w:r>
      <w:r>
        <w:rPr>
          <w:color w:val="222222"/>
          <w:szCs w:val="24"/>
          <w:shd w:val="clear" w:color="auto" w:fill="FFFFFF"/>
        </w:rPr>
        <w:t>(4), pp.681-703.</w:t>
      </w:r>
    </w:p>
    <w:p w14:paraId="09A617F0"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Ekvall, G., 1996. Organizational climate for creativity and innovation. </w:t>
      </w:r>
      <w:r>
        <w:rPr>
          <w:i/>
          <w:iCs/>
          <w:color w:val="222222"/>
          <w:szCs w:val="24"/>
          <w:shd w:val="clear" w:color="auto" w:fill="FFFFFF"/>
        </w:rPr>
        <w:t>European journal of work and organizational psychology</w:t>
      </w:r>
      <w:r>
        <w:rPr>
          <w:color w:val="222222"/>
          <w:szCs w:val="24"/>
          <w:shd w:val="clear" w:color="auto" w:fill="FFFFFF"/>
        </w:rPr>
        <w:t>, </w:t>
      </w:r>
      <w:r>
        <w:rPr>
          <w:i/>
          <w:iCs/>
          <w:color w:val="222222"/>
          <w:szCs w:val="24"/>
          <w:shd w:val="clear" w:color="auto" w:fill="FFFFFF"/>
        </w:rPr>
        <w:t>5</w:t>
      </w:r>
      <w:r>
        <w:rPr>
          <w:color w:val="222222"/>
          <w:szCs w:val="24"/>
          <w:shd w:val="clear" w:color="auto" w:fill="FFFFFF"/>
        </w:rPr>
        <w:t>(1), pp.105-123.</w:t>
      </w:r>
    </w:p>
    <w:p w14:paraId="43F10583"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Farrell, K.A. and Whidbee, D.A., 2000. The consequences of forced CEO succession for outside directors. </w:t>
      </w:r>
      <w:r>
        <w:rPr>
          <w:i/>
          <w:iCs/>
          <w:color w:val="222222"/>
          <w:szCs w:val="24"/>
          <w:shd w:val="clear" w:color="auto" w:fill="FFFFFF"/>
        </w:rPr>
        <w:t>The Journal of Business</w:t>
      </w:r>
      <w:r>
        <w:rPr>
          <w:color w:val="222222"/>
          <w:szCs w:val="24"/>
          <w:shd w:val="clear" w:color="auto" w:fill="FFFFFF"/>
        </w:rPr>
        <w:t>, </w:t>
      </w:r>
      <w:r>
        <w:rPr>
          <w:i/>
          <w:iCs/>
          <w:color w:val="222222"/>
          <w:szCs w:val="24"/>
          <w:shd w:val="clear" w:color="auto" w:fill="FFFFFF"/>
        </w:rPr>
        <w:t>73</w:t>
      </w:r>
      <w:r>
        <w:rPr>
          <w:color w:val="222222"/>
          <w:szCs w:val="24"/>
          <w:shd w:val="clear" w:color="auto" w:fill="FFFFFF"/>
        </w:rPr>
        <w:t>(4), pp.597-627.</w:t>
      </w:r>
    </w:p>
    <w:p w14:paraId="106D5CB1"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Farrell, K.A. and Whidbee, D.A., 2002. The impact of forced CEO turnover on committee structure. Journal of Managerial Issues, pp.49-67.</w:t>
      </w:r>
    </w:p>
    <w:p w14:paraId="4E89AD92"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Fondas, N. and Wiersema, M., 1997. Changing of the guard: The influence of CEO socialization on strategic change. </w:t>
      </w:r>
      <w:r>
        <w:rPr>
          <w:i/>
          <w:iCs/>
          <w:color w:val="222222"/>
          <w:szCs w:val="24"/>
          <w:shd w:val="clear" w:color="auto" w:fill="FFFFFF"/>
        </w:rPr>
        <w:t>Journal of Management Studies</w:t>
      </w:r>
      <w:r>
        <w:rPr>
          <w:color w:val="222222"/>
          <w:szCs w:val="24"/>
          <w:shd w:val="clear" w:color="auto" w:fill="FFFFFF"/>
        </w:rPr>
        <w:t>, </w:t>
      </w:r>
      <w:r>
        <w:rPr>
          <w:i/>
          <w:iCs/>
          <w:color w:val="222222"/>
          <w:szCs w:val="24"/>
          <w:shd w:val="clear" w:color="auto" w:fill="FFFFFF"/>
        </w:rPr>
        <w:t>34</w:t>
      </w:r>
      <w:r>
        <w:rPr>
          <w:color w:val="222222"/>
          <w:szCs w:val="24"/>
          <w:shd w:val="clear" w:color="auto" w:fill="FFFFFF"/>
        </w:rPr>
        <w:t>(4), pp.561-584.</w:t>
      </w:r>
    </w:p>
    <w:p w14:paraId="12D48785"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Gill, A., Fitzgerald, S., Bhutani, S., Mand, H. and Sharma, S., 2010. The relationship between transformational leadership and employee desire for empowerment. </w:t>
      </w:r>
      <w:r>
        <w:rPr>
          <w:i/>
          <w:iCs/>
          <w:color w:val="222222"/>
          <w:szCs w:val="24"/>
          <w:shd w:val="clear" w:color="auto" w:fill="FFFFFF"/>
        </w:rPr>
        <w:t>International journal of contemporary hospitality management</w:t>
      </w:r>
      <w:r>
        <w:rPr>
          <w:color w:val="222222"/>
          <w:szCs w:val="24"/>
          <w:shd w:val="clear" w:color="auto" w:fill="FFFFFF"/>
        </w:rPr>
        <w:t>.</w:t>
      </w:r>
    </w:p>
    <w:p w14:paraId="7E5FA5BF"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lastRenderedPageBreak/>
        <w:t>Golden, B.R. and Zajac, E.J., 2001. When will boards influence strategy? Inclination× power= strategic change. </w:t>
      </w:r>
      <w:r>
        <w:rPr>
          <w:i/>
          <w:iCs/>
          <w:color w:val="222222"/>
          <w:szCs w:val="24"/>
          <w:shd w:val="clear" w:color="auto" w:fill="FFFFFF"/>
        </w:rPr>
        <w:t>Strategic management journal</w:t>
      </w:r>
      <w:r>
        <w:rPr>
          <w:color w:val="222222"/>
          <w:szCs w:val="24"/>
          <w:shd w:val="clear" w:color="auto" w:fill="FFFFFF"/>
        </w:rPr>
        <w:t>, </w:t>
      </w:r>
      <w:r>
        <w:rPr>
          <w:i/>
          <w:iCs/>
          <w:color w:val="222222"/>
          <w:szCs w:val="24"/>
          <w:shd w:val="clear" w:color="auto" w:fill="FFFFFF"/>
        </w:rPr>
        <w:t>22</w:t>
      </w:r>
      <w:r>
        <w:rPr>
          <w:color w:val="222222"/>
          <w:szCs w:val="24"/>
          <w:shd w:val="clear" w:color="auto" w:fill="FFFFFF"/>
        </w:rPr>
        <w:t>(12), pp.1087-1111.</w:t>
      </w:r>
    </w:p>
    <w:p w14:paraId="36668593"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Gordon, S.S., Stewart Jr, W.H., Sweo, R. and Luker, W.A., 2000. Convergence versus strategic reorientation: The antecedents of fast-paced organizational change. </w:t>
      </w:r>
      <w:r>
        <w:rPr>
          <w:i/>
          <w:iCs/>
          <w:color w:val="222222"/>
          <w:szCs w:val="24"/>
          <w:shd w:val="clear" w:color="auto" w:fill="FFFFFF"/>
        </w:rPr>
        <w:t>Journal of management</w:t>
      </w:r>
      <w:r>
        <w:rPr>
          <w:color w:val="222222"/>
          <w:szCs w:val="24"/>
          <w:shd w:val="clear" w:color="auto" w:fill="FFFFFF"/>
        </w:rPr>
        <w:t>, </w:t>
      </w:r>
      <w:r>
        <w:rPr>
          <w:i/>
          <w:iCs/>
          <w:color w:val="222222"/>
          <w:szCs w:val="24"/>
          <w:shd w:val="clear" w:color="auto" w:fill="FFFFFF"/>
        </w:rPr>
        <w:t>26</w:t>
      </w:r>
      <w:r>
        <w:rPr>
          <w:color w:val="222222"/>
          <w:szCs w:val="24"/>
          <w:shd w:val="clear" w:color="auto" w:fill="FFFFFF"/>
        </w:rPr>
        <w:t>(5), pp.911-945.</w:t>
      </w:r>
    </w:p>
    <w:p w14:paraId="161F358B"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Hammersley, M., 2010. Aristotelian or Galileian? On a puzzle about the philosophical sources of analytic induction. </w:t>
      </w:r>
      <w:r>
        <w:rPr>
          <w:i/>
          <w:iCs/>
          <w:color w:val="222222"/>
          <w:szCs w:val="24"/>
          <w:shd w:val="clear" w:color="auto" w:fill="FFFFFF"/>
        </w:rPr>
        <w:t>Journal for the theory of social behaviour</w:t>
      </w:r>
      <w:r>
        <w:rPr>
          <w:color w:val="222222"/>
          <w:szCs w:val="24"/>
          <w:shd w:val="clear" w:color="auto" w:fill="FFFFFF"/>
        </w:rPr>
        <w:t>, </w:t>
      </w:r>
      <w:r>
        <w:rPr>
          <w:i/>
          <w:iCs/>
          <w:color w:val="222222"/>
          <w:szCs w:val="24"/>
          <w:shd w:val="clear" w:color="auto" w:fill="FFFFFF"/>
        </w:rPr>
        <w:t>40</w:t>
      </w:r>
      <w:r>
        <w:rPr>
          <w:color w:val="222222"/>
          <w:szCs w:val="24"/>
          <w:shd w:val="clear" w:color="auto" w:fill="FFFFFF"/>
        </w:rPr>
        <w:t>(4), pp.393-409.</w:t>
      </w:r>
    </w:p>
    <w:p w14:paraId="4655C081"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Haveman, H.A., Russo, M.V. and Meyer, A.D., 2001. Organizational environments in flux: The impact of regulatory punctuations on organizational domains, CEO succession, and performance. </w:t>
      </w:r>
      <w:r>
        <w:rPr>
          <w:i/>
          <w:iCs/>
          <w:color w:val="222222"/>
          <w:szCs w:val="24"/>
          <w:shd w:val="clear" w:color="auto" w:fill="FFFFFF"/>
        </w:rPr>
        <w:t>Organization science</w:t>
      </w:r>
      <w:r>
        <w:rPr>
          <w:color w:val="222222"/>
          <w:szCs w:val="24"/>
          <w:shd w:val="clear" w:color="auto" w:fill="FFFFFF"/>
        </w:rPr>
        <w:t>, </w:t>
      </w:r>
      <w:r>
        <w:rPr>
          <w:i/>
          <w:iCs/>
          <w:color w:val="222222"/>
          <w:szCs w:val="24"/>
          <w:shd w:val="clear" w:color="auto" w:fill="FFFFFF"/>
        </w:rPr>
        <w:t>12</w:t>
      </w:r>
      <w:r>
        <w:rPr>
          <w:color w:val="222222"/>
          <w:szCs w:val="24"/>
          <w:shd w:val="clear" w:color="auto" w:fill="FFFFFF"/>
        </w:rPr>
        <w:t>(3), pp.253-273.</w:t>
      </w:r>
    </w:p>
    <w:p w14:paraId="62C6F8BE"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Hogan, J., Rybicki, S.L. and Borman, W.C., 1998. Relations between contextual performance, personality, and occupational advancement. </w:t>
      </w:r>
      <w:r>
        <w:rPr>
          <w:i/>
          <w:iCs/>
          <w:color w:val="222222"/>
          <w:szCs w:val="24"/>
          <w:shd w:val="clear" w:color="auto" w:fill="FFFFFF"/>
        </w:rPr>
        <w:t>Human Performance</w:t>
      </w:r>
      <w:r>
        <w:rPr>
          <w:color w:val="222222"/>
          <w:szCs w:val="24"/>
          <w:shd w:val="clear" w:color="auto" w:fill="FFFFFF"/>
        </w:rPr>
        <w:t>, </w:t>
      </w:r>
      <w:r>
        <w:rPr>
          <w:i/>
          <w:iCs/>
          <w:color w:val="222222"/>
          <w:szCs w:val="24"/>
          <w:shd w:val="clear" w:color="auto" w:fill="FFFFFF"/>
        </w:rPr>
        <w:t>11</w:t>
      </w:r>
      <w:r>
        <w:rPr>
          <w:color w:val="222222"/>
          <w:szCs w:val="24"/>
          <w:shd w:val="clear" w:color="auto" w:fill="FFFFFF"/>
        </w:rPr>
        <w:t>(2-3), pp.189-207.</w:t>
      </w:r>
    </w:p>
    <w:p w14:paraId="06416FBD"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Huson, M.R., Parrino, R. and Starks, L.T., 2001. Internal monitoring mechanisms and CEO turnover: A long‐term perspective. </w:t>
      </w:r>
      <w:r>
        <w:rPr>
          <w:i/>
          <w:iCs/>
          <w:color w:val="222222"/>
          <w:szCs w:val="24"/>
          <w:shd w:val="clear" w:color="auto" w:fill="FFFFFF"/>
        </w:rPr>
        <w:t>the Journal of Finance</w:t>
      </w:r>
      <w:r>
        <w:rPr>
          <w:color w:val="222222"/>
          <w:szCs w:val="24"/>
          <w:shd w:val="clear" w:color="auto" w:fill="FFFFFF"/>
        </w:rPr>
        <w:t>, </w:t>
      </w:r>
      <w:r>
        <w:rPr>
          <w:i/>
          <w:iCs/>
          <w:color w:val="222222"/>
          <w:szCs w:val="24"/>
          <w:shd w:val="clear" w:color="auto" w:fill="FFFFFF"/>
        </w:rPr>
        <w:t>56</w:t>
      </w:r>
      <w:r>
        <w:rPr>
          <w:color w:val="222222"/>
          <w:szCs w:val="24"/>
          <w:shd w:val="clear" w:color="auto" w:fill="FFFFFF"/>
        </w:rPr>
        <w:t>(6), pp.2265-2297.</w:t>
      </w:r>
    </w:p>
    <w:p w14:paraId="1768498E"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Klarner, P. and Diefenbach, T., 2011. Employee emotions during organizational change—Towards a new research agenda. </w:t>
      </w:r>
      <w:r>
        <w:rPr>
          <w:i/>
          <w:iCs/>
          <w:color w:val="222222"/>
          <w:szCs w:val="24"/>
          <w:shd w:val="clear" w:color="auto" w:fill="FFFFFF"/>
        </w:rPr>
        <w:t>Scandinavian Journal of Management</w:t>
      </w:r>
      <w:r>
        <w:rPr>
          <w:color w:val="222222"/>
          <w:szCs w:val="24"/>
          <w:shd w:val="clear" w:color="auto" w:fill="FFFFFF"/>
        </w:rPr>
        <w:t>, </w:t>
      </w:r>
      <w:r>
        <w:rPr>
          <w:i/>
          <w:iCs/>
          <w:color w:val="222222"/>
          <w:szCs w:val="24"/>
          <w:shd w:val="clear" w:color="auto" w:fill="FFFFFF"/>
        </w:rPr>
        <w:t>27</w:t>
      </w:r>
      <w:r>
        <w:rPr>
          <w:color w:val="222222"/>
          <w:szCs w:val="24"/>
          <w:shd w:val="clear" w:color="auto" w:fill="FFFFFF"/>
        </w:rPr>
        <w:t>(3), pp.332-340.</w:t>
      </w:r>
    </w:p>
    <w:p w14:paraId="16DA804A"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lastRenderedPageBreak/>
        <w:t>Lok, P. and Crawford, J., 1999. The relationship between commitment and organizational culture, subculture, leadership style and job satisfaction in organizational change and development. </w:t>
      </w:r>
      <w:r>
        <w:rPr>
          <w:i/>
          <w:iCs/>
          <w:color w:val="222222"/>
          <w:szCs w:val="24"/>
          <w:shd w:val="clear" w:color="auto" w:fill="FFFFFF"/>
        </w:rPr>
        <w:t>Leadership &amp; Organization Development Journal</w:t>
      </w:r>
      <w:r>
        <w:rPr>
          <w:color w:val="222222"/>
          <w:szCs w:val="24"/>
          <w:shd w:val="clear" w:color="auto" w:fill="FFFFFF"/>
        </w:rPr>
        <w:t>.</w:t>
      </w:r>
    </w:p>
    <w:p w14:paraId="57785718"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Mezias, J., Grinyer, P. and Guth, W.D., 2001. Changing collective cognition: a process model for strategic change. </w:t>
      </w:r>
      <w:r>
        <w:rPr>
          <w:i/>
          <w:iCs/>
          <w:color w:val="222222"/>
          <w:szCs w:val="24"/>
          <w:shd w:val="clear" w:color="auto" w:fill="FFFFFF"/>
        </w:rPr>
        <w:t>Long range planning</w:t>
      </w:r>
      <w:r>
        <w:rPr>
          <w:color w:val="222222"/>
          <w:szCs w:val="24"/>
          <w:shd w:val="clear" w:color="auto" w:fill="FFFFFF"/>
        </w:rPr>
        <w:t>, </w:t>
      </w:r>
      <w:r>
        <w:rPr>
          <w:i/>
          <w:iCs/>
          <w:color w:val="222222"/>
          <w:szCs w:val="24"/>
          <w:shd w:val="clear" w:color="auto" w:fill="FFFFFF"/>
        </w:rPr>
        <w:t>34</w:t>
      </w:r>
      <w:r>
        <w:rPr>
          <w:color w:val="222222"/>
          <w:szCs w:val="24"/>
          <w:shd w:val="clear" w:color="auto" w:fill="FFFFFF"/>
        </w:rPr>
        <w:t>(1), pp.71-95.</w:t>
      </w:r>
    </w:p>
    <w:p w14:paraId="3EB2271C"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Morrison, E.W., 2011. Employee voice behavior: Integration and directions for future research. </w:t>
      </w:r>
      <w:r>
        <w:rPr>
          <w:i/>
          <w:iCs/>
          <w:color w:val="222222"/>
          <w:szCs w:val="24"/>
          <w:shd w:val="clear" w:color="auto" w:fill="FFFFFF"/>
        </w:rPr>
        <w:t>Academy of Management annals</w:t>
      </w:r>
      <w:r>
        <w:rPr>
          <w:color w:val="222222"/>
          <w:szCs w:val="24"/>
          <w:shd w:val="clear" w:color="auto" w:fill="FFFFFF"/>
        </w:rPr>
        <w:t>, </w:t>
      </w:r>
      <w:r>
        <w:rPr>
          <w:i/>
          <w:iCs/>
          <w:color w:val="222222"/>
          <w:szCs w:val="24"/>
          <w:shd w:val="clear" w:color="auto" w:fill="FFFFFF"/>
        </w:rPr>
        <w:t>5</w:t>
      </w:r>
      <w:r>
        <w:rPr>
          <w:color w:val="222222"/>
          <w:szCs w:val="24"/>
          <w:shd w:val="clear" w:color="auto" w:fill="FFFFFF"/>
        </w:rPr>
        <w:t>(1), pp.373-412.</w:t>
      </w:r>
    </w:p>
    <w:p w14:paraId="53932C85"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Moynihan, L.M. and Peterson, R.S., 2001. 7. A contingent configuration approach to understanding the role of personality in organizational groups. </w:t>
      </w:r>
      <w:r>
        <w:rPr>
          <w:i/>
          <w:iCs/>
          <w:color w:val="222222"/>
          <w:szCs w:val="24"/>
          <w:shd w:val="clear" w:color="auto" w:fill="FFFFFF"/>
        </w:rPr>
        <w:t>Research in organizational behavior</w:t>
      </w:r>
      <w:r>
        <w:rPr>
          <w:color w:val="222222"/>
          <w:szCs w:val="24"/>
          <w:shd w:val="clear" w:color="auto" w:fill="FFFFFF"/>
        </w:rPr>
        <w:t>, </w:t>
      </w:r>
      <w:r>
        <w:rPr>
          <w:i/>
          <w:iCs/>
          <w:color w:val="222222"/>
          <w:szCs w:val="24"/>
          <w:shd w:val="clear" w:color="auto" w:fill="FFFFFF"/>
        </w:rPr>
        <w:t>23</w:t>
      </w:r>
      <w:r>
        <w:rPr>
          <w:color w:val="222222"/>
          <w:szCs w:val="24"/>
          <w:shd w:val="clear" w:color="auto" w:fill="FFFFFF"/>
        </w:rPr>
        <w:t>, pp.327-378.</w:t>
      </w:r>
    </w:p>
    <w:p w14:paraId="501FD1DE"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Pettigrew, A.M., 1990. Longitudinal field research on change: Theory and practice. </w:t>
      </w:r>
      <w:r>
        <w:rPr>
          <w:i/>
          <w:iCs/>
          <w:color w:val="222222"/>
          <w:szCs w:val="24"/>
          <w:shd w:val="clear" w:color="auto" w:fill="FFFFFF"/>
        </w:rPr>
        <w:t>Organization science</w:t>
      </w:r>
      <w:r>
        <w:rPr>
          <w:color w:val="222222"/>
          <w:szCs w:val="24"/>
          <w:shd w:val="clear" w:color="auto" w:fill="FFFFFF"/>
        </w:rPr>
        <w:t>, </w:t>
      </w:r>
      <w:r>
        <w:rPr>
          <w:i/>
          <w:iCs/>
          <w:color w:val="222222"/>
          <w:szCs w:val="24"/>
          <w:shd w:val="clear" w:color="auto" w:fill="FFFFFF"/>
        </w:rPr>
        <w:t>1</w:t>
      </w:r>
      <w:r>
        <w:rPr>
          <w:color w:val="222222"/>
          <w:szCs w:val="24"/>
          <w:shd w:val="clear" w:color="auto" w:fill="FFFFFF"/>
        </w:rPr>
        <w:t>(3), pp.267-292.</w:t>
      </w:r>
    </w:p>
    <w:p w14:paraId="6FC30C89"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Pradipta, K.A., Ginting, Y.N.B., Azmir, M., Putra, M.A.W.Y., Swardika, I.K., Sugirianta, I.B.K., Budiada, M. and Suparta, I.N., 2023. Monitoring Lokasi Buggy (Club Car) di The Ritz-Carlton, Bali dengan Aplikasi Telegram Bot. </w:t>
      </w:r>
      <w:r>
        <w:rPr>
          <w:i/>
          <w:iCs/>
          <w:color w:val="222222"/>
          <w:szCs w:val="24"/>
          <w:shd w:val="clear" w:color="auto" w:fill="FFFFFF"/>
        </w:rPr>
        <w:t>Jurnal Dummy</w:t>
      </w:r>
      <w:r>
        <w:rPr>
          <w:color w:val="222222"/>
          <w:szCs w:val="24"/>
          <w:shd w:val="clear" w:color="auto" w:fill="FFFFFF"/>
        </w:rPr>
        <w:t>, </w:t>
      </w:r>
      <w:r>
        <w:rPr>
          <w:i/>
          <w:iCs/>
          <w:color w:val="222222"/>
          <w:szCs w:val="24"/>
          <w:shd w:val="clear" w:color="auto" w:fill="FFFFFF"/>
        </w:rPr>
        <w:t>1</w:t>
      </w:r>
      <w:r>
        <w:rPr>
          <w:color w:val="222222"/>
          <w:szCs w:val="24"/>
          <w:shd w:val="clear" w:color="auto" w:fill="FFFFFF"/>
        </w:rPr>
        <w:t>(1), pp.20-24.</w:t>
      </w:r>
    </w:p>
    <w:p w14:paraId="28C4CA46"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Sakano, T. and Lewin, A.Y., 1999. Impact of CEO succession in Japanese companies: A coevolutionary perspective. </w:t>
      </w:r>
      <w:r>
        <w:rPr>
          <w:i/>
          <w:iCs/>
          <w:color w:val="222222"/>
          <w:szCs w:val="24"/>
          <w:shd w:val="clear" w:color="auto" w:fill="FFFFFF"/>
        </w:rPr>
        <w:t>Organization Science</w:t>
      </w:r>
      <w:r>
        <w:rPr>
          <w:color w:val="222222"/>
          <w:szCs w:val="24"/>
          <w:shd w:val="clear" w:color="auto" w:fill="FFFFFF"/>
        </w:rPr>
        <w:t>, </w:t>
      </w:r>
      <w:r>
        <w:rPr>
          <w:i/>
          <w:iCs/>
          <w:color w:val="222222"/>
          <w:szCs w:val="24"/>
          <w:shd w:val="clear" w:color="auto" w:fill="FFFFFF"/>
        </w:rPr>
        <w:t>10</w:t>
      </w:r>
      <w:r>
        <w:rPr>
          <w:color w:val="222222"/>
          <w:szCs w:val="24"/>
          <w:shd w:val="clear" w:color="auto" w:fill="FFFFFF"/>
        </w:rPr>
        <w:t>(5), pp.654-671.</w:t>
      </w:r>
    </w:p>
    <w:p w14:paraId="2090A57D"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lastRenderedPageBreak/>
        <w:t>Senyard, J., Baker, T., Steffens, P. and Davidsson, P., 2014. Bricolage as a path to innovativeness for resource‐constrained new firms. </w:t>
      </w:r>
      <w:r>
        <w:rPr>
          <w:i/>
          <w:iCs/>
          <w:color w:val="222222"/>
          <w:szCs w:val="24"/>
          <w:shd w:val="clear" w:color="auto" w:fill="FFFFFF"/>
        </w:rPr>
        <w:t>Journal of Product Innovation Management</w:t>
      </w:r>
      <w:r>
        <w:rPr>
          <w:color w:val="222222"/>
          <w:szCs w:val="24"/>
          <w:shd w:val="clear" w:color="auto" w:fill="FFFFFF"/>
        </w:rPr>
        <w:t>, </w:t>
      </w:r>
      <w:r>
        <w:rPr>
          <w:i/>
          <w:iCs/>
          <w:color w:val="222222"/>
          <w:szCs w:val="24"/>
          <w:shd w:val="clear" w:color="auto" w:fill="FFFFFF"/>
        </w:rPr>
        <w:t>31</w:t>
      </w:r>
      <w:r>
        <w:rPr>
          <w:color w:val="222222"/>
          <w:szCs w:val="24"/>
          <w:shd w:val="clear" w:color="auto" w:fill="FFFFFF"/>
        </w:rPr>
        <w:t>(2), pp.211-230.</w:t>
      </w:r>
    </w:p>
    <w:p w14:paraId="68297FE1"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Shirey, M.R., 2013. Lewin’s theory of planned change as a strategic resource. </w:t>
      </w:r>
      <w:r>
        <w:rPr>
          <w:i/>
          <w:iCs/>
          <w:color w:val="222222"/>
          <w:szCs w:val="24"/>
          <w:shd w:val="clear" w:color="auto" w:fill="FFFFFF"/>
        </w:rPr>
        <w:t>The Journal of Nursing Administration</w:t>
      </w:r>
      <w:r>
        <w:rPr>
          <w:color w:val="222222"/>
          <w:szCs w:val="24"/>
          <w:shd w:val="clear" w:color="auto" w:fill="FFFFFF"/>
        </w:rPr>
        <w:t>, </w:t>
      </w:r>
      <w:r>
        <w:rPr>
          <w:i/>
          <w:iCs/>
          <w:color w:val="222222"/>
          <w:szCs w:val="24"/>
          <w:shd w:val="clear" w:color="auto" w:fill="FFFFFF"/>
        </w:rPr>
        <w:t>43</w:t>
      </w:r>
      <w:r>
        <w:rPr>
          <w:color w:val="222222"/>
          <w:szCs w:val="24"/>
          <w:shd w:val="clear" w:color="auto" w:fill="FFFFFF"/>
        </w:rPr>
        <w:t>(2), pp.69-72.</w:t>
      </w:r>
    </w:p>
    <w:p w14:paraId="1B1BC1EB"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Simons, T., Pelled, L.H. and Smith, K.A., 1999. Making use of difference: Diversity, debate, and decision comprehensiveness in top management teams. </w:t>
      </w:r>
      <w:r>
        <w:rPr>
          <w:i/>
          <w:iCs/>
          <w:color w:val="222222"/>
          <w:szCs w:val="24"/>
          <w:shd w:val="clear" w:color="auto" w:fill="FFFFFF"/>
        </w:rPr>
        <w:t>Academy of management journal</w:t>
      </w:r>
      <w:r>
        <w:rPr>
          <w:color w:val="222222"/>
          <w:szCs w:val="24"/>
          <w:shd w:val="clear" w:color="auto" w:fill="FFFFFF"/>
        </w:rPr>
        <w:t>, </w:t>
      </w:r>
      <w:r>
        <w:rPr>
          <w:i/>
          <w:iCs/>
          <w:color w:val="222222"/>
          <w:szCs w:val="24"/>
          <w:shd w:val="clear" w:color="auto" w:fill="FFFFFF"/>
        </w:rPr>
        <w:t>42</w:t>
      </w:r>
      <w:r>
        <w:rPr>
          <w:color w:val="222222"/>
          <w:szCs w:val="24"/>
          <w:shd w:val="clear" w:color="auto" w:fill="FFFFFF"/>
        </w:rPr>
        <w:t>(6), pp.662-673.</w:t>
      </w:r>
    </w:p>
    <w:p w14:paraId="12EB0C6C"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Song, M., Calantone, R.J. and Di Benedetto, C.A., 2002. Competitive forces and strategic choice decisions: An experimental investigation in the United States and Japan. </w:t>
      </w:r>
      <w:r>
        <w:rPr>
          <w:i/>
          <w:iCs/>
          <w:color w:val="222222"/>
          <w:szCs w:val="24"/>
          <w:shd w:val="clear" w:color="auto" w:fill="FFFFFF"/>
        </w:rPr>
        <w:t>Strategic Management Journal</w:t>
      </w:r>
      <w:r>
        <w:rPr>
          <w:color w:val="222222"/>
          <w:szCs w:val="24"/>
          <w:shd w:val="clear" w:color="auto" w:fill="FFFFFF"/>
        </w:rPr>
        <w:t>, </w:t>
      </w:r>
      <w:r>
        <w:rPr>
          <w:i/>
          <w:iCs/>
          <w:color w:val="222222"/>
          <w:szCs w:val="24"/>
          <w:shd w:val="clear" w:color="auto" w:fill="FFFFFF"/>
        </w:rPr>
        <w:t>23</w:t>
      </w:r>
      <w:r>
        <w:rPr>
          <w:color w:val="222222"/>
          <w:szCs w:val="24"/>
          <w:shd w:val="clear" w:color="auto" w:fill="FFFFFF"/>
        </w:rPr>
        <w:t>(10), pp.969-978.</w:t>
      </w:r>
    </w:p>
    <w:p w14:paraId="5E48399D"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Tahura, U.S., 2022. </w:t>
      </w:r>
      <w:r>
        <w:rPr>
          <w:i/>
          <w:iCs/>
          <w:color w:val="222222"/>
          <w:szCs w:val="24"/>
          <w:shd w:val="clear" w:color="auto" w:fill="FFFFFF"/>
        </w:rPr>
        <w:t>Case management in reducing case backlogs: potential adaptation from the New South Wales district court to Bangladesh civil trial courts</w:t>
      </w:r>
      <w:r>
        <w:rPr>
          <w:color w:val="222222"/>
          <w:szCs w:val="24"/>
          <w:shd w:val="clear" w:color="auto" w:fill="FFFFFF"/>
        </w:rPr>
        <w:t> (Doctoral dissertation, Macquarie University).</w:t>
      </w:r>
    </w:p>
    <w:p w14:paraId="13D72696" w14:textId="77777777" w:rsidR="00A41341" w:rsidRDefault="00DE083A">
      <w:pPr>
        <w:spacing w:before="240" w:after="240" w:line="480" w:lineRule="auto"/>
        <w:ind w:left="420" w:hanging="420"/>
        <w:rPr>
          <w:szCs w:val="24"/>
        </w:rPr>
      </w:pPr>
      <w:r>
        <w:rPr>
          <w:color w:val="222222"/>
          <w:szCs w:val="24"/>
          <w:shd w:val="clear" w:color="auto" w:fill="FFFFFF"/>
        </w:rPr>
        <w:t>Walker, K.D., 2023. Force-Field Analysis. In </w:t>
      </w:r>
      <w:r>
        <w:rPr>
          <w:i/>
          <w:iCs/>
          <w:color w:val="222222"/>
          <w:szCs w:val="24"/>
          <w:shd w:val="clear" w:color="auto" w:fill="FFFFFF"/>
        </w:rPr>
        <w:t>Varieties of Qualitative Research Methods: Selected Contextual Perspectives</w:t>
      </w:r>
      <w:r>
        <w:rPr>
          <w:color w:val="222222"/>
          <w:szCs w:val="24"/>
          <w:shd w:val="clear" w:color="auto" w:fill="FFFFFF"/>
        </w:rPr>
        <w:t> (pp. 197-201). Cham: Springer International Publishing.</w:t>
      </w:r>
    </w:p>
    <w:p w14:paraId="3FF00735"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Wenzel, M., Danner-Schröder, A. and Spee, A.P., 2021. Dynamic capabilities? Unleashing their dynamics through a practice perspective on organizational routines. Journal of Management Inquiry, 30(4), pp.395-406.</w:t>
      </w:r>
    </w:p>
    <w:p w14:paraId="7651575D"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lastRenderedPageBreak/>
        <w:t>Westphal, J.D. and Fredrickson, J.W., 2001. Who directs strategic change? Director experience, the selection of new CEOs, and change in corporate strategy. </w:t>
      </w:r>
      <w:r>
        <w:rPr>
          <w:i/>
          <w:iCs/>
          <w:color w:val="222222"/>
          <w:szCs w:val="24"/>
          <w:shd w:val="clear" w:color="auto" w:fill="FFFFFF"/>
        </w:rPr>
        <w:t>Strategic Management Journal</w:t>
      </w:r>
      <w:r>
        <w:rPr>
          <w:color w:val="222222"/>
          <w:szCs w:val="24"/>
          <w:shd w:val="clear" w:color="auto" w:fill="FFFFFF"/>
        </w:rPr>
        <w:t>, </w:t>
      </w:r>
      <w:r>
        <w:rPr>
          <w:i/>
          <w:iCs/>
          <w:color w:val="222222"/>
          <w:szCs w:val="24"/>
          <w:shd w:val="clear" w:color="auto" w:fill="FFFFFF"/>
        </w:rPr>
        <w:t>22</w:t>
      </w:r>
      <w:r>
        <w:rPr>
          <w:color w:val="222222"/>
          <w:szCs w:val="24"/>
          <w:shd w:val="clear" w:color="auto" w:fill="FFFFFF"/>
        </w:rPr>
        <w:t>(12), pp.1113-1137.</w:t>
      </w:r>
    </w:p>
    <w:p w14:paraId="29918632"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Wilson, E.J. and Vlosky, R.P., 1997. Partnering relationship activities: building theory from case study research. </w:t>
      </w:r>
      <w:r>
        <w:rPr>
          <w:i/>
          <w:iCs/>
          <w:color w:val="222222"/>
          <w:szCs w:val="24"/>
          <w:shd w:val="clear" w:color="auto" w:fill="FFFFFF"/>
        </w:rPr>
        <w:t>Journal of Business research</w:t>
      </w:r>
      <w:r>
        <w:rPr>
          <w:color w:val="222222"/>
          <w:szCs w:val="24"/>
          <w:shd w:val="clear" w:color="auto" w:fill="FFFFFF"/>
        </w:rPr>
        <w:t>, </w:t>
      </w:r>
      <w:r>
        <w:rPr>
          <w:i/>
          <w:iCs/>
          <w:color w:val="222222"/>
          <w:szCs w:val="24"/>
          <w:shd w:val="clear" w:color="auto" w:fill="FFFFFF"/>
        </w:rPr>
        <w:t>39</w:t>
      </w:r>
      <w:r>
        <w:rPr>
          <w:color w:val="222222"/>
          <w:szCs w:val="24"/>
          <w:shd w:val="clear" w:color="auto" w:fill="FFFFFF"/>
        </w:rPr>
        <w:t>(1), pp.59-70.</w:t>
      </w:r>
    </w:p>
    <w:p w14:paraId="4ED5E5EF" w14:textId="77777777" w:rsidR="00A41341" w:rsidRDefault="00DE083A">
      <w:pPr>
        <w:spacing w:before="240" w:after="240" w:line="480" w:lineRule="auto"/>
        <w:ind w:left="420" w:hanging="420"/>
        <w:rPr>
          <w:color w:val="222222"/>
          <w:szCs w:val="24"/>
          <w:shd w:val="clear" w:color="auto" w:fill="FFFFFF"/>
        </w:rPr>
      </w:pPr>
      <w:r>
        <w:rPr>
          <w:color w:val="222222"/>
          <w:szCs w:val="24"/>
          <w:shd w:val="clear" w:color="auto" w:fill="FFFFFF"/>
        </w:rPr>
        <w:t>Wu, J.B., Tsui, A.S. and Kinicki, A.J., 2010. Consequences of differentiated leadership in groups. </w:t>
      </w:r>
      <w:r>
        <w:rPr>
          <w:i/>
          <w:iCs/>
          <w:color w:val="222222"/>
          <w:szCs w:val="24"/>
          <w:shd w:val="clear" w:color="auto" w:fill="FFFFFF"/>
        </w:rPr>
        <w:t>Academy of Management journal</w:t>
      </w:r>
      <w:r>
        <w:rPr>
          <w:color w:val="222222"/>
          <w:szCs w:val="24"/>
          <w:shd w:val="clear" w:color="auto" w:fill="FFFFFF"/>
        </w:rPr>
        <w:t>, </w:t>
      </w:r>
      <w:r>
        <w:rPr>
          <w:i/>
          <w:iCs/>
          <w:color w:val="222222"/>
          <w:szCs w:val="24"/>
          <w:shd w:val="clear" w:color="auto" w:fill="FFFFFF"/>
        </w:rPr>
        <w:t>53</w:t>
      </w:r>
      <w:r>
        <w:rPr>
          <w:color w:val="222222"/>
          <w:szCs w:val="24"/>
          <w:shd w:val="clear" w:color="auto" w:fill="FFFFFF"/>
        </w:rPr>
        <w:t>(1), pp.90-106.</w:t>
      </w:r>
    </w:p>
    <w:p w14:paraId="7EE2DD62" w14:textId="77777777" w:rsidR="00A41341" w:rsidRDefault="00DE083A">
      <w:pPr>
        <w:spacing w:before="240" w:after="240" w:line="480" w:lineRule="auto"/>
        <w:ind w:left="420" w:hanging="420"/>
        <w:contextualSpacing/>
        <w:rPr>
          <w:color w:val="222222"/>
          <w:szCs w:val="24"/>
          <w:shd w:val="clear" w:color="auto" w:fill="FFFFFF"/>
        </w:rPr>
      </w:pPr>
      <w:r>
        <w:rPr>
          <w:color w:val="222222"/>
          <w:szCs w:val="24"/>
          <w:shd w:val="clear" w:color="auto" w:fill="FFFFFF"/>
        </w:rPr>
        <w:t>Zollo, M. and Winter, S.G., 2002. Deliberate learning and the evolution of dynamic capabilities. </w:t>
      </w:r>
      <w:r>
        <w:rPr>
          <w:i/>
          <w:iCs/>
          <w:color w:val="222222"/>
          <w:szCs w:val="24"/>
          <w:shd w:val="clear" w:color="auto" w:fill="FFFFFF"/>
        </w:rPr>
        <w:t>Organization science</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(3), pp.339-351.</w:t>
      </w:r>
    </w:p>
    <w:p w14:paraId="6053F774" w14:textId="77777777" w:rsidR="00A41341" w:rsidRDefault="00DE083A">
      <w:pPr>
        <w:spacing w:before="240" w:after="240" w:line="480" w:lineRule="auto"/>
        <w:ind w:left="420" w:hanging="420"/>
        <w:contextualSpacing/>
        <w:rPr>
          <w:rFonts w:eastAsia="宋体"/>
          <w:color w:val="222222"/>
          <w:szCs w:val="24"/>
          <w:shd w:val="clear" w:color="auto" w:fill="FFFFFF"/>
          <w:lang w:val="en-US" w:eastAsia="zh-CN"/>
        </w:rPr>
      </w:pPr>
      <w:r>
        <w:rPr>
          <w:rFonts w:eastAsia="宋体" w:hint="eastAsia"/>
          <w:color w:val="222222"/>
          <w:szCs w:val="24"/>
          <w:shd w:val="clear" w:color="auto" w:fill="FFFFFF"/>
          <w:lang w:val="en-US" w:eastAsia="zh-CN"/>
        </w:rPr>
        <w:t>Mert Aktas</w:t>
      </w:r>
      <w:r>
        <w:rPr>
          <w:color w:val="222222"/>
          <w:szCs w:val="24"/>
          <w:shd w:val="clear" w:color="auto" w:fill="FFFFFF"/>
        </w:rPr>
        <w:t>, 20</w:t>
      </w:r>
      <w:r>
        <w:rPr>
          <w:rFonts w:eastAsia="宋体" w:hint="eastAsia"/>
          <w:color w:val="222222"/>
          <w:szCs w:val="24"/>
          <w:shd w:val="clear" w:color="auto" w:fill="FFFFFF"/>
          <w:lang w:val="en-US" w:eastAsia="zh-CN"/>
        </w:rPr>
        <w:t>23</w:t>
      </w:r>
      <w:r>
        <w:rPr>
          <w:color w:val="222222"/>
          <w:szCs w:val="24"/>
          <w:shd w:val="clear" w:color="auto" w:fill="FFFFFF"/>
        </w:rPr>
        <w:t xml:space="preserve">. </w:t>
      </w:r>
      <w:r>
        <w:rPr>
          <w:rFonts w:eastAsia="宋体" w:hint="eastAsia"/>
          <w:color w:val="222222"/>
          <w:szCs w:val="24"/>
          <w:shd w:val="clear" w:color="auto" w:fill="FFFFFF"/>
          <w:lang w:val="en-US" w:eastAsia="zh-CN"/>
        </w:rPr>
        <w:t>What is Kotter</w:t>
      </w:r>
      <w:r>
        <w:rPr>
          <w:rFonts w:eastAsia="宋体"/>
          <w:color w:val="222222"/>
          <w:szCs w:val="24"/>
          <w:shd w:val="clear" w:color="auto" w:fill="FFFFFF"/>
          <w:lang w:val="en-US" w:eastAsia="zh-CN"/>
        </w:rPr>
        <w:t>’</w:t>
      </w:r>
      <w:r>
        <w:rPr>
          <w:rFonts w:eastAsia="宋体" w:hint="eastAsia"/>
          <w:color w:val="222222"/>
          <w:szCs w:val="24"/>
          <w:shd w:val="clear" w:color="auto" w:fill="FFFFFF"/>
          <w:lang w:val="en-US" w:eastAsia="zh-CN"/>
        </w:rPr>
        <w:t>s 8 Step Change Management Model</w:t>
      </w:r>
      <w:r>
        <w:rPr>
          <w:color w:val="222222"/>
          <w:szCs w:val="24"/>
          <w:shd w:val="clear" w:color="auto" w:fill="FFFFFF"/>
        </w:rPr>
        <w:t>. </w:t>
      </w:r>
      <w:r>
        <w:rPr>
          <w:rFonts w:eastAsia="宋体" w:hint="eastAsia"/>
          <w:i/>
          <w:iCs/>
          <w:color w:val="222222"/>
          <w:szCs w:val="24"/>
          <w:shd w:val="clear" w:color="auto" w:fill="FFFFFF"/>
          <w:lang w:val="en-US" w:eastAsia="zh-CN"/>
        </w:rPr>
        <w:t>UserGuilding</w:t>
      </w:r>
      <w:r>
        <w:rPr>
          <w:color w:val="222222"/>
          <w:szCs w:val="24"/>
          <w:shd w:val="clear" w:color="auto" w:fill="FFFFFF"/>
        </w:rPr>
        <w:t>, </w:t>
      </w:r>
      <w:r>
        <w:rPr>
          <w:rFonts w:eastAsia="宋体" w:hint="eastAsia"/>
          <w:i/>
          <w:iCs/>
          <w:color w:val="222222"/>
          <w:szCs w:val="24"/>
          <w:shd w:val="clear" w:color="auto" w:fill="FFFFFF"/>
          <w:lang w:val="en-US" w:eastAsia="zh-CN"/>
        </w:rPr>
        <w:t>6</w:t>
      </w:r>
      <w:r>
        <w:rPr>
          <w:color w:val="222222"/>
          <w:szCs w:val="24"/>
          <w:shd w:val="clear" w:color="auto" w:fill="FFFFFF"/>
        </w:rPr>
        <w:t>(</w:t>
      </w:r>
      <w:r>
        <w:rPr>
          <w:rFonts w:eastAsia="宋体" w:hint="eastAsia"/>
          <w:color w:val="222222"/>
          <w:szCs w:val="24"/>
          <w:shd w:val="clear" w:color="auto" w:fill="FFFFFF"/>
          <w:lang w:val="en-US" w:eastAsia="zh-CN"/>
        </w:rPr>
        <w:t>202</w:t>
      </w:r>
      <w:r>
        <w:rPr>
          <w:color w:val="222222"/>
          <w:szCs w:val="24"/>
          <w:shd w:val="clear" w:color="auto" w:fill="FFFFFF"/>
        </w:rPr>
        <w:t>3)</w:t>
      </w:r>
      <w:r>
        <w:rPr>
          <w:rFonts w:eastAsia="宋体" w:hint="eastAsia"/>
          <w:color w:val="222222"/>
          <w:szCs w:val="24"/>
          <w:shd w:val="clear" w:color="auto" w:fill="FFFFFF"/>
          <w:lang w:val="en-US" w:eastAsia="zh-CN"/>
        </w:rPr>
        <w:t>.</w:t>
      </w:r>
    </w:p>
    <w:p w14:paraId="10490AEA" w14:textId="77777777" w:rsidR="00A41341" w:rsidRDefault="00A41341">
      <w:pPr>
        <w:spacing w:before="240" w:after="240" w:line="480" w:lineRule="auto"/>
        <w:contextualSpacing/>
        <w:rPr>
          <w:szCs w:val="24"/>
        </w:rPr>
      </w:pPr>
    </w:p>
    <w:p w14:paraId="5D346A74" w14:textId="77777777" w:rsidR="00A41341" w:rsidRDefault="00A41341">
      <w:pPr>
        <w:spacing w:before="240" w:after="240" w:line="480" w:lineRule="auto"/>
        <w:contextualSpacing/>
        <w:rPr>
          <w:szCs w:val="24"/>
        </w:rPr>
      </w:pPr>
    </w:p>
    <w:sectPr w:rsidR="00A41341">
      <w:head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60CEC" w14:textId="77777777" w:rsidR="009D3BF0" w:rsidRDefault="009D3BF0">
      <w:r>
        <w:separator/>
      </w:r>
    </w:p>
  </w:endnote>
  <w:endnote w:type="continuationSeparator" w:id="0">
    <w:p w14:paraId="5D1271CA" w14:textId="77777777" w:rsidR="009D3BF0" w:rsidRDefault="009D3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C7FC1" w14:textId="77777777" w:rsidR="009D3BF0" w:rsidRDefault="009D3BF0">
      <w:r>
        <w:separator/>
      </w:r>
    </w:p>
  </w:footnote>
  <w:footnote w:type="continuationSeparator" w:id="0">
    <w:p w14:paraId="6D84A61D" w14:textId="77777777" w:rsidR="009D3BF0" w:rsidRDefault="009D3B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62138"/>
      <w:docPartObj>
        <w:docPartGallery w:val="AutoText"/>
      </w:docPartObj>
    </w:sdtPr>
    <w:sdtEndPr>
      <w:rPr>
        <w:szCs w:val="24"/>
      </w:rPr>
    </w:sdtEndPr>
    <w:sdtContent>
      <w:p w14:paraId="7CCEB29F" w14:textId="77777777" w:rsidR="00A41341" w:rsidRDefault="00DE083A">
        <w:pPr>
          <w:pStyle w:val="a5"/>
          <w:jc w:val="right"/>
          <w:rPr>
            <w:szCs w:val="24"/>
          </w:rPr>
        </w:pPr>
        <w:r>
          <w:rPr>
            <w:szCs w:val="24"/>
          </w:rPr>
          <w:fldChar w:fldCharType="begin"/>
        </w:r>
        <w:r>
          <w:rPr>
            <w:szCs w:val="24"/>
          </w:rPr>
          <w:instrText xml:space="preserve"> PAGE   \* MERGEFORMAT </w:instrText>
        </w:r>
        <w:r>
          <w:rPr>
            <w:szCs w:val="24"/>
          </w:rPr>
          <w:fldChar w:fldCharType="separate"/>
        </w:r>
        <w:r w:rsidR="0057038B">
          <w:rPr>
            <w:noProof/>
            <w:szCs w:val="24"/>
          </w:rPr>
          <w:t>1</w:t>
        </w:r>
        <w:r>
          <w:rPr>
            <w:szCs w:val="24"/>
          </w:rPr>
          <w:fldChar w:fldCharType="end"/>
        </w:r>
      </w:p>
    </w:sdtContent>
  </w:sdt>
  <w:p w14:paraId="20A7732D" w14:textId="77777777" w:rsidR="00A41341" w:rsidRDefault="00A41341">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060F3"/>
    <w:multiLevelType w:val="multilevel"/>
    <w:tmpl w:val="588060F3"/>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28296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WJjZjhjMGYwMWJlZmMwYTZmMjI1MzQwNTU1YTNlNmYifQ=="/>
  </w:docVars>
  <w:rsids>
    <w:rsidRoot w:val="4B2C4971"/>
    <w:rsid w:val="00011F94"/>
    <w:rsid w:val="000260CB"/>
    <w:rsid w:val="000316B1"/>
    <w:rsid w:val="0003292B"/>
    <w:rsid w:val="00035A7B"/>
    <w:rsid w:val="00054D8E"/>
    <w:rsid w:val="00062E77"/>
    <w:rsid w:val="000669B0"/>
    <w:rsid w:val="000746D2"/>
    <w:rsid w:val="00074A45"/>
    <w:rsid w:val="000902E3"/>
    <w:rsid w:val="000924D0"/>
    <w:rsid w:val="000D1E88"/>
    <w:rsid w:val="000D57AC"/>
    <w:rsid w:val="000D6B23"/>
    <w:rsid w:val="000E224A"/>
    <w:rsid w:val="000E2511"/>
    <w:rsid w:val="001077CC"/>
    <w:rsid w:val="001224C2"/>
    <w:rsid w:val="00160213"/>
    <w:rsid w:val="001645D7"/>
    <w:rsid w:val="001658C2"/>
    <w:rsid w:val="00172EE7"/>
    <w:rsid w:val="001825E1"/>
    <w:rsid w:val="00186FB4"/>
    <w:rsid w:val="001A7D6D"/>
    <w:rsid w:val="001B201C"/>
    <w:rsid w:val="001C5B89"/>
    <w:rsid w:val="001D4854"/>
    <w:rsid w:val="001D4E63"/>
    <w:rsid w:val="001E3219"/>
    <w:rsid w:val="00203EF5"/>
    <w:rsid w:val="00214DB9"/>
    <w:rsid w:val="00217257"/>
    <w:rsid w:val="002179AE"/>
    <w:rsid w:val="0022306E"/>
    <w:rsid w:val="002251BA"/>
    <w:rsid w:val="00243C4F"/>
    <w:rsid w:val="00263A46"/>
    <w:rsid w:val="00265089"/>
    <w:rsid w:val="0026593B"/>
    <w:rsid w:val="00271C45"/>
    <w:rsid w:val="002A4044"/>
    <w:rsid w:val="002A6B78"/>
    <w:rsid w:val="002C0A51"/>
    <w:rsid w:val="002C3423"/>
    <w:rsid w:val="002C71F7"/>
    <w:rsid w:val="002E15BE"/>
    <w:rsid w:val="003110F9"/>
    <w:rsid w:val="003157F0"/>
    <w:rsid w:val="003204D7"/>
    <w:rsid w:val="003310C8"/>
    <w:rsid w:val="00337C1B"/>
    <w:rsid w:val="00342047"/>
    <w:rsid w:val="0035305D"/>
    <w:rsid w:val="00367536"/>
    <w:rsid w:val="00376581"/>
    <w:rsid w:val="003A27E2"/>
    <w:rsid w:val="003A42A2"/>
    <w:rsid w:val="003B0462"/>
    <w:rsid w:val="003B1090"/>
    <w:rsid w:val="003B3CAE"/>
    <w:rsid w:val="003B5CE8"/>
    <w:rsid w:val="003C3E19"/>
    <w:rsid w:val="003C43EA"/>
    <w:rsid w:val="003D00F2"/>
    <w:rsid w:val="003E2229"/>
    <w:rsid w:val="003F1B23"/>
    <w:rsid w:val="003F409C"/>
    <w:rsid w:val="004210E4"/>
    <w:rsid w:val="00442012"/>
    <w:rsid w:val="004476B5"/>
    <w:rsid w:val="00447C5E"/>
    <w:rsid w:val="004560CC"/>
    <w:rsid w:val="004657DB"/>
    <w:rsid w:val="0047332E"/>
    <w:rsid w:val="004745F1"/>
    <w:rsid w:val="00475E94"/>
    <w:rsid w:val="00477E1B"/>
    <w:rsid w:val="00480C9D"/>
    <w:rsid w:val="004821F8"/>
    <w:rsid w:val="004A5188"/>
    <w:rsid w:val="004A5DD7"/>
    <w:rsid w:val="004A74D6"/>
    <w:rsid w:val="004B066A"/>
    <w:rsid w:val="004C21B9"/>
    <w:rsid w:val="004C4163"/>
    <w:rsid w:val="004C6A00"/>
    <w:rsid w:val="004D5EDC"/>
    <w:rsid w:val="004E1C7F"/>
    <w:rsid w:val="004E20C9"/>
    <w:rsid w:val="004E539B"/>
    <w:rsid w:val="004E6727"/>
    <w:rsid w:val="004E67FE"/>
    <w:rsid w:val="0050263A"/>
    <w:rsid w:val="0050436C"/>
    <w:rsid w:val="0051638C"/>
    <w:rsid w:val="00531A6D"/>
    <w:rsid w:val="00537E25"/>
    <w:rsid w:val="00563AA6"/>
    <w:rsid w:val="0056791D"/>
    <w:rsid w:val="0057038B"/>
    <w:rsid w:val="00594748"/>
    <w:rsid w:val="005A1392"/>
    <w:rsid w:val="005B6367"/>
    <w:rsid w:val="005D4063"/>
    <w:rsid w:val="005E36E1"/>
    <w:rsid w:val="005E4476"/>
    <w:rsid w:val="005E641B"/>
    <w:rsid w:val="00600BB7"/>
    <w:rsid w:val="00605A48"/>
    <w:rsid w:val="00613C05"/>
    <w:rsid w:val="00614221"/>
    <w:rsid w:val="00617002"/>
    <w:rsid w:val="00620371"/>
    <w:rsid w:val="00620FB1"/>
    <w:rsid w:val="00627B23"/>
    <w:rsid w:val="00633EAB"/>
    <w:rsid w:val="00635207"/>
    <w:rsid w:val="00636424"/>
    <w:rsid w:val="00655D57"/>
    <w:rsid w:val="00665F13"/>
    <w:rsid w:val="006A0FC3"/>
    <w:rsid w:val="006A2E0B"/>
    <w:rsid w:val="006A30AC"/>
    <w:rsid w:val="006B314F"/>
    <w:rsid w:val="006C0746"/>
    <w:rsid w:val="006C616C"/>
    <w:rsid w:val="006D0D0E"/>
    <w:rsid w:val="006E2F6B"/>
    <w:rsid w:val="006E3C40"/>
    <w:rsid w:val="006F50D3"/>
    <w:rsid w:val="007362C9"/>
    <w:rsid w:val="00755ACC"/>
    <w:rsid w:val="00757E3E"/>
    <w:rsid w:val="007801AA"/>
    <w:rsid w:val="00790B50"/>
    <w:rsid w:val="007B541A"/>
    <w:rsid w:val="007B772C"/>
    <w:rsid w:val="007C7D34"/>
    <w:rsid w:val="007E0EA3"/>
    <w:rsid w:val="007F16F2"/>
    <w:rsid w:val="00817BFA"/>
    <w:rsid w:val="00820C62"/>
    <w:rsid w:val="00830C1B"/>
    <w:rsid w:val="00831508"/>
    <w:rsid w:val="0083492E"/>
    <w:rsid w:val="00856A8A"/>
    <w:rsid w:val="00866380"/>
    <w:rsid w:val="00866F5C"/>
    <w:rsid w:val="0087042E"/>
    <w:rsid w:val="00875C00"/>
    <w:rsid w:val="00891B35"/>
    <w:rsid w:val="00894956"/>
    <w:rsid w:val="008A2ED3"/>
    <w:rsid w:val="008A77F4"/>
    <w:rsid w:val="008B18F8"/>
    <w:rsid w:val="008C2F0C"/>
    <w:rsid w:val="008C398A"/>
    <w:rsid w:val="008D3518"/>
    <w:rsid w:val="008E42DE"/>
    <w:rsid w:val="008E6B51"/>
    <w:rsid w:val="00913FFB"/>
    <w:rsid w:val="009140CD"/>
    <w:rsid w:val="0091758D"/>
    <w:rsid w:val="00925645"/>
    <w:rsid w:val="00936012"/>
    <w:rsid w:val="00954F10"/>
    <w:rsid w:val="009633D2"/>
    <w:rsid w:val="00963A3E"/>
    <w:rsid w:val="00980497"/>
    <w:rsid w:val="00994ED6"/>
    <w:rsid w:val="009B0133"/>
    <w:rsid w:val="009D3BF0"/>
    <w:rsid w:val="009D42F1"/>
    <w:rsid w:val="00A05912"/>
    <w:rsid w:val="00A252F2"/>
    <w:rsid w:val="00A31315"/>
    <w:rsid w:val="00A32A5A"/>
    <w:rsid w:val="00A33360"/>
    <w:rsid w:val="00A41341"/>
    <w:rsid w:val="00A41556"/>
    <w:rsid w:val="00A44DF9"/>
    <w:rsid w:val="00A501AC"/>
    <w:rsid w:val="00A5453C"/>
    <w:rsid w:val="00A56891"/>
    <w:rsid w:val="00A60512"/>
    <w:rsid w:val="00A61431"/>
    <w:rsid w:val="00A6504E"/>
    <w:rsid w:val="00A76AB3"/>
    <w:rsid w:val="00A94D8C"/>
    <w:rsid w:val="00A94E13"/>
    <w:rsid w:val="00A960ED"/>
    <w:rsid w:val="00AA281F"/>
    <w:rsid w:val="00AA32BF"/>
    <w:rsid w:val="00AA3565"/>
    <w:rsid w:val="00AA3C50"/>
    <w:rsid w:val="00AB0563"/>
    <w:rsid w:val="00AB074A"/>
    <w:rsid w:val="00AB7335"/>
    <w:rsid w:val="00AB7616"/>
    <w:rsid w:val="00AC0C5D"/>
    <w:rsid w:val="00AC79E3"/>
    <w:rsid w:val="00AE1E70"/>
    <w:rsid w:val="00AF012C"/>
    <w:rsid w:val="00AF0D54"/>
    <w:rsid w:val="00AF7B87"/>
    <w:rsid w:val="00AF7F0D"/>
    <w:rsid w:val="00B011C0"/>
    <w:rsid w:val="00B075E8"/>
    <w:rsid w:val="00B23EFC"/>
    <w:rsid w:val="00B24817"/>
    <w:rsid w:val="00B24E13"/>
    <w:rsid w:val="00B30E36"/>
    <w:rsid w:val="00B43B81"/>
    <w:rsid w:val="00B74C90"/>
    <w:rsid w:val="00B76D20"/>
    <w:rsid w:val="00B80D95"/>
    <w:rsid w:val="00B96DB6"/>
    <w:rsid w:val="00BD2D09"/>
    <w:rsid w:val="00BF233A"/>
    <w:rsid w:val="00C12701"/>
    <w:rsid w:val="00C15F34"/>
    <w:rsid w:val="00C34277"/>
    <w:rsid w:val="00C55E61"/>
    <w:rsid w:val="00C560C2"/>
    <w:rsid w:val="00C65A8A"/>
    <w:rsid w:val="00C82BC8"/>
    <w:rsid w:val="00CA3C83"/>
    <w:rsid w:val="00CB1276"/>
    <w:rsid w:val="00CB2E40"/>
    <w:rsid w:val="00CD7017"/>
    <w:rsid w:val="00CE5A95"/>
    <w:rsid w:val="00CF01C0"/>
    <w:rsid w:val="00D00978"/>
    <w:rsid w:val="00D022CE"/>
    <w:rsid w:val="00D10302"/>
    <w:rsid w:val="00D1641C"/>
    <w:rsid w:val="00D22E5B"/>
    <w:rsid w:val="00D35E36"/>
    <w:rsid w:val="00D66699"/>
    <w:rsid w:val="00D746E4"/>
    <w:rsid w:val="00D75837"/>
    <w:rsid w:val="00D86815"/>
    <w:rsid w:val="00D868E8"/>
    <w:rsid w:val="00D91A21"/>
    <w:rsid w:val="00D977C6"/>
    <w:rsid w:val="00DA4AB9"/>
    <w:rsid w:val="00DA4D5A"/>
    <w:rsid w:val="00DB46C5"/>
    <w:rsid w:val="00DB625C"/>
    <w:rsid w:val="00DB6B4A"/>
    <w:rsid w:val="00DC40FB"/>
    <w:rsid w:val="00DC50AE"/>
    <w:rsid w:val="00DC73EC"/>
    <w:rsid w:val="00DD3FFA"/>
    <w:rsid w:val="00DE083A"/>
    <w:rsid w:val="00DE50A9"/>
    <w:rsid w:val="00DF60DA"/>
    <w:rsid w:val="00DF7B83"/>
    <w:rsid w:val="00E21A28"/>
    <w:rsid w:val="00E325B5"/>
    <w:rsid w:val="00E36CA8"/>
    <w:rsid w:val="00E447AC"/>
    <w:rsid w:val="00E51352"/>
    <w:rsid w:val="00E75396"/>
    <w:rsid w:val="00E8078D"/>
    <w:rsid w:val="00E80F34"/>
    <w:rsid w:val="00E901FD"/>
    <w:rsid w:val="00E90E33"/>
    <w:rsid w:val="00EA29CB"/>
    <w:rsid w:val="00EA658B"/>
    <w:rsid w:val="00EB0905"/>
    <w:rsid w:val="00ED69B4"/>
    <w:rsid w:val="00F00D1B"/>
    <w:rsid w:val="00F121E6"/>
    <w:rsid w:val="00F3726D"/>
    <w:rsid w:val="00F4323C"/>
    <w:rsid w:val="00F47862"/>
    <w:rsid w:val="00F47E06"/>
    <w:rsid w:val="00F6253A"/>
    <w:rsid w:val="00F62AF3"/>
    <w:rsid w:val="00F7297B"/>
    <w:rsid w:val="00F75F85"/>
    <w:rsid w:val="00F84BA0"/>
    <w:rsid w:val="00F94A27"/>
    <w:rsid w:val="00FA13BA"/>
    <w:rsid w:val="00FA1C00"/>
    <w:rsid w:val="00FA6334"/>
    <w:rsid w:val="00FB4D88"/>
    <w:rsid w:val="00FB68E5"/>
    <w:rsid w:val="00FB791E"/>
    <w:rsid w:val="00FC0452"/>
    <w:rsid w:val="00FD1203"/>
    <w:rsid w:val="00FE0A85"/>
    <w:rsid w:val="00FF05B4"/>
    <w:rsid w:val="00FF221D"/>
    <w:rsid w:val="4B2C4971"/>
    <w:rsid w:val="5E3D7E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3B16B"/>
  <w15:docId w15:val="{BB7F462F-48EE-9C4C-AB8C-FAE06F683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header" w:uiPriority="99"/>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rFonts w:ascii="Times New Roman" w:eastAsia="Times New Roman" w:hAnsi="Times New Roman" w:cs="Times New Roman"/>
      <w:sz w:val="24"/>
    </w:rPr>
  </w:style>
  <w:style w:type="paragraph" w:styleId="1">
    <w:name w:val="heading 1"/>
    <w:basedOn w:val="a"/>
    <w:next w:val="a"/>
    <w:link w:val="10"/>
    <w:qFormat/>
    <w:pPr>
      <w:keepNext/>
      <w:keepLines/>
      <w:spacing w:before="240"/>
      <w:outlineLvl w:val="0"/>
    </w:pPr>
    <w:rPr>
      <w:rFonts w:eastAsiaTheme="majorEastAsia" w:cstheme="majorBidi"/>
      <w:b/>
      <w:color w:val="000000" w:themeColor="text1"/>
      <w:szCs w:val="32"/>
    </w:rPr>
  </w:style>
  <w:style w:type="paragraph" w:styleId="2">
    <w:name w:val="heading 2"/>
    <w:basedOn w:val="a"/>
    <w:next w:val="a"/>
    <w:link w:val="20"/>
    <w:unhideWhenUsed/>
    <w:qFormat/>
    <w:pPr>
      <w:keepNext/>
      <w:keepLines/>
      <w:spacing w:before="4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qFormat/>
    <w:pPr>
      <w:tabs>
        <w:tab w:val="center" w:pos="4680"/>
        <w:tab w:val="right" w:pos="9360"/>
      </w:tabs>
    </w:pPr>
  </w:style>
  <w:style w:type="paragraph" w:styleId="a5">
    <w:name w:val="header"/>
    <w:basedOn w:val="a"/>
    <w:link w:val="a6"/>
    <w:uiPriority w:val="99"/>
    <w:pPr>
      <w:tabs>
        <w:tab w:val="center" w:pos="4680"/>
        <w:tab w:val="right" w:pos="9360"/>
      </w:tabs>
    </w:pPr>
  </w:style>
  <w:style w:type="paragraph" w:styleId="TOC1">
    <w:name w:val="toc 1"/>
    <w:basedOn w:val="a"/>
    <w:next w:val="a"/>
    <w:uiPriority w:val="39"/>
    <w:pPr>
      <w:spacing w:after="100"/>
    </w:pPr>
  </w:style>
  <w:style w:type="paragraph" w:styleId="TOC2">
    <w:name w:val="toc 2"/>
    <w:basedOn w:val="a"/>
    <w:next w:val="a"/>
    <w:uiPriority w:val="39"/>
    <w:qFormat/>
    <w:pPr>
      <w:spacing w:after="100"/>
      <w:ind w:left="200"/>
    </w:pPr>
  </w:style>
  <w:style w:type="character" w:styleId="a7">
    <w:name w:val="Strong"/>
    <w:basedOn w:val="a0"/>
    <w:qFormat/>
    <w:rPr>
      <w:rFonts w:ascii="Times New Roman" w:hAnsi="Times New Roman"/>
      <w:b/>
      <w:bCs/>
      <w:sz w:val="24"/>
    </w:rPr>
  </w:style>
  <w:style w:type="character" w:styleId="a8">
    <w:name w:val="Hyperlink"/>
    <w:basedOn w:val="a0"/>
    <w:uiPriority w:val="99"/>
    <w:unhideWhenUsed/>
    <w:qFormat/>
    <w:rPr>
      <w:color w:val="0563C1" w:themeColor="hyperlink"/>
      <w:u w:val="single"/>
    </w:rPr>
  </w:style>
  <w:style w:type="paragraph" w:styleId="a9">
    <w:name w:val="List Paragraph"/>
    <w:basedOn w:val="a"/>
    <w:uiPriority w:val="34"/>
    <w:qFormat/>
    <w:pPr>
      <w:ind w:left="720"/>
      <w:contextualSpacing/>
    </w:pPr>
  </w:style>
  <w:style w:type="character" w:customStyle="1" w:styleId="a6">
    <w:name w:val="页眉 字符"/>
    <w:basedOn w:val="a0"/>
    <w:link w:val="a5"/>
    <w:uiPriority w:val="99"/>
    <w:qFormat/>
    <w:rPr>
      <w:rFonts w:ascii="Times New Roman" w:eastAsia="Times New Roman" w:hAnsi="Times New Roman" w:cs="Times New Roman"/>
    </w:rPr>
  </w:style>
  <w:style w:type="character" w:customStyle="1" w:styleId="a4">
    <w:name w:val="页脚 字符"/>
    <w:basedOn w:val="a0"/>
    <w:link w:val="a3"/>
    <w:qFormat/>
    <w:rPr>
      <w:rFonts w:ascii="Times New Roman" w:eastAsia="Times New Roman" w:hAnsi="Times New Roman" w:cs="Times New Roman"/>
    </w:rPr>
  </w:style>
  <w:style w:type="character" w:customStyle="1" w:styleId="10">
    <w:name w:val="标题 1 字符"/>
    <w:basedOn w:val="a0"/>
    <w:link w:val="1"/>
    <w:rPr>
      <w:rFonts w:ascii="Times New Roman" w:eastAsiaTheme="majorEastAsia" w:hAnsi="Times New Roman" w:cstheme="majorBidi"/>
      <w:b/>
      <w:color w:val="000000" w:themeColor="text1"/>
      <w:sz w:val="24"/>
      <w:szCs w:val="32"/>
    </w:rPr>
  </w:style>
  <w:style w:type="character" w:customStyle="1" w:styleId="20">
    <w:name w:val="标题 2 字符"/>
    <w:basedOn w:val="a0"/>
    <w:link w:val="2"/>
    <w:qFormat/>
    <w:rPr>
      <w:rFonts w:ascii="Times New Roman" w:eastAsiaTheme="majorEastAsia" w:hAnsi="Times New Roman" w:cstheme="majorBidi"/>
      <w:b/>
      <w:sz w:val="24"/>
      <w:szCs w:val="26"/>
    </w:rPr>
  </w:style>
  <w:style w:type="paragraph" w:customStyle="1" w:styleId="TOCHeading1">
    <w:name w:val="TOC Heading1"/>
    <w:basedOn w:val="1"/>
    <w:next w:val="a"/>
    <w:uiPriority w:val="39"/>
    <w:unhideWhenUsed/>
    <w:qFormat/>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41270">
      <w:bodyDiv w:val="1"/>
      <w:marLeft w:val="0"/>
      <w:marRight w:val="0"/>
      <w:marTop w:val="0"/>
      <w:marBottom w:val="0"/>
      <w:divBdr>
        <w:top w:val="none" w:sz="0" w:space="0" w:color="auto"/>
        <w:left w:val="none" w:sz="0" w:space="0" w:color="auto"/>
        <w:bottom w:val="none" w:sz="0" w:space="0" w:color="auto"/>
        <w:right w:val="none" w:sz="0" w:space="0" w:color="auto"/>
      </w:divBdr>
    </w:div>
    <w:div w:id="962806148">
      <w:bodyDiv w:val="1"/>
      <w:marLeft w:val="0"/>
      <w:marRight w:val="0"/>
      <w:marTop w:val="0"/>
      <w:marBottom w:val="0"/>
      <w:divBdr>
        <w:top w:val="none" w:sz="0" w:space="0" w:color="auto"/>
        <w:left w:val="none" w:sz="0" w:space="0" w:color="auto"/>
        <w:bottom w:val="none" w:sz="0" w:space="0" w:color="auto"/>
        <w:right w:val="none" w:sz="0" w:space="0" w:color="auto"/>
      </w:divBdr>
      <w:divsChild>
        <w:div w:id="898711001">
          <w:marLeft w:val="0"/>
          <w:marRight w:val="0"/>
          <w:marTop w:val="0"/>
          <w:marBottom w:val="0"/>
          <w:divBdr>
            <w:top w:val="none" w:sz="0" w:space="0" w:color="auto"/>
            <w:left w:val="none" w:sz="0" w:space="0" w:color="auto"/>
            <w:bottom w:val="none" w:sz="0" w:space="0" w:color="auto"/>
            <w:right w:val="none" w:sz="0" w:space="0" w:color="auto"/>
          </w:divBdr>
          <w:divsChild>
            <w:div w:id="36105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199351">
      <w:bodyDiv w:val="1"/>
      <w:marLeft w:val="0"/>
      <w:marRight w:val="0"/>
      <w:marTop w:val="0"/>
      <w:marBottom w:val="0"/>
      <w:divBdr>
        <w:top w:val="none" w:sz="0" w:space="0" w:color="auto"/>
        <w:left w:val="none" w:sz="0" w:space="0" w:color="auto"/>
        <w:bottom w:val="none" w:sz="0" w:space="0" w:color="auto"/>
        <w:right w:val="none" w:sz="0" w:space="0" w:color="auto"/>
      </w:divBdr>
      <w:divsChild>
        <w:div w:id="2079202608">
          <w:marLeft w:val="0"/>
          <w:marRight w:val="0"/>
          <w:marTop w:val="0"/>
          <w:marBottom w:val="0"/>
          <w:divBdr>
            <w:top w:val="none" w:sz="0" w:space="0" w:color="auto"/>
            <w:left w:val="none" w:sz="0" w:space="0" w:color="auto"/>
            <w:bottom w:val="none" w:sz="0" w:space="0" w:color="auto"/>
            <w:right w:val="none" w:sz="0" w:space="0" w:color="auto"/>
          </w:divBdr>
          <w:divsChild>
            <w:div w:id="72865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8390E-15E3-48E9-BD98-4245DE5C3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5101</Words>
  <Characters>29077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kittij徐</dc:creator>
  <cp:lastModifiedBy>Wenlong Wang (2218783)</cp:lastModifiedBy>
  <cp:revision>3</cp:revision>
  <dcterms:created xsi:type="dcterms:W3CDTF">2023-05-01T04:10:00Z</dcterms:created>
  <dcterms:modified xsi:type="dcterms:W3CDTF">2023-05-01T04:22:00Z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6BCB67FEDF584CFF854FF404F4741BE2_13</vt:lpwstr>
  </property>
  <property fmtid="{D5CDD505-2E9C-101B-9397-08002B2CF9AE}" pid="3" name="KSOProductBuildVer">
    <vt:lpwstr>2052-11.1.0.14036</vt:lpwstr>
  </property>
</Properties>
</file>