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36A90" w14:textId="1B69C4E4" w:rsidR="007C1E46" w:rsidRDefault="00B14076" w:rsidP="00B14076">
      <w:pPr>
        <w:jc w:val="center"/>
        <w:rPr>
          <w:i/>
          <w:iCs/>
          <w:sz w:val="28"/>
          <w:szCs w:val="28"/>
        </w:rPr>
      </w:pPr>
      <w:r w:rsidRPr="00B14076">
        <w:rPr>
          <w:b/>
          <w:bCs/>
          <w:sz w:val="48"/>
          <w:szCs w:val="48"/>
        </w:rPr>
        <w:t xml:space="preserve">How “LGSM” contributed to a cultural and political re-awakening in </w:t>
      </w:r>
      <w:r w:rsidR="00952BB9">
        <w:rPr>
          <w:b/>
          <w:bCs/>
          <w:sz w:val="48"/>
          <w:szCs w:val="48"/>
        </w:rPr>
        <w:t xml:space="preserve">the South </w:t>
      </w:r>
      <w:r w:rsidRPr="00B14076">
        <w:rPr>
          <w:b/>
          <w:bCs/>
          <w:sz w:val="48"/>
          <w:szCs w:val="48"/>
        </w:rPr>
        <w:t xml:space="preserve">Wales </w:t>
      </w:r>
      <w:r w:rsidR="00952BB9">
        <w:rPr>
          <w:b/>
          <w:bCs/>
          <w:sz w:val="48"/>
          <w:szCs w:val="48"/>
        </w:rPr>
        <w:t>Valle</w:t>
      </w:r>
      <w:r w:rsidR="00C93727">
        <w:rPr>
          <w:b/>
          <w:bCs/>
          <w:sz w:val="48"/>
          <w:szCs w:val="48"/>
        </w:rPr>
        <w:t>ys</w:t>
      </w:r>
      <w:r w:rsidR="00952BB9">
        <w:rPr>
          <w:b/>
          <w:bCs/>
          <w:sz w:val="48"/>
          <w:szCs w:val="48"/>
        </w:rPr>
        <w:t xml:space="preserve"> </w:t>
      </w:r>
      <w:r w:rsidRPr="00B14076">
        <w:rPr>
          <w:b/>
          <w:bCs/>
          <w:sz w:val="48"/>
          <w:szCs w:val="48"/>
        </w:rPr>
        <w:t>(Abstract).</w:t>
      </w:r>
      <w:r>
        <w:rPr>
          <w:b/>
          <w:bCs/>
          <w:sz w:val="48"/>
          <w:szCs w:val="48"/>
        </w:rPr>
        <w:br/>
      </w:r>
      <w:r>
        <w:rPr>
          <w:i/>
          <w:iCs/>
          <w:sz w:val="28"/>
          <w:szCs w:val="28"/>
        </w:rPr>
        <w:t>by Bradley Sloanes</w:t>
      </w:r>
    </w:p>
    <w:p w14:paraId="5EF84B0B" w14:textId="711E25C1" w:rsidR="00B14076" w:rsidRDefault="00B14076" w:rsidP="00B14076">
      <w:pPr>
        <w:rPr>
          <w:sz w:val="24"/>
          <w:szCs w:val="24"/>
        </w:rPr>
      </w:pPr>
      <w:r>
        <w:rPr>
          <w:sz w:val="24"/>
          <w:szCs w:val="24"/>
        </w:rPr>
        <w:t xml:space="preserve">In the years 1984-85 the National Union of Mineworkers began what would be the longest </w:t>
      </w:r>
      <w:r w:rsidR="00345575">
        <w:rPr>
          <w:sz w:val="24"/>
          <w:szCs w:val="24"/>
        </w:rPr>
        <w:t xml:space="preserve">and </w:t>
      </w:r>
      <w:r w:rsidR="00EF0A4E">
        <w:rPr>
          <w:sz w:val="24"/>
          <w:szCs w:val="24"/>
        </w:rPr>
        <w:t xml:space="preserve">one of the </w:t>
      </w:r>
      <w:r w:rsidR="00345575">
        <w:rPr>
          <w:sz w:val="24"/>
          <w:szCs w:val="24"/>
        </w:rPr>
        <w:t>most violent</w:t>
      </w:r>
      <w:r w:rsidR="00381267">
        <w:rPr>
          <w:rStyle w:val="FootnoteReference"/>
          <w:sz w:val="24"/>
          <w:szCs w:val="24"/>
        </w:rPr>
        <w:footnoteReference w:id="1"/>
      </w:r>
      <w:r w:rsidR="00345575">
        <w:rPr>
          <w:sz w:val="24"/>
          <w:szCs w:val="24"/>
        </w:rPr>
        <w:t xml:space="preserve"> </w:t>
      </w:r>
      <w:r>
        <w:rPr>
          <w:sz w:val="24"/>
          <w:szCs w:val="24"/>
        </w:rPr>
        <w:t>strike</w:t>
      </w:r>
      <w:r w:rsidR="00EF0A4E">
        <w:rPr>
          <w:sz w:val="24"/>
          <w:szCs w:val="24"/>
        </w:rPr>
        <w:t>s</w:t>
      </w:r>
      <w:r>
        <w:rPr>
          <w:sz w:val="24"/>
          <w:szCs w:val="24"/>
        </w:rPr>
        <w:t xml:space="preserve"> </w:t>
      </w:r>
      <w:r w:rsidR="00345575">
        <w:rPr>
          <w:sz w:val="24"/>
          <w:szCs w:val="24"/>
        </w:rPr>
        <w:t>and industrial dispute</w:t>
      </w:r>
      <w:r w:rsidR="00EF0A4E">
        <w:rPr>
          <w:sz w:val="24"/>
          <w:szCs w:val="24"/>
        </w:rPr>
        <w:t>s</w:t>
      </w:r>
      <w:r w:rsidR="00345575">
        <w:rPr>
          <w:sz w:val="24"/>
          <w:szCs w:val="24"/>
        </w:rPr>
        <w:t xml:space="preserve"> </w:t>
      </w:r>
      <w:r>
        <w:rPr>
          <w:sz w:val="24"/>
          <w:szCs w:val="24"/>
        </w:rPr>
        <w:t>in British history.</w:t>
      </w:r>
      <w:r w:rsidR="00F546AE">
        <w:rPr>
          <w:rStyle w:val="FootnoteReference"/>
          <w:sz w:val="24"/>
          <w:szCs w:val="24"/>
        </w:rPr>
        <w:footnoteReference w:id="2"/>
      </w:r>
      <w:r>
        <w:rPr>
          <w:sz w:val="24"/>
          <w:szCs w:val="24"/>
        </w:rPr>
        <w:t xml:space="preserve"> </w:t>
      </w:r>
      <w:r w:rsidR="00A34821">
        <w:rPr>
          <w:sz w:val="24"/>
          <w:szCs w:val="24"/>
        </w:rPr>
        <w:t>Its significance and impact on Wales, is still felt throughout its communities to this very day.</w:t>
      </w:r>
      <w:r w:rsidR="00664EFD">
        <w:rPr>
          <w:rStyle w:val="FootnoteReference"/>
          <w:sz w:val="24"/>
          <w:szCs w:val="24"/>
        </w:rPr>
        <w:footnoteReference w:id="3"/>
      </w:r>
      <w:r w:rsidR="00A34821">
        <w:rPr>
          <w:sz w:val="24"/>
          <w:szCs w:val="24"/>
        </w:rPr>
        <w:t xml:space="preserve"> </w:t>
      </w:r>
      <w:r w:rsidR="00D377FA">
        <w:rPr>
          <w:sz w:val="24"/>
          <w:szCs w:val="24"/>
        </w:rPr>
        <w:t>The political, economic and cultural fallout was catastrophic to the myriad of mining communities throughout Wales, especially to those in the South Wales valleys</w:t>
      </w:r>
      <w:r w:rsidR="00545D9D">
        <w:rPr>
          <w:sz w:val="24"/>
          <w:szCs w:val="24"/>
        </w:rPr>
        <w:t xml:space="preserve">, who lost not only their livelihoods but their very identities. </w:t>
      </w:r>
      <w:r w:rsidR="007C43A8">
        <w:rPr>
          <w:sz w:val="24"/>
          <w:szCs w:val="24"/>
        </w:rPr>
        <w:t xml:space="preserve">This essay looks to explore the remarkable story of the group “Lesbians and Gays Support the Miners” and how they forever changed and enlightened a South Wales mining community, through reaching out their hands in solidarity and support of the Welsh </w:t>
      </w:r>
      <w:proofErr w:type="gramStart"/>
      <w:r w:rsidR="007C43A8">
        <w:rPr>
          <w:sz w:val="24"/>
          <w:szCs w:val="24"/>
        </w:rPr>
        <w:t>miners</w:t>
      </w:r>
      <w:proofErr w:type="gramEnd"/>
      <w:r w:rsidR="007C43A8">
        <w:rPr>
          <w:sz w:val="24"/>
          <w:szCs w:val="24"/>
        </w:rPr>
        <w:t xml:space="preserve"> cause. In return these miners displayed that very same solidarity when they attended the London Gay Pride march o</w:t>
      </w:r>
      <w:r w:rsidR="006010EF">
        <w:rPr>
          <w:sz w:val="24"/>
          <w:szCs w:val="24"/>
        </w:rPr>
        <w:t>n June 29</w:t>
      </w:r>
      <w:r w:rsidR="006010EF" w:rsidRPr="006010EF">
        <w:rPr>
          <w:sz w:val="24"/>
          <w:szCs w:val="24"/>
          <w:vertAlign w:val="superscript"/>
        </w:rPr>
        <w:t>th</w:t>
      </w:r>
      <w:r w:rsidR="006010EF">
        <w:rPr>
          <w:sz w:val="24"/>
          <w:szCs w:val="24"/>
        </w:rPr>
        <w:t xml:space="preserve">, </w:t>
      </w:r>
      <w:proofErr w:type="gramStart"/>
      <w:r w:rsidR="006010EF">
        <w:rPr>
          <w:sz w:val="24"/>
          <w:szCs w:val="24"/>
        </w:rPr>
        <w:t>1985</w:t>
      </w:r>
      <w:proofErr w:type="gramEnd"/>
      <w:r w:rsidR="006010EF">
        <w:rPr>
          <w:sz w:val="24"/>
          <w:szCs w:val="24"/>
        </w:rPr>
        <w:t xml:space="preserve"> and helped to pass the Labour </w:t>
      </w:r>
      <w:r w:rsidR="0018234A">
        <w:rPr>
          <w:sz w:val="24"/>
          <w:szCs w:val="24"/>
        </w:rPr>
        <w:t>Party motion to enshrine gay and lesbian rights into the party’s manifesto.</w:t>
      </w:r>
      <w:r w:rsidR="002A21C0">
        <w:rPr>
          <w:rStyle w:val="FootnoteReference"/>
          <w:sz w:val="24"/>
          <w:szCs w:val="24"/>
        </w:rPr>
        <w:footnoteReference w:id="4"/>
      </w:r>
      <w:r w:rsidR="0018234A">
        <w:rPr>
          <w:sz w:val="24"/>
          <w:szCs w:val="24"/>
        </w:rPr>
        <w:t xml:space="preserve"> </w:t>
      </w:r>
      <w:r w:rsidR="005B3312">
        <w:rPr>
          <w:sz w:val="24"/>
          <w:szCs w:val="24"/>
        </w:rPr>
        <w:t>Furthermore, this essay will explore the long lasting alliances that were formed between the LGBT community and Welsh/UK labour groups who helped to turn the tide of LGBT rights in this country.</w:t>
      </w:r>
      <w:r w:rsidR="00DF4CFE">
        <w:rPr>
          <w:rStyle w:val="FootnoteReference"/>
          <w:sz w:val="24"/>
          <w:szCs w:val="24"/>
        </w:rPr>
        <w:footnoteReference w:id="5"/>
      </w:r>
      <w:r w:rsidR="005B3312">
        <w:rPr>
          <w:sz w:val="24"/>
          <w:szCs w:val="24"/>
        </w:rPr>
        <w:t xml:space="preserve"> All of which could never have happened without the bond formed and solidarity shown with LGSM and the mining village of </w:t>
      </w:r>
      <w:proofErr w:type="spellStart"/>
      <w:r w:rsidR="005B3312">
        <w:rPr>
          <w:sz w:val="24"/>
          <w:szCs w:val="24"/>
        </w:rPr>
        <w:t>Onllwyn</w:t>
      </w:r>
      <w:proofErr w:type="spellEnd"/>
      <w:r w:rsidR="005B3312">
        <w:rPr>
          <w:sz w:val="24"/>
          <w:szCs w:val="24"/>
        </w:rPr>
        <w:t xml:space="preserve">. </w:t>
      </w:r>
      <w:r w:rsidR="00842251">
        <w:rPr>
          <w:sz w:val="24"/>
          <w:szCs w:val="24"/>
        </w:rPr>
        <w:t xml:space="preserve">Moreover, the essay will analyse and compare the legacy effect of </w:t>
      </w:r>
      <w:r w:rsidR="00B15243">
        <w:rPr>
          <w:sz w:val="24"/>
          <w:szCs w:val="24"/>
        </w:rPr>
        <w:t xml:space="preserve">this unlikely alliance as well as the social and cultural barriers of the time which made it such an unlikely alliance in the first place. </w:t>
      </w:r>
      <w:r w:rsidR="00027FA8">
        <w:rPr>
          <w:sz w:val="24"/>
          <w:szCs w:val="24"/>
        </w:rPr>
        <w:t>It will also assess t</w:t>
      </w:r>
      <w:r w:rsidR="00CF3B24">
        <w:rPr>
          <w:sz w:val="24"/>
          <w:szCs w:val="24"/>
        </w:rPr>
        <w:t>he astounding phenomenon of how differences in the perception of sexuality, gender and identity were completely bypassed and integrated in the face of mutual smear and brutality campaigns by the British press, establishment and police forces</w:t>
      </w:r>
      <w:r w:rsidR="00027FA8">
        <w:rPr>
          <w:sz w:val="24"/>
          <w:szCs w:val="24"/>
        </w:rPr>
        <w:t xml:space="preserve"> because of a similar struggle, </w:t>
      </w:r>
      <w:proofErr w:type="gramStart"/>
      <w:r w:rsidR="00027FA8">
        <w:rPr>
          <w:sz w:val="24"/>
          <w:szCs w:val="24"/>
        </w:rPr>
        <w:t>goal</w:t>
      </w:r>
      <w:proofErr w:type="gramEnd"/>
      <w:r w:rsidR="00027FA8">
        <w:rPr>
          <w:sz w:val="24"/>
          <w:szCs w:val="24"/>
        </w:rPr>
        <w:t xml:space="preserve"> and plight. The political and social implications of such a powerful occurrence of solidarity between two formerly polarised groups is worthy of further study </w:t>
      </w:r>
      <w:r w:rsidR="00027FA8">
        <w:rPr>
          <w:sz w:val="24"/>
          <w:szCs w:val="24"/>
        </w:rPr>
        <w:lastRenderedPageBreak/>
        <w:t xml:space="preserve">and research. The </w:t>
      </w:r>
      <w:r w:rsidR="007B14A9">
        <w:rPr>
          <w:sz w:val="24"/>
          <w:szCs w:val="24"/>
        </w:rPr>
        <w:t>prospect</w:t>
      </w:r>
      <w:r w:rsidR="00027FA8">
        <w:rPr>
          <w:sz w:val="24"/>
          <w:szCs w:val="24"/>
        </w:rPr>
        <w:t xml:space="preserve"> of potential </w:t>
      </w:r>
      <w:r w:rsidR="007B14A9">
        <w:rPr>
          <w:sz w:val="24"/>
          <w:szCs w:val="24"/>
        </w:rPr>
        <w:t>findings in this research could have relevance in helping to breakdown the barriers and perceived “differences” between today’s increasingly polarised and ideologically stratified society.</w:t>
      </w:r>
    </w:p>
    <w:p w14:paraId="2C9B5D9E" w14:textId="5F633DA7" w:rsidR="002576D1" w:rsidRDefault="002576D1" w:rsidP="00B14076">
      <w:pPr>
        <w:rPr>
          <w:sz w:val="24"/>
          <w:szCs w:val="24"/>
        </w:rPr>
      </w:pPr>
    </w:p>
    <w:p w14:paraId="7D4125E7" w14:textId="4064768C" w:rsidR="002576D1" w:rsidRDefault="002576D1" w:rsidP="00B14076">
      <w:pPr>
        <w:rPr>
          <w:b/>
          <w:bCs/>
          <w:sz w:val="40"/>
          <w:szCs w:val="40"/>
          <w:u w:val="single"/>
        </w:rPr>
      </w:pPr>
      <w:r w:rsidRPr="002576D1">
        <w:rPr>
          <w:b/>
          <w:bCs/>
          <w:sz w:val="40"/>
          <w:szCs w:val="40"/>
          <w:u w:val="single"/>
        </w:rPr>
        <w:t>References</w:t>
      </w:r>
    </w:p>
    <w:p w14:paraId="74207D2F" w14:textId="77777777" w:rsidR="002576D1" w:rsidRDefault="002576D1" w:rsidP="002576D1">
      <w:pPr>
        <w:pStyle w:val="NormalWeb"/>
        <w:ind w:left="720" w:hanging="720"/>
        <w:rPr>
          <w:sz w:val="18"/>
          <w:szCs w:val="18"/>
        </w:rPr>
      </w:pPr>
      <w:r w:rsidRPr="00256FB8">
        <w:rPr>
          <w:sz w:val="18"/>
          <w:szCs w:val="18"/>
        </w:rPr>
        <w:t>Douglass, David John. 2005. Strike, Not the End of the Story: Reflections on the Major Coal Mining Strikes in Britain (Wakefield, England: National Coal Mining Museum for England)</w:t>
      </w:r>
      <w:r>
        <w:rPr>
          <w:sz w:val="18"/>
          <w:szCs w:val="18"/>
        </w:rPr>
        <w:t>.</w:t>
      </w:r>
    </w:p>
    <w:p w14:paraId="1D6F6C69" w14:textId="77777777" w:rsidR="002576D1" w:rsidRDefault="002576D1" w:rsidP="002576D1">
      <w:pPr>
        <w:pStyle w:val="NormalWeb"/>
        <w:ind w:left="720" w:hanging="720"/>
        <w:rPr>
          <w:rFonts w:ascii="Georgia" w:hAnsi="Georgia"/>
        </w:rPr>
      </w:pPr>
      <w:proofErr w:type="spellStart"/>
      <w:r w:rsidRPr="00DF4CFE">
        <w:rPr>
          <w:sz w:val="18"/>
          <w:szCs w:val="18"/>
        </w:rPr>
        <w:t>Kelliher</w:t>
      </w:r>
      <w:proofErr w:type="spellEnd"/>
      <w:r w:rsidRPr="00DF4CFE">
        <w:rPr>
          <w:sz w:val="18"/>
          <w:szCs w:val="18"/>
        </w:rPr>
        <w:t>, D. 2014. “Solidarity and Sexuality: Lesbians and Gays Support the Miners 1984-5,” History Workshop Journal: HWJ, 77.1: 240–62 &lt;https://doi.org/10.1093/hwj/dbt012&gt;</w:t>
      </w:r>
    </w:p>
    <w:p w14:paraId="569EC731" w14:textId="77777777" w:rsidR="002576D1" w:rsidRDefault="002576D1" w:rsidP="002576D1">
      <w:pPr>
        <w:pStyle w:val="NormalWeb"/>
        <w:ind w:left="720" w:hanging="720"/>
        <w:rPr>
          <w:sz w:val="18"/>
          <w:szCs w:val="18"/>
        </w:rPr>
      </w:pPr>
      <w:proofErr w:type="spellStart"/>
      <w:r w:rsidRPr="002A21C0">
        <w:rPr>
          <w:sz w:val="18"/>
          <w:szCs w:val="18"/>
        </w:rPr>
        <w:t>Nellist</w:t>
      </w:r>
      <w:proofErr w:type="spellEnd"/>
      <w:r w:rsidRPr="002A21C0">
        <w:rPr>
          <w:sz w:val="18"/>
          <w:szCs w:val="18"/>
        </w:rPr>
        <w:t>, Joe. 2019. “35th Anniversary of Lesbian and Gays Support the Miners,” Lgbt.Foundation </w:t>
      </w:r>
      <w:hyperlink r:id="rId7" w:history="1">
        <w:r w:rsidRPr="00E800A9">
          <w:rPr>
            <w:rStyle w:val="Hyperlink"/>
            <w:sz w:val="18"/>
            <w:szCs w:val="18"/>
          </w:rPr>
          <w:t>https://lgbt.foundation/news/35th-anniversary-of-lesbian-and-gays-support-the-miners/315</w:t>
        </w:r>
      </w:hyperlink>
    </w:p>
    <w:p w14:paraId="244C94D8" w14:textId="77777777" w:rsidR="002576D1" w:rsidRDefault="002576D1" w:rsidP="002576D1">
      <w:pPr>
        <w:pStyle w:val="NormalWeb"/>
        <w:ind w:left="720" w:hanging="720"/>
        <w:rPr>
          <w:sz w:val="18"/>
          <w:szCs w:val="18"/>
        </w:rPr>
      </w:pPr>
      <w:r w:rsidRPr="00664EFD">
        <w:rPr>
          <w:sz w:val="18"/>
          <w:szCs w:val="18"/>
        </w:rPr>
        <w:t xml:space="preserve">Prior, Neil. 2014. “Legacy of the Miners’ Strike in Wales” &lt;https://www.bbc.co.uk/news/uk-wales-26536595&gt; </w:t>
      </w:r>
    </w:p>
    <w:p w14:paraId="28F6E77B" w14:textId="77777777" w:rsidR="002576D1" w:rsidRDefault="002576D1" w:rsidP="002576D1">
      <w:pPr>
        <w:pStyle w:val="NormalWeb"/>
        <w:ind w:left="720" w:hanging="720"/>
        <w:rPr>
          <w:sz w:val="18"/>
          <w:szCs w:val="18"/>
        </w:rPr>
      </w:pPr>
      <w:r w:rsidRPr="00F546AE">
        <w:rPr>
          <w:sz w:val="18"/>
          <w:szCs w:val="18"/>
        </w:rPr>
        <w:t>Strikes Around the World, 1968–2005: Case-Studies of 15 Countries. 2007. (Amsterdam, Netherlands: Amsterdam University Press)</w:t>
      </w:r>
      <w:r>
        <w:rPr>
          <w:sz w:val="18"/>
          <w:szCs w:val="18"/>
        </w:rPr>
        <w:t>.</w:t>
      </w:r>
    </w:p>
    <w:p w14:paraId="46516700" w14:textId="77777777" w:rsidR="002576D1" w:rsidRPr="002A21C0" w:rsidRDefault="002576D1" w:rsidP="002576D1">
      <w:pPr>
        <w:pStyle w:val="NormalWeb"/>
        <w:ind w:left="720" w:hanging="720"/>
        <w:rPr>
          <w:rFonts w:ascii="Georgia" w:hAnsi="Georgia"/>
        </w:rPr>
      </w:pPr>
    </w:p>
    <w:p w14:paraId="2B44C9A3" w14:textId="77777777" w:rsidR="002576D1" w:rsidRPr="00F546AE" w:rsidRDefault="002576D1" w:rsidP="002576D1">
      <w:pPr>
        <w:pStyle w:val="NormalWeb"/>
        <w:ind w:left="720" w:hanging="720"/>
        <w:rPr>
          <w:rFonts w:ascii="Georgia" w:hAnsi="Georgia"/>
        </w:rPr>
      </w:pPr>
    </w:p>
    <w:p w14:paraId="246EBC90" w14:textId="77777777" w:rsidR="002576D1" w:rsidRPr="00B9060D" w:rsidRDefault="002576D1" w:rsidP="002576D1">
      <w:pPr>
        <w:pStyle w:val="NormalWeb"/>
        <w:ind w:left="720" w:hanging="720"/>
        <w:rPr>
          <w:rFonts w:ascii="Georgia" w:hAnsi="Georgia"/>
        </w:rPr>
      </w:pPr>
    </w:p>
    <w:p w14:paraId="6924BADD" w14:textId="77777777" w:rsidR="002576D1" w:rsidRPr="002576D1" w:rsidRDefault="002576D1" w:rsidP="00B14076">
      <w:pPr>
        <w:rPr>
          <w:sz w:val="40"/>
          <w:szCs w:val="40"/>
        </w:rPr>
      </w:pPr>
    </w:p>
    <w:sectPr w:rsidR="002576D1" w:rsidRPr="002576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46991" w14:textId="77777777" w:rsidR="00F23973" w:rsidRDefault="00F23973" w:rsidP="00381267">
      <w:pPr>
        <w:spacing w:after="0" w:line="240" w:lineRule="auto"/>
      </w:pPr>
      <w:r>
        <w:separator/>
      </w:r>
    </w:p>
  </w:endnote>
  <w:endnote w:type="continuationSeparator" w:id="0">
    <w:p w14:paraId="1EFAF2F4" w14:textId="77777777" w:rsidR="00F23973" w:rsidRDefault="00F23973" w:rsidP="00381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97844" w14:textId="77777777" w:rsidR="00F23973" w:rsidRDefault="00F23973" w:rsidP="00381267">
      <w:pPr>
        <w:spacing w:after="0" w:line="240" w:lineRule="auto"/>
      </w:pPr>
      <w:r>
        <w:separator/>
      </w:r>
    </w:p>
  </w:footnote>
  <w:footnote w:type="continuationSeparator" w:id="0">
    <w:p w14:paraId="0D7B6317" w14:textId="77777777" w:rsidR="00F23973" w:rsidRDefault="00F23973" w:rsidP="00381267">
      <w:pPr>
        <w:spacing w:after="0" w:line="240" w:lineRule="auto"/>
      </w:pPr>
      <w:r>
        <w:continuationSeparator/>
      </w:r>
    </w:p>
  </w:footnote>
  <w:footnote w:id="1">
    <w:p w14:paraId="10CDF70A" w14:textId="03DC7A96" w:rsidR="00381267" w:rsidRPr="00B9060D" w:rsidRDefault="00381267" w:rsidP="00B9060D">
      <w:pPr>
        <w:pStyle w:val="NormalWeb"/>
        <w:ind w:left="720" w:hanging="720"/>
        <w:rPr>
          <w:rFonts w:ascii="Georgia" w:hAnsi="Georgia"/>
        </w:rPr>
      </w:pPr>
      <w:r>
        <w:rPr>
          <w:rStyle w:val="FootnoteReference"/>
        </w:rPr>
        <w:footnoteRef/>
      </w:r>
      <w:r>
        <w:t xml:space="preserve"> </w:t>
      </w:r>
      <w:r w:rsidR="00256FB8" w:rsidRPr="00256FB8">
        <w:rPr>
          <w:sz w:val="18"/>
          <w:szCs w:val="18"/>
        </w:rPr>
        <w:t>Douglass, David John. 2005. Strike, Not the End of the Story: Reflections on the Major Coal Mining Strikes in Britain (Wakefield, England: National Coal Mining Museum for England)</w:t>
      </w:r>
    </w:p>
  </w:footnote>
  <w:footnote w:id="2">
    <w:p w14:paraId="48824F67" w14:textId="41B11B25" w:rsidR="00F546AE" w:rsidRPr="00F546AE" w:rsidRDefault="00F546AE" w:rsidP="00F546AE">
      <w:pPr>
        <w:pStyle w:val="NormalWeb"/>
        <w:ind w:left="720" w:hanging="720"/>
        <w:rPr>
          <w:rFonts w:ascii="Georgia" w:hAnsi="Georgia"/>
        </w:rPr>
      </w:pPr>
      <w:r>
        <w:rPr>
          <w:rStyle w:val="FootnoteReference"/>
        </w:rPr>
        <w:footnoteRef/>
      </w:r>
      <w:r>
        <w:t xml:space="preserve"> </w:t>
      </w:r>
      <w:r w:rsidRPr="00F546AE">
        <w:rPr>
          <w:sz w:val="18"/>
          <w:szCs w:val="18"/>
        </w:rPr>
        <w:t>Strikes Around the World, 1968–2005: Case-Studies of 15 Countries. 2007. (Amsterdam, Netherlands: Amsterdam University Press)</w:t>
      </w:r>
      <w:r w:rsidR="00A53347">
        <w:rPr>
          <w:sz w:val="18"/>
          <w:szCs w:val="18"/>
        </w:rPr>
        <w:t>, pp 352-354.</w:t>
      </w:r>
    </w:p>
  </w:footnote>
  <w:footnote w:id="3">
    <w:p w14:paraId="45052D1E" w14:textId="00929456" w:rsidR="00664EFD" w:rsidRPr="002A21C0" w:rsidRDefault="00664EFD" w:rsidP="002A21C0">
      <w:pPr>
        <w:pStyle w:val="NormalWeb"/>
        <w:ind w:left="720" w:hanging="720"/>
        <w:rPr>
          <w:rFonts w:ascii="Georgia" w:hAnsi="Georgia"/>
        </w:rPr>
      </w:pPr>
      <w:r>
        <w:rPr>
          <w:rStyle w:val="FootnoteReference"/>
        </w:rPr>
        <w:footnoteRef/>
      </w:r>
      <w:r>
        <w:t xml:space="preserve"> </w:t>
      </w:r>
      <w:r w:rsidRPr="00664EFD">
        <w:rPr>
          <w:sz w:val="18"/>
          <w:szCs w:val="18"/>
        </w:rPr>
        <w:t>Prior, Neil. 2014. “Legacy of the Miners’ Strike in Wales” &lt;https://www.bbc.co.uk/news/uk-wales-26536595&gt; [accessed 28 February 2022]</w:t>
      </w:r>
    </w:p>
  </w:footnote>
  <w:footnote w:id="4">
    <w:p w14:paraId="4F728896" w14:textId="73140989" w:rsidR="002A21C0" w:rsidRPr="00DF4CFE" w:rsidRDefault="002A21C0" w:rsidP="00DF4CFE">
      <w:pPr>
        <w:pStyle w:val="NormalWeb"/>
        <w:ind w:left="720" w:hanging="720"/>
        <w:rPr>
          <w:sz w:val="18"/>
          <w:szCs w:val="18"/>
        </w:rPr>
      </w:pPr>
      <w:r>
        <w:rPr>
          <w:rStyle w:val="FootnoteReference"/>
        </w:rPr>
        <w:footnoteRef/>
      </w:r>
      <w:r>
        <w:t xml:space="preserve"> </w:t>
      </w:r>
      <w:proofErr w:type="spellStart"/>
      <w:r w:rsidRPr="002A21C0">
        <w:rPr>
          <w:sz w:val="18"/>
          <w:szCs w:val="18"/>
        </w:rPr>
        <w:t>Nellist</w:t>
      </w:r>
      <w:proofErr w:type="spellEnd"/>
      <w:r w:rsidRPr="002A21C0">
        <w:rPr>
          <w:sz w:val="18"/>
          <w:szCs w:val="18"/>
        </w:rPr>
        <w:t>, Joe. 2019. “35th Anniversary of Lesbian and Gays Support the Miners,” Lgbt.Foundation &lt;https://lgbt.foundation/news/35th-anniversary-of-lesbian-and-gays-support-the-miners/315&gt; [accessed 28 February 2022]</w:t>
      </w:r>
    </w:p>
  </w:footnote>
  <w:footnote w:id="5">
    <w:p w14:paraId="2A99093F" w14:textId="77777777" w:rsidR="00DF4CFE" w:rsidRDefault="00DF4CFE" w:rsidP="00DF4CFE">
      <w:pPr>
        <w:pStyle w:val="NormalWeb"/>
        <w:ind w:left="720" w:hanging="720"/>
        <w:rPr>
          <w:rFonts w:ascii="Georgia" w:hAnsi="Georgia"/>
        </w:rPr>
      </w:pPr>
      <w:r>
        <w:rPr>
          <w:rStyle w:val="FootnoteReference"/>
        </w:rPr>
        <w:footnoteRef/>
      </w:r>
      <w:r>
        <w:t xml:space="preserve"> </w:t>
      </w:r>
      <w:proofErr w:type="spellStart"/>
      <w:r w:rsidRPr="00DF4CFE">
        <w:rPr>
          <w:sz w:val="18"/>
          <w:szCs w:val="18"/>
        </w:rPr>
        <w:t>Kelliher</w:t>
      </w:r>
      <w:proofErr w:type="spellEnd"/>
      <w:r w:rsidRPr="00DF4CFE">
        <w:rPr>
          <w:sz w:val="18"/>
          <w:szCs w:val="18"/>
        </w:rPr>
        <w:t>, D. 2014. “Solidarity and Sexuality: Lesbians and Gays Support the Miners 1984-5,” History Workshop Journal: HWJ, 77.1: 240–62 &lt;https://doi.org/10.1093/hwj/dbt012&gt;</w:t>
      </w:r>
    </w:p>
    <w:p w14:paraId="50570A13" w14:textId="4C047F51" w:rsidR="00DF4CFE" w:rsidRDefault="00DF4CFE">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076"/>
    <w:rsid w:val="00027FA8"/>
    <w:rsid w:val="0018234A"/>
    <w:rsid w:val="00256FB8"/>
    <w:rsid w:val="002576D1"/>
    <w:rsid w:val="00267535"/>
    <w:rsid w:val="002A21C0"/>
    <w:rsid w:val="00345575"/>
    <w:rsid w:val="00381267"/>
    <w:rsid w:val="00545D9D"/>
    <w:rsid w:val="005B3312"/>
    <w:rsid w:val="006010EF"/>
    <w:rsid w:val="00664EFD"/>
    <w:rsid w:val="007B14A9"/>
    <w:rsid w:val="007C1E46"/>
    <w:rsid w:val="007C43A8"/>
    <w:rsid w:val="007E0306"/>
    <w:rsid w:val="00842251"/>
    <w:rsid w:val="00952BB9"/>
    <w:rsid w:val="00A34821"/>
    <w:rsid w:val="00A53347"/>
    <w:rsid w:val="00AD074A"/>
    <w:rsid w:val="00B14076"/>
    <w:rsid w:val="00B15243"/>
    <w:rsid w:val="00B323B9"/>
    <w:rsid w:val="00B9060D"/>
    <w:rsid w:val="00C93727"/>
    <w:rsid w:val="00CF3B24"/>
    <w:rsid w:val="00D377FA"/>
    <w:rsid w:val="00DF4CFE"/>
    <w:rsid w:val="00EF0A4E"/>
    <w:rsid w:val="00F23973"/>
    <w:rsid w:val="00F54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97753"/>
  <w15:chartTrackingRefBased/>
  <w15:docId w15:val="{B742905C-28E1-4DB8-A29B-0DADDBA68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812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1267"/>
    <w:rPr>
      <w:sz w:val="20"/>
      <w:szCs w:val="20"/>
    </w:rPr>
  </w:style>
  <w:style w:type="character" w:styleId="FootnoteReference">
    <w:name w:val="footnote reference"/>
    <w:basedOn w:val="DefaultParagraphFont"/>
    <w:uiPriority w:val="99"/>
    <w:semiHidden/>
    <w:unhideWhenUsed/>
    <w:rsid w:val="00381267"/>
    <w:rPr>
      <w:vertAlign w:val="superscript"/>
    </w:rPr>
  </w:style>
  <w:style w:type="paragraph" w:styleId="NormalWeb">
    <w:name w:val="Normal (Web)"/>
    <w:basedOn w:val="Normal"/>
    <w:uiPriority w:val="99"/>
    <w:unhideWhenUsed/>
    <w:rsid w:val="00256F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576D1"/>
    <w:rPr>
      <w:color w:val="0563C1" w:themeColor="hyperlink"/>
      <w:u w:val="single"/>
    </w:rPr>
  </w:style>
  <w:style w:type="character" w:styleId="UnresolvedMention">
    <w:name w:val="Unresolved Mention"/>
    <w:basedOn w:val="DefaultParagraphFont"/>
    <w:uiPriority w:val="99"/>
    <w:semiHidden/>
    <w:unhideWhenUsed/>
    <w:rsid w:val="002576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39524">
      <w:bodyDiv w:val="1"/>
      <w:marLeft w:val="0"/>
      <w:marRight w:val="0"/>
      <w:marTop w:val="0"/>
      <w:marBottom w:val="0"/>
      <w:divBdr>
        <w:top w:val="none" w:sz="0" w:space="0" w:color="auto"/>
        <w:left w:val="none" w:sz="0" w:space="0" w:color="auto"/>
        <w:bottom w:val="none" w:sz="0" w:space="0" w:color="auto"/>
        <w:right w:val="none" w:sz="0" w:space="0" w:color="auto"/>
      </w:divBdr>
    </w:div>
    <w:div w:id="563025577">
      <w:bodyDiv w:val="1"/>
      <w:marLeft w:val="0"/>
      <w:marRight w:val="0"/>
      <w:marTop w:val="0"/>
      <w:marBottom w:val="0"/>
      <w:divBdr>
        <w:top w:val="none" w:sz="0" w:space="0" w:color="auto"/>
        <w:left w:val="none" w:sz="0" w:space="0" w:color="auto"/>
        <w:bottom w:val="none" w:sz="0" w:space="0" w:color="auto"/>
        <w:right w:val="none" w:sz="0" w:space="0" w:color="auto"/>
      </w:divBdr>
    </w:div>
    <w:div w:id="1394233315">
      <w:bodyDiv w:val="1"/>
      <w:marLeft w:val="0"/>
      <w:marRight w:val="0"/>
      <w:marTop w:val="0"/>
      <w:marBottom w:val="0"/>
      <w:divBdr>
        <w:top w:val="none" w:sz="0" w:space="0" w:color="auto"/>
        <w:left w:val="none" w:sz="0" w:space="0" w:color="auto"/>
        <w:bottom w:val="none" w:sz="0" w:space="0" w:color="auto"/>
        <w:right w:val="none" w:sz="0" w:space="0" w:color="auto"/>
      </w:divBdr>
    </w:div>
    <w:div w:id="1501968570">
      <w:bodyDiv w:val="1"/>
      <w:marLeft w:val="0"/>
      <w:marRight w:val="0"/>
      <w:marTop w:val="0"/>
      <w:marBottom w:val="0"/>
      <w:divBdr>
        <w:top w:val="none" w:sz="0" w:space="0" w:color="auto"/>
        <w:left w:val="none" w:sz="0" w:space="0" w:color="auto"/>
        <w:bottom w:val="none" w:sz="0" w:space="0" w:color="auto"/>
        <w:right w:val="none" w:sz="0" w:space="0" w:color="auto"/>
      </w:divBdr>
    </w:div>
    <w:div w:id="1725175113">
      <w:bodyDiv w:val="1"/>
      <w:marLeft w:val="0"/>
      <w:marRight w:val="0"/>
      <w:marTop w:val="0"/>
      <w:marBottom w:val="0"/>
      <w:divBdr>
        <w:top w:val="none" w:sz="0" w:space="0" w:color="auto"/>
        <w:left w:val="none" w:sz="0" w:space="0" w:color="auto"/>
        <w:bottom w:val="none" w:sz="0" w:space="0" w:color="auto"/>
        <w:right w:val="none" w:sz="0" w:space="0" w:color="auto"/>
      </w:divBdr>
    </w:div>
    <w:div w:id="1949776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gbt.foundation/news/35th-anniversary-of-lesbian-and-gays-support-the-miners/31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031FEF-B2C6-4488-906F-32DBDD344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2</Pages>
  <Words>480</Words>
  <Characters>2741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Sloanes</dc:creator>
  <cp:keywords/>
  <dc:description/>
  <cp:lastModifiedBy>Bradley Sloanes</cp:lastModifiedBy>
  <cp:revision>29</cp:revision>
  <dcterms:created xsi:type="dcterms:W3CDTF">2022-02-28T05:04:00Z</dcterms:created>
  <dcterms:modified xsi:type="dcterms:W3CDTF">2022-02-28T06:38:00Z</dcterms:modified>
</cp:coreProperties>
</file>