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3019E7" w14:textId="77777777" w:rsidR="004D4B36" w:rsidRDefault="00000000">
      <w:pPr>
        <w:spacing w:before="480"/>
      </w:pPr>
      <w:r>
        <w:rPr>
          <w:noProof/>
        </w:rPr>
        <w:drawing>
          <wp:anchor distT="114300" distB="114300" distL="114300" distR="114300" simplePos="0" relativeHeight="251658240" behindDoc="0" locked="0" layoutInCell="1" hidden="0" allowOverlap="1" wp14:anchorId="4F023176" wp14:editId="08FEB416">
            <wp:simplePos x="0" y="0"/>
            <wp:positionH relativeFrom="margin">
              <wp:align>center</wp:align>
            </wp:positionH>
            <wp:positionV relativeFrom="paragraph">
              <wp:posOffset>184150</wp:posOffset>
            </wp:positionV>
            <wp:extent cx="3092450" cy="806450"/>
            <wp:effectExtent l="0" t="0" r="0" b="0"/>
            <wp:wrapSquare wrapText="bothSides" distT="114300" distB="11430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092450" cy="806450"/>
                    </a:xfrm>
                    <a:prstGeom prst="rect">
                      <a:avLst/>
                    </a:prstGeom>
                    <a:ln/>
                  </pic:spPr>
                </pic:pic>
              </a:graphicData>
            </a:graphic>
            <wp14:sizeRelH relativeFrom="margin">
              <wp14:pctWidth>0</wp14:pctWidth>
            </wp14:sizeRelH>
            <wp14:sizeRelV relativeFrom="margin">
              <wp14:pctHeight>0</wp14:pctHeight>
            </wp14:sizeRelV>
          </wp:anchor>
        </w:drawing>
      </w:r>
    </w:p>
    <w:p w14:paraId="745EB7B0" w14:textId="77777777" w:rsidR="004D4B36" w:rsidRDefault="004D4B36">
      <w:pPr>
        <w:spacing w:before="480"/>
        <w:jc w:val="center"/>
        <w:rPr>
          <w:sz w:val="32"/>
          <w:szCs w:val="32"/>
        </w:rPr>
      </w:pPr>
    </w:p>
    <w:p w14:paraId="24554E9F" w14:textId="77777777" w:rsidR="004D4B36" w:rsidRDefault="004D4B36" w:rsidP="00A0294E">
      <w:pPr>
        <w:spacing w:before="480"/>
        <w:rPr>
          <w:sz w:val="32"/>
          <w:szCs w:val="32"/>
        </w:rPr>
      </w:pPr>
    </w:p>
    <w:p w14:paraId="33CB9277" w14:textId="6AEDEEF7" w:rsidR="004D4B36" w:rsidRPr="00A0294E" w:rsidRDefault="00000000" w:rsidP="00A0294E">
      <w:pPr>
        <w:spacing w:before="480"/>
        <w:jc w:val="center"/>
        <w:rPr>
          <w:b/>
          <w:bCs/>
          <w:sz w:val="44"/>
          <w:szCs w:val="44"/>
        </w:rPr>
      </w:pPr>
      <w:r w:rsidRPr="00A0294E">
        <w:rPr>
          <w:b/>
          <w:bCs/>
          <w:sz w:val="44"/>
          <w:szCs w:val="44"/>
        </w:rPr>
        <w:t>BMIH5007</w:t>
      </w:r>
      <w:r w:rsidR="00A0294E" w:rsidRPr="00A0294E">
        <w:rPr>
          <w:b/>
          <w:bCs/>
          <w:sz w:val="44"/>
          <w:szCs w:val="44"/>
        </w:rPr>
        <w:t xml:space="preserve"> </w:t>
      </w:r>
      <w:r w:rsidRPr="00A0294E">
        <w:rPr>
          <w:b/>
          <w:bCs/>
          <w:sz w:val="44"/>
          <w:szCs w:val="44"/>
        </w:rPr>
        <w:t>Financial Management for the Hotel Industry</w:t>
      </w:r>
    </w:p>
    <w:p w14:paraId="132E47BC" w14:textId="7182BD94" w:rsidR="00A0294E" w:rsidRDefault="00A0294E" w:rsidP="00A0294E">
      <w:pPr>
        <w:spacing w:before="480"/>
        <w:jc w:val="center"/>
        <w:rPr>
          <w:sz w:val="32"/>
          <w:szCs w:val="32"/>
        </w:rPr>
      </w:pPr>
      <w:r w:rsidRPr="00A0294E">
        <w:rPr>
          <w:sz w:val="32"/>
          <w:szCs w:val="32"/>
        </w:rPr>
        <w:t>Report Title: Turnaround Strategy for Urban Heights Hotel</w:t>
      </w:r>
    </w:p>
    <w:p w14:paraId="23BEB7CC" w14:textId="674CC606" w:rsidR="004D4B36" w:rsidRDefault="00000000" w:rsidP="00A0294E">
      <w:pPr>
        <w:spacing w:before="480"/>
        <w:jc w:val="center"/>
        <w:rPr>
          <w:sz w:val="32"/>
          <w:szCs w:val="32"/>
        </w:rPr>
      </w:pPr>
      <w:r>
        <w:rPr>
          <w:sz w:val="32"/>
          <w:szCs w:val="32"/>
        </w:rPr>
        <w:t>Student Name:</w:t>
      </w:r>
      <w:r w:rsidR="00A0294E">
        <w:rPr>
          <w:sz w:val="32"/>
          <w:szCs w:val="32"/>
        </w:rPr>
        <w:t xml:space="preserve"> </w:t>
      </w:r>
      <w:r w:rsidR="00A0294E" w:rsidRPr="00A0294E">
        <w:rPr>
          <w:sz w:val="32"/>
          <w:szCs w:val="32"/>
        </w:rPr>
        <w:t>Alin Stefanescu</w:t>
      </w:r>
    </w:p>
    <w:p w14:paraId="669DDB68" w14:textId="3B09E982" w:rsidR="004D4B36" w:rsidRDefault="00000000" w:rsidP="00A0294E">
      <w:pPr>
        <w:spacing w:before="480"/>
        <w:jc w:val="center"/>
        <w:rPr>
          <w:sz w:val="32"/>
          <w:szCs w:val="32"/>
        </w:rPr>
      </w:pPr>
      <w:r>
        <w:rPr>
          <w:sz w:val="32"/>
          <w:szCs w:val="32"/>
        </w:rPr>
        <w:t>Student ID:</w:t>
      </w:r>
      <w:r w:rsidR="00901DEC">
        <w:rPr>
          <w:sz w:val="32"/>
          <w:szCs w:val="32"/>
        </w:rPr>
        <w:t xml:space="preserve"> 2230719</w:t>
      </w:r>
    </w:p>
    <w:p w14:paraId="50F71DDD" w14:textId="77777777" w:rsidR="004D4B36" w:rsidRDefault="004D4B36" w:rsidP="00A0294E">
      <w:pPr>
        <w:spacing w:before="480"/>
        <w:jc w:val="center"/>
        <w:rPr>
          <w:sz w:val="32"/>
          <w:szCs w:val="32"/>
        </w:rPr>
      </w:pPr>
    </w:p>
    <w:p w14:paraId="33419581" w14:textId="77777777" w:rsidR="004D4B36" w:rsidRDefault="004D4B36">
      <w:pPr>
        <w:spacing w:before="480"/>
        <w:jc w:val="center"/>
        <w:rPr>
          <w:sz w:val="32"/>
          <w:szCs w:val="32"/>
        </w:rPr>
      </w:pPr>
    </w:p>
    <w:p w14:paraId="7611571E" w14:textId="77777777" w:rsidR="004D4B36" w:rsidRDefault="004D4B36">
      <w:pPr>
        <w:spacing w:before="480"/>
        <w:jc w:val="center"/>
        <w:rPr>
          <w:sz w:val="32"/>
          <w:szCs w:val="32"/>
        </w:rPr>
      </w:pPr>
    </w:p>
    <w:p w14:paraId="12481143" w14:textId="77777777" w:rsidR="004D4B36" w:rsidRDefault="004D4B36">
      <w:pPr>
        <w:spacing w:before="480"/>
        <w:jc w:val="center"/>
        <w:rPr>
          <w:sz w:val="32"/>
          <w:szCs w:val="32"/>
        </w:rPr>
      </w:pPr>
    </w:p>
    <w:p w14:paraId="2A818013" w14:textId="1CCB8F07" w:rsidR="004D4B36" w:rsidRDefault="00000000" w:rsidP="00A0294E">
      <w:pPr>
        <w:spacing w:before="480"/>
        <w:rPr>
          <w:sz w:val="32"/>
          <w:szCs w:val="32"/>
        </w:rPr>
      </w:pPr>
      <w:r>
        <w:br w:type="page"/>
      </w:r>
    </w:p>
    <w:p w14:paraId="451B1E96" w14:textId="77777777" w:rsidR="004D4B36" w:rsidRPr="00A0294E" w:rsidRDefault="00000000">
      <w:pPr>
        <w:spacing w:before="480" w:line="480" w:lineRule="auto"/>
        <w:jc w:val="center"/>
        <w:rPr>
          <w:b/>
          <w:bCs/>
          <w:sz w:val="32"/>
          <w:szCs w:val="32"/>
        </w:rPr>
      </w:pPr>
      <w:r w:rsidRPr="00A0294E">
        <w:rPr>
          <w:b/>
          <w:bCs/>
          <w:sz w:val="32"/>
          <w:szCs w:val="32"/>
        </w:rPr>
        <w:lastRenderedPageBreak/>
        <w:t>Table of contents</w:t>
      </w:r>
    </w:p>
    <w:sdt>
      <w:sdtPr>
        <w:id w:val="808436672"/>
        <w:docPartObj>
          <w:docPartGallery w:val="Table of Contents"/>
          <w:docPartUnique/>
        </w:docPartObj>
      </w:sdtPr>
      <w:sdtContent>
        <w:p w14:paraId="3C71377C" w14:textId="77777777" w:rsidR="004D4B36" w:rsidRDefault="00000000">
          <w:pPr>
            <w:widowControl w:val="0"/>
            <w:tabs>
              <w:tab w:val="right" w:leader="dot" w:pos="12000"/>
            </w:tabs>
            <w:spacing w:before="60" w:line="480" w:lineRule="auto"/>
            <w:jc w:val="left"/>
            <w:rPr>
              <w:b/>
              <w:color w:val="000000"/>
            </w:rPr>
          </w:pPr>
          <w:r>
            <w:fldChar w:fldCharType="begin"/>
          </w:r>
          <w:r>
            <w:instrText xml:space="preserve"> TOC \h \u \z \t "Heading 1,1,Heading 2,2,Heading 3,3,Heading 4,4,Heading 5,5,Heading 6,6,"</w:instrText>
          </w:r>
          <w:r>
            <w:fldChar w:fldCharType="separate"/>
          </w:r>
          <w:hyperlink w:anchor="_evnaumb3kfka">
            <w:r>
              <w:rPr>
                <w:b/>
                <w:color w:val="000000"/>
              </w:rPr>
              <w:t>1. Introduction</w:t>
            </w:r>
            <w:r>
              <w:rPr>
                <w:b/>
                <w:color w:val="000000"/>
              </w:rPr>
              <w:tab/>
              <w:t>3</w:t>
            </w:r>
          </w:hyperlink>
        </w:p>
        <w:p w14:paraId="5E6A6577" w14:textId="77777777" w:rsidR="004D4B36" w:rsidRDefault="00000000">
          <w:pPr>
            <w:widowControl w:val="0"/>
            <w:tabs>
              <w:tab w:val="right" w:leader="dot" w:pos="12000"/>
            </w:tabs>
            <w:spacing w:before="60" w:line="480" w:lineRule="auto"/>
            <w:jc w:val="left"/>
            <w:rPr>
              <w:b/>
              <w:color w:val="000000"/>
            </w:rPr>
          </w:pPr>
          <w:hyperlink w:anchor="_nv3ggl3cjb2d">
            <w:r>
              <w:rPr>
                <w:b/>
                <w:color w:val="000000"/>
              </w:rPr>
              <w:t>2. Financial Analysis</w:t>
            </w:r>
            <w:r>
              <w:rPr>
                <w:b/>
                <w:color w:val="000000"/>
              </w:rPr>
              <w:tab/>
              <w:t>3</w:t>
            </w:r>
          </w:hyperlink>
        </w:p>
        <w:p w14:paraId="32C362C5" w14:textId="77777777" w:rsidR="004D4B36" w:rsidRDefault="00000000">
          <w:pPr>
            <w:widowControl w:val="0"/>
            <w:tabs>
              <w:tab w:val="right" w:leader="dot" w:pos="12000"/>
            </w:tabs>
            <w:spacing w:before="60" w:line="480" w:lineRule="auto"/>
            <w:ind w:left="360"/>
            <w:jc w:val="left"/>
            <w:rPr>
              <w:color w:val="000000"/>
            </w:rPr>
          </w:pPr>
          <w:hyperlink w:anchor="_b7tptvo6b3rl">
            <w:r>
              <w:rPr>
                <w:color w:val="000000"/>
              </w:rPr>
              <w:t>2.1. Profitability Ratios</w:t>
            </w:r>
            <w:r>
              <w:rPr>
                <w:color w:val="000000"/>
              </w:rPr>
              <w:tab/>
              <w:t>3</w:t>
            </w:r>
          </w:hyperlink>
        </w:p>
        <w:p w14:paraId="0CB0DF8F" w14:textId="77777777" w:rsidR="004D4B36" w:rsidRDefault="00000000">
          <w:pPr>
            <w:widowControl w:val="0"/>
            <w:tabs>
              <w:tab w:val="right" w:leader="dot" w:pos="12000"/>
            </w:tabs>
            <w:spacing w:before="60" w:line="480" w:lineRule="auto"/>
            <w:ind w:left="360"/>
            <w:jc w:val="left"/>
            <w:rPr>
              <w:color w:val="000000"/>
            </w:rPr>
          </w:pPr>
          <w:hyperlink w:anchor="_2nrwei53jubn">
            <w:r>
              <w:rPr>
                <w:color w:val="000000"/>
              </w:rPr>
              <w:t>2.2. Liquidity Ratios</w:t>
            </w:r>
            <w:r>
              <w:rPr>
                <w:color w:val="000000"/>
              </w:rPr>
              <w:tab/>
              <w:t>4</w:t>
            </w:r>
          </w:hyperlink>
        </w:p>
        <w:p w14:paraId="787D2911" w14:textId="77777777" w:rsidR="004D4B36" w:rsidRDefault="00000000">
          <w:pPr>
            <w:widowControl w:val="0"/>
            <w:tabs>
              <w:tab w:val="right" w:leader="dot" w:pos="12000"/>
            </w:tabs>
            <w:spacing w:before="60" w:line="480" w:lineRule="auto"/>
            <w:ind w:left="360"/>
            <w:jc w:val="left"/>
            <w:rPr>
              <w:color w:val="000000"/>
            </w:rPr>
          </w:pPr>
          <w:hyperlink w:anchor="_xiz84h4jmeuv">
            <w:r>
              <w:rPr>
                <w:color w:val="000000"/>
              </w:rPr>
              <w:t>2.3. Solvency Ratios</w:t>
            </w:r>
            <w:r>
              <w:rPr>
                <w:color w:val="000000"/>
              </w:rPr>
              <w:tab/>
              <w:t>5</w:t>
            </w:r>
          </w:hyperlink>
        </w:p>
        <w:p w14:paraId="749D7340" w14:textId="77777777" w:rsidR="004D4B36" w:rsidRDefault="00000000">
          <w:pPr>
            <w:widowControl w:val="0"/>
            <w:tabs>
              <w:tab w:val="right" w:leader="dot" w:pos="12000"/>
            </w:tabs>
            <w:spacing w:before="60" w:line="480" w:lineRule="auto"/>
            <w:jc w:val="left"/>
            <w:rPr>
              <w:b/>
              <w:color w:val="000000"/>
            </w:rPr>
          </w:pPr>
          <w:hyperlink w:anchor="_j493yuo27kld">
            <w:r>
              <w:rPr>
                <w:b/>
                <w:color w:val="000000"/>
              </w:rPr>
              <w:t>3. Reasons for Decline in Profitability</w:t>
            </w:r>
            <w:r>
              <w:rPr>
                <w:b/>
                <w:color w:val="000000"/>
              </w:rPr>
              <w:tab/>
              <w:t>7</w:t>
            </w:r>
          </w:hyperlink>
        </w:p>
        <w:p w14:paraId="575B44AD" w14:textId="77777777" w:rsidR="004D4B36" w:rsidRDefault="00000000">
          <w:pPr>
            <w:widowControl w:val="0"/>
            <w:tabs>
              <w:tab w:val="right" w:leader="dot" w:pos="12000"/>
            </w:tabs>
            <w:spacing w:before="60" w:line="480" w:lineRule="auto"/>
            <w:ind w:left="360"/>
            <w:jc w:val="left"/>
            <w:rPr>
              <w:color w:val="000000"/>
            </w:rPr>
          </w:pPr>
          <w:hyperlink w:anchor="_rvl5f56s0btn">
            <w:r>
              <w:rPr>
                <w:color w:val="000000"/>
              </w:rPr>
              <w:t>3.1 Internal Factors</w:t>
            </w:r>
            <w:r>
              <w:rPr>
                <w:color w:val="000000"/>
              </w:rPr>
              <w:tab/>
              <w:t>7</w:t>
            </w:r>
          </w:hyperlink>
        </w:p>
        <w:p w14:paraId="63668660" w14:textId="77777777" w:rsidR="004D4B36" w:rsidRDefault="00000000">
          <w:pPr>
            <w:widowControl w:val="0"/>
            <w:tabs>
              <w:tab w:val="right" w:leader="dot" w:pos="12000"/>
            </w:tabs>
            <w:spacing w:before="60" w:line="480" w:lineRule="auto"/>
            <w:ind w:left="360"/>
            <w:jc w:val="left"/>
            <w:rPr>
              <w:color w:val="000000"/>
            </w:rPr>
          </w:pPr>
          <w:hyperlink w:anchor="_p16wyxpkt4ps">
            <w:r>
              <w:rPr>
                <w:color w:val="000000"/>
              </w:rPr>
              <w:t>3.2 External Factors</w:t>
            </w:r>
            <w:r>
              <w:rPr>
                <w:color w:val="000000"/>
              </w:rPr>
              <w:tab/>
              <w:t>7</w:t>
            </w:r>
          </w:hyperlink>
        </w:p>
        <w:p w14:paraId="6F3DEF6F" w14:textId="77777777" w:rsidR="004D4B36" w:rsidRDefault="00000000">
          <w:pPr>
            <w:widowControl w:val="0"/>
            <w:tabs>
              <w:tab w:val="right" w:leader="dot" w:pos="12000"/>
            </w:tabs>
            <w:spacing w:before="60" w:line="480" w:lineRule="auto"/>
            <w:jc w:val="left"/>
            <w:rPr>
              <w:b/>
              <w:color w:val="000000"/>
            </w:rPr>
          </w:pPr>
          <w:hyperlink w:anchor="_pg71ubmqlayn">
            <w:r>
              <w:rPr>
                <w:b/>
                <w:color w:val="000000"/>
              </w:rPr>
              <w:t>4. Turnaround Strategy</w:t>
            </w:r>
            <w:r>
              <w:rPr>
                <w:b/>
                <w:color w:val="000000"/>
              </w:rPr>
              <w:tab/>
              <w:t>8</w:t>
            </w:r>
          </w:hyperlink>
        </w:p>
        <w:p w14:paraId="36175801" w14:textId="77777777" w:rsidR="004D4B36" w:rsidRDefault="00000000">
          <w:pPr>
            <w:widowControl w:val="0"/>
            <w:tabs>
              <w:tab w:val="right" w:leader="dot" w:pos="12000"/>
            </w:tabs>
            <w:spacing w:before="60" w:line="480" w:lineRule="auto"/>
            <w:ind w:left="360"/>
            <w:jc w:val="left"/>
            <w:rPr>
              <w:color w:val="000000"/>
            </w:rPr>
          </w:pPr>
          <w:hyperlink w:anchor="_n2dvh1mf0hpe">
            <w:r>
              <w:rPr>
                <w:color w:val="000000"/>
              </w:rPr>
              <w:t>4.1. Cost Optimization</w:t>
            </w:r>
            <w:r>
              <w:rPr>
                <w:color w:val="000000"/>
              </w:rPr>
              <w:tab/>
              <w:t>8</w:t>
            </w:r>
          </w:hyperlink>
        </w:p>
        <w:p w14:paraId="389800BF" w14:textId="77777777" w:rsidR="004D4B36" w:rsidRDefault="00000000">
          <w:pPr>
            <w:widowControl w:val="0"/>
            <w:tabs>
              <w:tab w:val="right" w:leader="dot" w:pos="12000"/>
            </w:tabs>
            <w:spacing w:before="60" w:line="480" w:lineRule="auto"/>
            <w:ind w:left="360"/>
            <w:jc w:val="left"/>
            <w:rPr>
              <w:color w:val="000000"/>
            </w:rPr>
          </w:pPr>
          <w:hyperlink w:anchor="_cv3kakwbjpmc">
            <w:r>
              <w:rPr>
                <w:color w:val="000000"/>
              </w:rPr>
              <w:t>4.2. Revenue Enhancement</w:t>
            </w:r>
            <w:r>
              <w:rPr>
                <w:color w:val="000000"/>
              </w:rPr>
              <w:tab/>
              <w:t>9</w:t>
            </w:r>
          </w:hyperlink>
        </w:p>
        <w:p w14:paraId="3A6165D2" w14:textId="77777777" w:rsidR="004D4B36" w:rsidRDefault="00000000">
          <w:pPr>
            <w:widowControl w:val="0"/>
            <w:tabs>
              <w:tab w:val="right" w:leader="dot" w:pos="12000"/>
            </w:tabs>
            <w:spacing w:before="60" w:line="480" w:lineRule="auto"/>
            <w:ind w:left="360"/>
            <w:jc w:val="left"/>
            <w:rPr>
              <w:color w:val="000000"/>
            </w:rPr>
          </w:pPr>
          <w:hyperlink w:anchor="_t4s8cieb9tt2">
            <w:r>
              <w:rPr>
                <w:color w:val="000000"/>
              </w:rPr>
              <w:t>4.3. Operational Improvements</w:t>
            </w:r>
            <w:r>
              <w:rPr>
                <w:color w:val="000000"/>
              </w:rPr>
              <w:tab/>
              <w:t>9</w:t>
            </w:r>
          </w:hyperlink>
        </w:p>
        <w:p w14:paraId="458BF93D" w14:textId="77777777" w:rsidR="004D4B36" w:rsidRDefault="00000000">
          <w:pPr>
            <w:widowControl w:val="0"/>
            <w:tabs>
              <w:tab w:val="right" w:leader="dot" w:pos="12000"/>
            </w:tabs>
            <w:spacing w:before="60" w:line="480" w:lineRule="auto"/>
            <w:ind w:left="360"/>
            <w:jc w:val="left"/>
            <w:rPr>
              <w:color w:val="000000"/>
            </w:rPr>
          </w:pPr>
          <w:hyperlink w:anchor="_tq53d39tyttt">
            <w:r>
              <w:rPr>
                <w:color w:val="000000"/>
              </w:rPr>
              <w:t>4.4. Strategic Repositioning</w:t>
            </w:r>
            <w:r>
              <w:rPr>
                <w:color w:val="000000"/>
              </w:rPr>
              <w:tab/>
              <w:t>10</w:t>
            </w:r>
          </w:hyperlink>
        </w:p>
        <w:p w14:paraId="25E56BBC" w14:textId="77777777" w:rsidR="004D4B36" w:rsidRDefault="00000000">
          <w:pPr>
            <w:widowControl w:val="0"/>
            <w:tabs>
              <w:tab w:val="right" w:leader="dot" w:pos="12000"/>
            </w:tabs>
            <w:spacing w:before="60" w:line="480" w:lineRule="auto"/>
            <w:jc w:val="left"/>
            <w:rPr>
              <w:b/>
              <w:color w:val="000000"/>
            </w:rPr>
          </w:pPr>
          <w:hyperlink w:anchor="_ku6qe9j90cgi">
            <w:r>
              <w:rPr>
                <w:b/>
                <w:color w:val="000000"/>
              </w:rPr>
              <w:t>5. Conclusion</w:t>
            </w:r>
            <w:r>
              <w:rPr>
                <w:b/>
                <w:color w:val="000000"/>
              </w:rPr>
              <w:tab/>
              <w:t>11</w:t>
            </w:r>
          </w:hyperlink>
        </w:p>
        <w:p w14:paraId="6D62C537" w14:textId="77777777" w:rsidR="004D4B36" w:rsidRDefault="00000000">
          <w:pPr>
            <w:widowControl w:val="0"/>
            <w:tabs>
              <w:tab w:val="right" w:leader="dot" w:pos="12000"/>
            </w:tabs>
            <w:spacing w:before="60" w:line="480" w:lineRule="auto"/>
            <w:jc w:val="left"/>
            <w:rPr>
              <w:b/>
              <w:color w:val="000000"/>
            </w:rPr>
          </w:pPr>
          <w:hyperlink w:anchor="_4nyxjahqf7to">
            <w:r>
              <w:rPr>
                <w:b/>
                <w:color w:val="000000"/>
              </w:rPr>
              <w:t>References</w:t>
            </w:r>
            <w:r>
              <w:rPr>
                <w:b/>
                <w:color w:val="000000"/>
              </w:rPr>
              <w:tab/>
              <w:t>12</w:t>
            </w:r>
          </w:hyperlink>
          <w:r>
            <w:fldChar w:fldCharType="end"/>
          </w:r>
        </w:p>
      </w:sdtContent>
    </w:sdt>
    <w:p w14:paraId="0134B87C" w14:textId="77777777" w:rsidR="004D4B36" w:rsidRDefault="004D4B36">
      <w:pPr>
        <w:spacing w:before="480" w:line="480" w:lineRule="auto"/>
        <w:jc w:val="center"/>
        <w:rPr>
          <w:sz w:val="32"/>
          <w:szCs w:val="32"/>
        </w:rPr>
      </w:pPr>
    </w:p>
    <w:p w14:paraId="5E9616EE" w14:textId="77777777" w:rsidR="004D4B36" w:rsidRDefault="00000000">
      <w:pPr>
        <w:spacing w:after="80"/>
      </w:pPr>
      <w:r>
        <w:br w:type="page"/>
      </w:r>
    </w:p>
    <w:p w14:paraId="3EFA96E8" w14:textId="77777777" w:rsidR="004D4B36" w:rsidRDefault="00000000">
      <w:pPr>
        <w:pStyle w:val="Heading1"/>
        <w:spacing w:after="80"/>
      </w:pPr>
      <w:bookmarkStart w:id="0" w:name="_evnaumb3kfka" w:colFirst="0" w:colLast="0"/>
      <w:bookmarkEnd w:id="0"/>
      <w:r>
        <w:lastRenderedPageBreak/>
        <w:t>1. Introduction</w:t>
      </w:r>
    </w:p>
    <w:p w14:paraId="2E7C1D8C" w14:textId="77777777" w:rsidR="004D4B36" w:rsidRDefault="00000000">
      <w:pPr>
        <w:spacing w:before="240" w:after="240"/>
      </w:pPr>
      <w:r>
        <w:rPr>
          <w:highlight w:val="white"/>
        </w:rPr>
        <w:t>The Urban Heights Hotel is among the leading companies in the hospitality industry that provides hotel rooms, food services, and rental services for events. The owner, realizing the severity of the situation, has engaged expert help to review the feasibility of the resort and come up with a proper strategic management plan. The purpose of this report is to examine the hotel’s financial and operational performance over the past few years, understand the reasons behind the decline of the business, and recommend a strategic solution to improve financial standing and bring back the reputation of the company.</w:t>
      </w:r>
    </w:p>
    <w:p w14:paraId="486EE399" w14:textId="77777777" w:rsidR="00A0294E" w:rsidRDefault="00A0294E">
      <w:pPr>
        <w:rPr>
          <w:b/>
          <w:sz w:val="32"/>
          <w:szCs w:val="40"/>
        </w:rPr>
      </w:pPr>
      <w:bookmarkStart w:id="1" w:name="_nv3ggl3cjb2d" w:colFirst="0" w:colLast="0"/>
      <w:bookmarkEnd w:id="1"/>
      <w:r>
        <w:br w:type="page"/>
      </w:r>
    </w:p>
    <w:p w14:paraId="6A864079" w14:textId="48503786" w:rsidR="004D4B36" w:rsidRDefault="00000000">
      <w:pPr>
        <w:pStyle w:val="Heading1"/>
        <w:spacing w:after="80"/>
      </w:pPr>
      <w:r>
        <w:lastRenderedPageBreak/>
        <w:t>2. Financial Analysis</w:t>
      </w:r>
    </w:p>
    <w:p w14:paraId="3B646023" w14:textId="77777777" w:rsidR="004D4B36" w:rsidRDefault="00000000">
      <w:pPr>
        <w:spacing w:before="240" w:after="240"/>
      </w:pPr>
      <w:r>
        <w:rPr>
          <w:highlight w:val="white"/>
        </w:rPr>
        <w:t>In order to analyse Urban Heights Hotel’s balance sheet and statement of profit, it is crucial to assess the company’s financial statements and calculate some simple ratios. These ratios will help to know the profit efficiency, liquidating capability and solvency status of the hotel to make a smart decision.</w:t>
      </w:r>
    </w:p>
    <w:p w14:paraId="14C8F410" w14:textId="77777777" w:rsidR="004D4B36" w:rsidRDefault="00000000">
      <w:pPr>
        <w:pStyle w:val="Heading2"/>
        <w:spacing w:before="280"/>
      </w:pPr>
      <w:bookmarkStart w:id="2" w:name="_b7tptvo6b3rl" w:colFirst="0" w:colLast="0"/>
      <w:bookmarkEnd w:id="2"/>
      <w:r>
        <w:t>2.1. Profitability Ratios</w:t>
      </w:r>
    </w:p>
    <w:p w14:paraId="7C47B904" w14:textId="77777777" w:rsidR="004D4B36" w:rsidRDefault="00000000">
      <w:pPr>
        <w:spacing w:before="240" w:after="40"/>
        <w:rPr>
          <w:b/>
        </w:rPr>
      </w:pPr>
      <w:r>
        <w:rPr>
          <w:b/>
        </w:rPr>
        <w:t>2.1.1. Net Profit Margin</w:t>
      </w: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1564"/>
        <w:gridCol w:w="1784"/>
        <w:gridCol w:w="2947"/>
        <w:gridCol w:w="3065"/>
      </w:tblGrid>
      <w:tr w:rsidR="004D4B36" w14:paraId="719BF50C" w14:textId="77777777">
        <w:trPr>
          <w:trHeight w:val="470"/>
        </w:trPr>
        <w:tc>
          <w:tcPr>
            <w:tcW w:w="15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91B8ED" w14:textId="77777777" w:rsidR="004D4B36" w:rsidRDefault="00000000">
            <w:pPr>
              <w:jc w:val="center"/>
            </w:pPr>
            <w:r>
              <w:rPr>
                <w:b/>
              </w:rPr>
              <w:t>Ratio Name</w:t>
            </w:r>
          </w:p>
        </w:tc>
        <w:tc>
          <w:tcPr>
            <w:tcW w:w="17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03A47" w14:textId="77777777" w:rsidR="004D4B36" w:rsidRDefault="00000000">
            <w:pPr>
              <w:jc w:val="center"/>
            </w:pPr>
            <w:r>
              <w:rPr>
                <w:b/>
              </w:rPr>
              <w:t>Formula</w:t>
            </w:r>
          </w:p>
        </w:tc>
        <w:tc>
          <w:tcPr>
            <w:tcW w:w="29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78C25D" w14:textId="77777777" w:rsidR="004D4B36" w:rsidRDefault="00000000">
            <w:pPr>
              <w:jc w:val="center"/>
            </w:pPr>
            <w:r>
              <w:rPr>
                <w:b/>
              </w:rPr>
              <w:t>2021 Calculation</w:t>
            </w:r>
          </w:p>
        </w:tc>
        <w:tc>
          <w:tcPr>
            <w:tcW w:w="3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C513F9" w14:textId="77777777" w:rsidR="004D4B36" w:rsidRDefault="00000000">
            <w:pPr>
              <w:jc w:val="center"/>
            </w:pPr>
            <w:r>
              <w:rPr>
                <w:b/>
              </w:rPr>
              <w:t>2022 Calculation</w:t>
            </w:r>
          </w:p>
        </w:tc>
      </w:tr>
      <w:tr w:rsidR="004D4B36" w14:paraId="19E790EB" w14:textId="77777777">
        <w:trPr>
          <w:trHeight w:val="695"/>
        </w:trPr>
        <w:tc>
          <w:tcPr>
            <w:tcW w:w="15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14B30A" w14:textId="77777777" w:rsidR="004D4B36" w:rsidRDefault="00000000">
            <w:r>
              <w:t>Net Profit Margin</w:t>
            </w:r>
          </w:p>
        </w:tc>
        <w:tc>
          <w:tcPr>
            <w:tcW w:w="17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254CD7" w14:textId="77777777" w:rsidR="004D4B36" w:rsidRDefault="00000000">
            <w:r>
              <w:t>Net Income / Revenue</w:t>
            </w:r>
          </w:p>
        </w:tc>
        <w:tc>
          <w:tcPr>
            <w:tcW w:w="29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01B582" w14:textId="77777777" w:rsidR="004D4B36" w:rsidRDefault="00000000">
            <w:r>
              <w:t>(£700,000 / £2,500,000) × 100% = 28%</w:t>
            </w:r>
          </w:p>
        </w:tc>
        <w:tc>
          <w:tcPr>
            <w:tcW w:w="3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9D4186" w14:textId="77777777" w:rsidR="004D4B36" w:rsidRDefault="00000000">
            <w:r>
              <w:t>(£200,000 / £2,200,000) × 100% = 9.09%</w:t>
            </w:r>
          </w:p>
        </w:tc>
      </w:tr>
    </w:tbl>
    <w:p w14:paraId="63AF35AD" w14:textId="77777777" w:rsidR="004D4B36" w:rsidRDefault="00000000">
      <w:pPr>
        <w:spacing w:before="240" w:after="240"/>
      </w:pPr>
      <w:r>
        <w:rPr>
          <w:highlight w:val="white"/>
        </w:rPr>
        <w:t>Net profit margin ratio is an indication of the percentage of revenue which is available for distribution to shareholders and creditors once all costs and expenses have been considered, according to Jones and Lockwood (2002). A higher figure suggests a higher level of profitability in the given period. The calculated net profit margin of the Urban Heights Hotel was reduced from 0.28 to a negative value of (0.0909) in 2022, which shows poor profitability (Weygandt, Kimmel and Kieso, 2015).</w:t>
      </w:r>
    </w:p>
    <w:p w14:paraId="53AB116D" w14:textId="77777777" w:rsidR="004D4B36" w:rsidRDefault="00000000">
      <w:pPr>
        <w:spacing w:before="240" w:after="40"/>
        <w:rPr>
          <w:b/>
        </w:rPr>
      </w:pPr>
      <w:r>
        <w:rPr>
          <w:b/>
        </w:rPr>
        <w:t>2.1.2. Return on Assets (ROA)</w:t>
      </w:r>
    </w:p>
    <w:tbl>
      <w:tblPr>
        <w:tblStyle w:val="a0"/>
        <w:tblW w:w="9360" w:type="dxa"/>
        <w:tblBorders>
          <w:top w:val="nil"/>
          <w:left w:val="nil"/>
          <w:bottom w:val="nil"/>
          <w:right w:val="nil"/>
          <w:insideH w:val="nil"/>
          <w:insideV w:val="nil"/>
        </w:tblBorders>
        <w:tblLayout w:type="fixed"/>
        <w:tblLook w:val="0600" w:firstRow="0" w:lastRow="0" w:firstColumn="0" w:lastColumn="0" w:noHBand="1" w:noVBand="1"/>
      </w:tblPr>
      <w:tblGrid>
        <w:gridCol w:w="1711"/>
        <w:gridCol w:w="1931"/>
        <w:gridCol w:w="2888"/>
        <w:gridCol w:w="2830"/>
      </w:tblGrid>
      <w:tr w:rsidR="004D4B36" w14:paraId="19EB0C86" w14:textId="77777777">
        <w:trPr>
          <w:trHeight w:val="470"/>
        </w:trPr>
        <w:tc>
          <w:tcPr>
            <w:tcW w:w="17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C86BCC" w14:textId="77777777" w:rsidR="004D4B36" w:rsidRDefault="00000000">
            <w:pPr>
              <w:jc w:val="center"/>
            </w:pPr>
            <w:r>
              <w:rPr>
                <w:b/>
              </w:rPr>
              <w:t>Ratio Name</w:t>
            </w:r>
          </w:p>
        </w:tc>
        <w:tc>
          <w:tcPr>
            <w:tcW w:w="1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DC4BD8" w14:textId="77777777" w:rsidR="004D4B36" w:rsidRDefault="00000000">
            <w:pPr>
              <w:jc w:val="center"/>
            </w:pPr>
            <w:r>
              <w:rPr>
                <w:b/>
              </w:rPr>
              <w:t>Formula</w:t>
            </w:r>
          </w:p>
        </w:tc>
        <w:tc>
          <w:tcPr>
            <w:tcW w:w="28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569C65" w14:textId="77777777" w:rsidR="004D4B36" w:rsidRDefault="00000000">
            <w:pPr>
              <w:jc w:val="center"/>
            </w:pPr>
            <w:r>
              <w:rPr>
                <w:b/>
              </w:rPr>
              <w:t>2021 Calculation</w:t>
            </w:r>
          </w:p>
        </w:tc>
        <w:tc>
          <w:tcPr>
            <w:tcW w:w="28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BAC381" w14:textId="77777777" w:rsidR="004D4B36" w:rsidRDefault="00000000">
            <w:pPr>
              <w:jc w:val="center"/>
            </w:pPr>
            <w:r>
              <w:rPr>
                <w:b/>
              </w:rPr>
              <w:t>2022 Calculation</w:t>
            </w:r>
          </w:p>
        </w:tc>
      </w:tr>
      <w:tr w:rsidR="004D4B36" w14:paraId="44D23522" w14:textId="77777777">
        <w:trPr>
          <w:trHeight w:val="935"/>
        </w:trPr>
        <w:tc>
          <w:tcPr>
            <w:tcW w:w="17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4C304B" w14:textId="77777777" w:rsidR="004D4B36" w:rsidRDefault="00000000">
            <w:r>
              <w:t>Return on Assets (ROA)</w:t>
            </w:r>
          </w:p>
        </w:tc>
        <w:tc>
          <w:tcPr>
            <w:tcW w:w="1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E58F41" w14:textId="77777777" w:rsidR="004D4B36" w:rsidRDefault="00000000">
            <w:r>
              <w:t>Net Income / Total Assets</w:t>
            </w:r>
          </w:p>
        </w:tc>
        <w:tc>
          <w:tcPr>
            <w:tcW w:w="28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B57A91" w14:textId="77777777" w:rsidR="004D4B36" w:rsidRDefault="00000000">
            <w:r>
              <w:t>(£700,000 / £5,450,000) × 100% = 12.84%</w:t>
            </w:r>
          </w:p>
        </w:tc>
        <w:tc>
          <w:tcPr>
            <w:tcW w:w="28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2BF13B" w14:textId="77777777" w:rsidR="004D4B36" w:rsidRDefault="00000000">
            <w:r>
              <w:t>(£200,000 / £5,100,000) × 100% = 3.92%</w:t>
            </w:r>
          </w:p>
        </w:tc>
      </w:tr>
    </w:tbl>
    <w:p w14:paraId="4F4D24E1" w14:textId="77777777" w:rsidR="004D4B36" w:rsidRDefault="00000000">
      <w:pPr>
        <w:spacing w:before="240" w:after="240"/>
      </w:pPr>
      <w:r>
        <w:rPr>
          <w:highlight w:val="white"/>
        </w:rPr>
        <w:t xml:space="preserve">The return on asset's ratio shows how well the hotel is in a position to generate returns on the total assets that it possesses (Walker, 2017). It shows that a company is utilising its assets efficiently if it has a high turnover ratio compared to another company with a lower turnover ratio. From the information provided, ROA has reduced from (12. 84%) in the year ending 31 December 2021 to </w:t>
      </w:r>
      <w:r>
        <w:rPr>
          <w:highlight w:val="white"/>
        </w:rPr>
        <w:lastRenderedPageBreak/>
        <w:t>(3. 92%) in the year ending 31 December 2022, which shows a decline in the efficiency of effective utilisation of assets to generate profits.</w:t>
      </w:r>
    </w:p>
    <w:p w14:paraId="5D8CA92C" w14:textId="77777777" w:rsidR="004D4B36" w:rsidRDefault="00000000">
      <w:pPr>
        <w:spacing w:before="280"/>
        <w:rPr>
          <w:b/>
        </w:rPr>
      </w:pPr>
      <w:r>
        <w:rPr>
          <w:b/>
        </w:rPr>
        <w:t>2.1.3 Revenue Trends</w:t>
      </w:r>
    </w:p>
    <w:p w14:paraId="7842EA3A" w14:textId="77777777" w:rsidR="004D4B36" w:rsidRDefault="00000000">
      <w:pPr>
        <w:spacing w:before="240" w:after="240"/>
      </w:pPr>
      <w:r>
        <w:rPr>
          <w:highlight w:val="white"/>
        </w:rPr>
        <w:t>From the income statement of Urban Heights Hotel, there are various issues that have been identified, which affects the revenue position of the company (Horngren et al. , 2014). The projected monthly hotel income started a steady fall from 2021 to 2023, from £2,500,000 to £1,800,000, implying a fall of 28%. The reduction in revenue represents a significant decrease and can be attributed to the fact that the hotel struggles to draw in and appeal to customers.</w:t>
      </w:r>
    </w:p>
    <w:p w14:paraId="3A20ACD4" w14:textId="77777777" w:rsidR="004D4B36" w:rsidRDefault="00000000">
      <w:pPr>
        <w:spacing w:before="280"/>
        <w:rPr>
          <w:b/>
        </w:rPr>
      </w:pPr>
      <w:r>
        <w:rPr>
          <w:b/>
        </w:rPr>
        <w:t>2.1.4 Expense Management</w:t>
      </w:r>
    </w:p>
    <w:p w14:paraId="1293214D" w14:textId="77777777" w:rsidR="004D4B36" w:rsidRDefault="00000000">
      <w:pPr>
        <w:spacing w:before="240" w:after="240"/>
      </w:pPr>
      <w:r>
        <w:rPr>
          <w:highlight w:val="white"/>
        </w:rPr>
        <w:t>Though the revenue has reduced, at the same time, the operating cost of the hotel has risen and intensified the financial problem. Operating expenses in 2021 were £ 1, 800, 000 and by the end of 2023, it had reached £ 2,300, 000 meaning a 27. 8% raise. This led to the increase in expenses while revenues are also on the decline thus worsening the profitability of the hotel (Guilding, 2014).</w:t>
      </w:r>
    </w:p>
    <w:p w14:paraId="31714A1C" w14:textId="77777777" w:rsidR="004D4B36" w:rsidRDefault="00000000">
      <w:pPr>
        <w:pStyle w:val="Heading2"/>
        <w:spacing w:before="280"/>
      </w:pPr>
      <w:bookmarkStart w:id="3" w:name="_2nrwei53jubn" w:colFirst="0" w:colLast="0"/>
      <w:bookmarkEnd w:id="3"/>
      <w:r>
        <w:t>2.2. Liquidity Ratios</w:t>
      </w:r>
    </w:p>
    <w:p w14:paraId="6234E46B" w14:textId="77777777" w:rsidR="004D4B36" w:rsidRDefault="00000000">
      <w:pPr>
        <w:spacing w:before="240" w:after="40"/>
        <w:rPr>
          <w:b/>
        </w:rPr>
      </w:pPr>
      <w:r>
        <w:rPr>
          <w:b/>
        </w:rPr>
        <w:t>2.2.1. Current Ratio</w:t>
      </w:r>
    </w:p>
    <w:tbl>
      <w:tblPr>
        <w:tblStyle w:val="a1"/>
        <w:tblW w:w="9360" w:type="dxa"/>
        <w:tblBorders>
          <w:top w:val="nil"/>
          <w:left w:val="nil"/>
          <w:bottom w:val="nil"/>
          <w:right w:val="nil"/>
          <w:insideH w:val="nil"/>
          <w:insideV w:val="nil"/>
        </w:tblBorders>
        <w:tblLayout w:type="fixed"/>
        <w:tblLook w:val="0600" w:firstRow="0" w:lastRow="0" w:firstColumn="0" w:lastColumn="0" w:noHBand="1" w:noVBand="1"/>
      </w:tblPr>
      <w:tblGrid>
        <w:gridCol w:w="1386"/>
        <w:gridCol w:w="2991"/>
        <w:gridCol w:w="2462"/>
        <w:gridCol w:w="2521"/>
      </w:tblGrid>
      <w:tr w:rsidR="004D4B36" w14:paraId="7D0F0DC1" w14:textId="77777777">
        <w:trPr>
          <w:trHeight w:val="470"/>
        </w:trPr>
        <w:tc>
          <w:tcPr>
            <w:tcW w:w="13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2BCB51" w14:textId="77777777" w:rsidR="004D4B36" w:rsidRDefault="00000000">
            <w:pPr>
              <w:jc w:val="center"/>
            </w:pPr>
            <w:r>
              <w:rPr>
                <w:b/>
              </w:rPr>
              <w:t>Ratio Name</w:t>
            </w:r>
          </w:p>
        </w:tc>
        <w:tc>
          <w:tcPr>
            <w:tcW w:w="2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23B23A" w14:textId="77777777" w:rsidR="004D4B36" w:rsidRDefault="00000000">
            <w:pPr>
              <w:jc w:val="center"/>
            </w:pPr>
            <w:r>
              <w:rPr>
                <w:b/>
              </w:rPr>
              <w:t>Formula</w:t>
            </w:r>
          </w:p>
        </w:tc>
        <w:tc>
          <w:tcPr>
            <w:tcW w:w="24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791FB4" w14:textId="77777777" w:rsidR="004D4B36" w:rsidRDefault="00000000">
            <w:pPr>
              <w:jc w:val="center"/>
            </w:pPr>
            <w:r>
              <w:rPr>
                <w:b/>
              </w:rPr>
              <w:t>2021 Calculation</w:t>
            </w:r>
          </w:p>
        </w:tc>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C224EA" w14:textId="77777777" w:rsidR="004D4B36" w:rsidRDefault="00000000">
            <w:pPr>
              <w:jc w:val="center"/>
            </w:pPr>
            <w:r>
              <w:rPr>
                <w:b/>
              </w:rPr>
              <w:t>2022 Calculation</w:t>
            </w:r>
          </w:p>
        </w:tc>
      </w:tr>
      <w:tr w:rsidR="004D4B36" w14:paraId="42AD927C" w14:textId="77777777">
        <w:trPr>
          <w:trHeight w:val="695"/>
        </w:trPr>
        <w:tc>
          <w:tcPr>
            <w:tcW w:w="13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8FA2C5" w14:textId="77777777" w:rsidR="004D4B36" w:rsidRDefault="00000000">
            <w:r>
              <w:t>Current Ratio</w:t>
            </w:r>
          </w:p>
        </w:tc>
        <w:tc>
          <w:tcPr>
            <w:tcW w:w="2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642A92" w14:textId="77777777" w:rsidR="004D4B36" w:rsidRDefault="00000000">
            <w:r>
              <w:t>Current Assets / Current Liabilities</w:t>
            </w:r>
          </w:p>
        </w:tc>
        <w:tc>
          <w:tcPr>
            <w:tcW w:w="24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C1F60F" w14:textId="77777777" w:rsidR="004D4B36" w:rsidRDefault="00000000">
            <w:r>
              <w:t>(£450,000 / £250,000) = 1.8</w:t>
            </w:r>
          </w:p>
        </w:tc>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09812D" w14:textId="77777777" w:rsidR="004D4B36" w:rsidRDefault="00000000">
            <w:r>
              <w:t>(£300,000 / £270,000) = 1.11</w:t>
            </w:r>
          </w:p>
        </w:tc>
      </w:tr>
    </w:tbl>
    <w:p w14:paraId="17D971B2" w14:textId="77777777" w:rsidR="004D4B36" w:rsidRDefault="00000000">
      <w:pPr>
        <w:spacing w:before="240" w:after="240"/>
      </w:pPr>
      <w:r>
        <w:rPr>
          <w:highlight w:val="white"/>
        </w:rPr>
        <w:t>The current ratio is used in determining the hotel’s efficiency in paying its near-term liabilities using the current assets at a specific period (Weygandt, Kimmel and Kieso, 2015). It is understood that a ratio that is way above 1 is reasonable. The current ratio of the Urban Heights Hotel has reduced from (1. 8) in 2021 to 1 11 in 2022, which may be an issue for the company amid concerns of inadequate liquidity.</w:t>
      </w:r>
    </w:p>
    <w:p w14:paraId="0BEB7A8E" w14:textId="77777777" w:rsidR="004D4B36" w:rsidRDefault="00000000">
      <w:pPr>
        <w:spacing w:before="240" w:after="240"/>
        <w:rPr>
          <w:b/>
        </w:rPr>
      </w:pPr>
      <w:r>
        <w:rPr>
          <w:b/>
        </w:rPr>
        <w:lastRenderedPageBreak/>
        <w:t>2.2.2 Liquidity position</w:t>
      </w:r>
    </w:p>
    <w:p w14:paraId="63C95899" w14:textId="77777777" w:rsidR="00500D63" w:rsidRDefault="00500D63" w:rsidP="00500D63">
      <w:bookmarkStart w:id="4" w:name="_xiz84h4jmeuv" w:colFirst="0" w:colLast="0"/>
      <w:bookmarkEnd w:id="4"/>
      <w:r w:rsidRPr="00500D63">
        <w:t xml:space="preserve">Further, the evaluation of the hotel’s balance sheet reveals that the hotel has a concern in a sense that area of liquidity is not so good. The total combined cash and cash equivalents has also declined from £300000 in the year ending 2021 to £100000 in the year ending 2023; accounts receivables have also declined from £150000 in the year ending 2021 to £80000 in the year ending 2023. This will impact on the hotel’s ability to pay for current liabilities in the short-run </w:t>
      </w:r>
      <w:r>
        <w:t>(</w:t>
      </w:r>
      <w:r w:rsidRPr="00500D63">
        <w:t>Schmidgall</w:t>
      </w:r>
      <w:r>
        <w:t xml:space="preserve">, </w:t>
      </w:r>
      <w:r w:rsidRPr="00500D63">
        <w:t>2016).</w:t>
      </w:r>
    </w:p>
    <w:p w14:paraId="3E58DC92" w14:textId="77777777" w:rsidR="004D4B36" w:rsidRDefault="00000000">
      <w:pPr>
        <w:pStyle w:val="Heading2"/>
        <w:spacing w:before="280"/>
      </w:pPr>
      <w:r>
        <w:t>2.3. Solvency Ratios</w:t>
      </w:r>
    </w:p>
    <w:p w14:paraId="72129199" w14:textId="77777777" w:rsidR="004D4B36" w:rsidRDefault="00000000">
      <w:pPr>
        <w:spacing w:before="240" w:after="40"/>
        <w:rPr>
          <w:b/>
        </w:rPr>
      </w:pPr>
      <w:r>
        <w:rPr>
          <w:b/>
        </w:rPr>
        <w:t>2.3.1. Debt-to-Equity Ratio</w:t>
      </w:r>
    </w:p>
    <w:tbl>
      <w:tblPr>
        <w:tblStyle w:val="a2"/>
        <w:tblW w:w="9375" w:type="dxa"/>
        <w:tblBorders>
          <w:top w:val="nil"/>
          <w:left w:val="nil"/>
          <w:bottom w:val="nil"/>
          <w:right w:val="nil"/>
          <w:insideH w:val="nil"/>
          <w:insideV w:val="nil"/>
        </w:tblBorders>
        <w:tblLayout w:type="fixed"/>
        <w:tblLook w:val="0600" w:firstRow="0" w:lastRow="0" w:firstColumn="0" w:lastColumn="0" w:noHBand="1" w:noVBand="1"/>
      </w:tblPr>
      <w:tblGrid>
        <w:gridCol w:w="1680"/>
        <w:gridCol w:w="2535"/>
        <w:gridCol w:w="2580"/>
        <w:gridCol w:w="2580"/>
      </w:tblGrid>
      <w:tr w:rsidR="004D4B36" w14:paraId="6E421647" w14:textId="77777777">
        <w:trPr>
          <w:trHeight w:val="470"/>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687C23" w14:textId="77777777" w:rsidR="004D4B36" w:rsidRDefault="00000000">
            <w:pPr>
              <w:jc w:val="center"/>
            </w:pPr>
            <w:r>
              <w:rPr>
                <w:b/>
              </w:rPr>
              <w:t>Ratio Name</w:t>
            </w:r>
          </w:p>
        </w:tc>
        <w:tc>
          <w:tcPr>
            <w:tcW w:w="25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6F37BC" w14:textId="77777777" w:rsidR="004D4B36" w:rsidRDefault="00000000">
            <w:pPr>
              <w:jc w:val="center"/>
            </w:pPr>
            <w:r>
              <w:rPr>
                <w:b/>
              </w:rPr>
              <w:t>Formula</w:t>
            </w:r>
          </w:p>
        </w:tc>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BA0C27" w14:textId="77777777" w:rsidR="004D4B36" w:rsidRDefault="00000000">
            <w:pPr>
              <w:jc w:val="center"/>
            </w:pPr>
            <w:r>
              <w:rPr>
                <w:b/>
              </w:rPr>
              <w:t>2021 Calculation</w:t>
            </w:r>
          </w:p>
        </w:tc>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70FA61" w14:textId="77777777" w:rsidR="004D4B36" w:rsidRDefault="00000000">
            <w:pPr>
              <w:jc w:val="center"/>
            </w:pPr>
            <w:r>
              <w:rPr>
                <w:b/>
              </w:rPr>
              <w:t>2022 Calculation</w:t>
            </w:r>
          </w:p>
        </w:tc>
      </w:tr>
      <w:tr w:rsidR="004D4B36" w14:paraId="6C9F1810" w14:textId="77777777">
        <w:trPr>
          <w:trHeight w:val="695"/>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5DA716" w14:textId="77777777" w:rsidR="004D4B36" w:rsidRDefault="00000000">
            <w:r>
              <w:t>Debt-to-Equity Ratio</w:t>
            </w:r>
          </w:p>
        </w:tc>
        <w:tc>
          <w:tcPr>
            <w:tcW w:w="25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DFFC97" w14:textId="77777777" w:rsidR="004D4B36" w:rsidRDefault="00000000">
            <w:r>
              <w:t>Total Liabilities / Total Equity</w:t>
            </w:r>
          </w:p>
        </w:tc>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EA019A" w14:textId="77777777" w:rsidR="004D4B36" w:rsidRDefault="00000000">
            <w:r>
              <w:t>(£3,250,000 / £2,200,000) = 1.48</w:t>
            </w:r>
          </w:p>
        </w:tc>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4C3522" w14:textId="77777777" w:rsidR="004D4B36" w:rsidRDefault="00000000">
            <w:r>
              <w:t>(£3,270,000 / £1,830,000) = 1.79</w:t>
            </w:r>
          </w:p>
        </w:tc>
      </w:tr>
    </w:tbl>
    <w:p w14:paraId="2E6B1F4A" w14:textId="77777777" w:rsidR="004D4B36" w:rsidRDefault="00500D63">
      <w:pPr>
        <w:spacing w:before="240" w:after="240"/>
      </w:pPr>
      <w:r w:rsidRPr="00500D63">
        <w:t>Furthermore, the current analysis of the balance sheet of the hotel also reveals that the hotel has an issue of concern within the liquidity prospects. A further decrease in cash and cash equivalent from £300,000 in the year ending December 2021 to £100,000 in the year ending December 2023 has also been noted; a decline in the account receivables from £150,000 in year ending December 2021 to £80,000 in the year ending December 2023 from the table below.</w:t>
      </w:r>
      <w:r>
        <w:t xml:space="preserve"> </w:t>
      </w:r>
      <w:r>
        <w:rPr>
          <w:highlight w:val="white"/>
        </w:rPr>
        <w:t>This low level of working capital can affect the hotel’s capacity to pay current obligations within the short-run (Schmidgall, 2016).</w:t>
      </w:r>
    </w:p>
    <w:p w14:paraId="5E9C2EED" w14:textId="77777777" w:rsidR="004D4B36" w:rsidRDefault="00000000">
      <w:pPr>
        <w:spacing w:before="240" w:after="40"/>
      </w:pPr>
      <w:r>
        <w:rPr>
          <w:b/>
        </w:rPr>
        <w:t>2.3.2. Debt-to-Asset Ratio</w:t>
      </w:r>
    </w:p>
    <w:tbl>
      <w:tblPr>
        <w:tblStyle w:val="a3"/>
        <w:tblW w:w="9375" w:type="dxa"/>
        <w:tblBorders>
          <w:top w:val="nil"/>
          <w:left w:val="nil"/>
          <w:bottom w:val="nil"/>
          <w:right w:val="nil"/>
          <w:insideH w:val="nil"/>
          <w:insideV w:val="nil"/>
        </w:tblBorders>
        <w:tblLayout w:type="fixed"/>
        <w:tblLook w:val="0600" w:firstRow="0" w:lastRow="0" w:firstColumn="0" w:lastColumn="0" w:noHBand="1" w:noVBand="1"/>
      </w:tblPr>
      <w:tblGrid>
        <w:gridCol w:w="1680"/>
        <w:gridCol w:w="2475"/>
        <w:gridCol w:w="2610"/>
        <w:gridCol w:w="2610"/>
      </w:tblGrid>
      <w:tr w:rsidR="004D4B36" w14:paraId="3120F943" w14:textId="77777777">
        <w:trPr>
          <w:trHeight w:val="470"/>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C11A28" w14:textId="77777777" w:rsidR="004D4B36" w:rsidRDefault="00000000">
            <w:pPr>
              <w:jc w:val="center"/>
            </w:pPr>
            <w:r>
              <w:rPr>
                <w:b/>
              </w:rPr>
              <w:t>Ratio Name</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154521" w14:textId="77777777" w:rsidR="004D4B36" w:rsidRDefault="00000000">
            <w:pPr>
              <w:jc w:val="center"/>
            </w:pPr>
            <w:r>
              <w:rPr>
                <w:b/>
              </w:rPr>
              <w:t>Formula</w:t>
            </w:r>
          </w:p>
        </w:tc>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09B93D" w14:textId="77777777" w:rsidR="004D4B36" w:rsidRDefault="00000000">
            <w:pPr>
              <w:jc w:val="center"/>
            </w:pPr>
            <w:r>
              <w:rPr>
                <w:b/>
              </w:rPr>
              <w:t>2021 Calculation</w:t>
            </w:r>
          </w:p>
        </w:tc>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14201E" w14:textId="77777777" w:rsidR="004D4B36" w:rsidRDefault="00000000">
            <w:pPr>
              <w:jc w:val="center"/>
            </w:pPr>
            <w:r>
              <w:rPr>
                <w:b/>
              </w:rPr>
              <w:t>2022 Calculation</w:t>
            </w:r>
          </w:p>
        </w:tc>
      </w:tr>
      <w:tr w:rsidR="004D4B36" w14:paraId="17CEDC53" w14:textId="77777777">
        <w:trPr>
          <w:trHeight w:val="695"/>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075B6D" w14:textId="77777777" w:rsidR="004D4B36" w:rsidRDefault="00000000">
            <w:r>
              <w:t>Debt-to-Asset Ratio</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4B4782" w14:textId="77777777" w:rsidR="004D4B36" w:rsidRDefault="00000000">
            <w:r>
              <w:t>Total Liabilities / Total Assets</w:t>
            </w:r>
          </w:p>
        </w:tc>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02F0B7" w14:textId="77777777" w:rsidR="004D4B36" w:rsidRDefault="00000000">
            <w:r>
              <w:t>(£3,250,000 / £5,450,000) = 0.60</w:t>
            </w:r>
          </w:p>
        </w:tc>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D94F95" w14:textId="77777777" w:rsidR="004D4B36" w:rsidRDefault="00000000">
            <w:r>
              <w:t>(£3,270,000 / £5,100,000) = 0.64</w:t>
            </w:r>
          </w:p>
        </w:tc>
      </w:tr>
    </w:tbl>
    <w:p w14:paraId="75E723C8" w14:textId="77777777" w:rsidR="004D4B36" w:rsidRDefault="00000000">
      <w:pPr>
        <w:spacing w:before="240" w:after="240"/>
      </w:pPr>
      <w:r>
        <w:rPr>
          <w:highlight w:val="white"/>
        </w:rPr>
        <w:t xml:space="preserve">Specifically, the Debt to Assets ratio demonstrates the hotel’s capacity to repay the debt via the available assets. It is usually expected that the ratio should be relatively low (Horngren et al., 2014). Thus, comparing the major financial ratios of Urban Heights Hotel we can conclude that </w:t>
      </w:r>
      <w:r>
        <w:rPr>
          <w:highlight w:val="white"/>
        </w:rPr>
        <w:lastRenderedPageBreak/>
        <w:t>the company has the following issues: The debt/asset ratio rose from 0. 60 in 2021 to 0. 64 in 2022, which means that the company has more debt than assets.</w:t>
      </w:r>
    </w:p>
    <w:p w14:paraId="3F54A25F" w14:textId="77777777" w:rsidR="004D4B36" w:rsidRDefault="00000000">
      <w:pPr>
        <w:spacing w:before="280"/>
        <w:rPr>
          <w:b/>
        </w:rPr>
      </w:pPr>
      <w:r>
        <w:rPr>
          <w:b/>
        </w:rPr>
        <w:t>2.3.3 Solvency and Equity Position</w:t>
      </w:r>
    </w:p>
    <w:p w14:paraId="2CE5F3F3" w14:textId="2F159A08" w:rsidR="004D4B36" w:rsidRDefault="00000000">
      <w:pPr>
        <w:spacing w:before="240" w:after="240"/>
      </w:pPr>
      <w:r>
        <w:rPr>
          <w:highlight w:val="white"/>
        </w:rPr>
        <w:t xml:space="preserve">However, the solvency position of the company shows that Urban Heights Hotel is still manageable as </w:t>
      </w:r>
      <w:r w:rsidR="00A0294E">
        <w:rPr>
          <w:highlight w:val="white"/>
        </w:rPr>
        <w:t>long-term</w:t>
      </w:r>
      <w:r>
        <w:rPr>
          <w:highlight w:val="white"/>
        </w:rPr>
        <w:t xml:space="preserve"> debt has not changed from £3,000,000 in the year ended 30th June 2011 to the year ended 30th June 2013. However, it is apparent that the rights of the hotel have been diminished and decreased from the amount worth £2,200,000 in 2021 to £1,380,000 in 2023. This deterioration of equity implies that the hotel has overstretched its financial status, and may find it difficult to attract the much-needed financial capital (Guilding, 2014).</w:t>
      </w:r>
    </w:p>
    <w:p w14:paraId="0CCC782A" w14:textId="77777777" w:rsidR="004D4B36" w:rsidRDefault="00000000">
      <w:pPr>
        <w:spacing w:before="280"/>
        <w:rPr>
          <w:b/>
        </w:rPr>
      </w:pPr>
      <w:r>
        <w:rPr>
          <w:b/>
        </w:rPr>
        <w:t>2.4. Summary of Financial Analysis</w:t>
      </w:r>
    </w:p>
    <w:p w14:paraId="1B2A904B" w14:textId="77777777" w:rsidR="004D4B36" w:rsidRDefault="00000000">
      <w:pPr>
        <w:spacing w:before="240" w:after="240"/>
      </w:pPr>
      <w:r>
        <w:rPr>
          <w:highlight w:val="white"/>
        </w:rPr>
        <w:t>The ratio analysis highlights serious issues on the financial performance of Urban Heights Hotel. This has been evident through the declining profitability ratios, which include; The net profit margin and Return on total asset. Further, some of the liquidity ratios are less favourable, with the current ratio deteriorating, which is suggestive of difficulties in paying for short-term liabilities. Additionally, the solvency ratios such as the debt/ equity and the debt/ asset ratios have been on the rise, the implication being that the firm is using more debt to finance its activities and potentially exposing itself to greater financial risk.</w:t>
      </w:r>
    </w:p>
    <w:p w14:paraId="4AEE4717" w14:textId="77777777" w:rsidR="004D4B36" w:rsidRDefault="00000000">
      <w:pPr>
        <w:pStyle w:val="Heading1"/>
        <w:spacing w:after="80"/>
      </w:pPr>
      <w:bookmarkStart w:id="5" w:name="_j493yuo27kld" w:colFirst="0" w:colLast="0"/>
      <w:bookmarkEnd w:id="5"/>
      <w:r>
        <w:t>3. Reasons for Decline in Profitability</w:t>
      </w:r>
    </w:p>
    <w:p w14:paraId="322A1FE3" w14:textId="77777777" w:rsidR="004D4B36" w:rsidRDefault="00000000">
      <w:pPr>
        <w:spacing w:before="240" w:after="240"/>
        <w:rPr>
          <w:highlight w:val="white"/>
        </w:rPr>
      </w:pPr>
      <w:r>
        <w:rPr>
          <w:highlight w:val="white"/>
        </w:rPr>
        <w:t>There are several factors that have been suggested by Urban Heights Hotel as being an influence of the reduced profitability of the business; these include real-life factors, economic conditions, and organisational operational issues. These are some of the reasons that have contributed to the financial problem facing the hotel and which needs to be fixed to be able to come up with a right turn around strategy.</w:t>
      </w:r>
    </w:p>
    <w:p w14:paraId="15161BD6" w14:textId="77777777" w:rsidR="004D4B36" w:rsidRDefault="00000000">
      <w:pPr>
        <w:pStyle w:val="Heading2"/>
        <w:spacing w:before="240" w:after="240"/>
      </w:pPr>
      <w:bookmarkStart w:id="6" w:name="_rvl5f56s0btn" w:colFirst="0" w:colLast="0"/>
      <w:bookmarkEnd w:id="6"/>
      <w:r>
        <w:lastRenderedPageBreak/>
        <w:t>3.1 Internal Factors</w:t>
      </w:r>
    </w:p>
    <w:p w14:paraId="0C36A874" w14:textId="77777777" w:rsidR="004D4B36" w:rsidRDefault="00000000">
      <w:pPr>
        <w:spacing w:before="240" w:after="240"/>
        <w:rPr>
          <w:highlight w:val="white"/>
        </w:rPr>
      </w:pPr>
      <w:r>
        <w:rPr>
          <w:b/>
          <w:highlight w:val="white"/>
        </w:rPr>
        <w:t>3.1.1 Operational Inefficiencies :</w:t>
      </w:r>
      <w:r>
        <w:rPr>
          <w:highlight w:val="white"/>
        </w:rPr>
        <w:t xml:space="preserve"> One possible internal factor that may have led to the decline of the hotel is internal operations issue (Walker, 2017). This financial analysis shows that operating expenses have risen sharply over the last three years, and they have grown at a faster rate than the revenues. This could be attributed to improper resource utilisation, understaffing or overstaffing, or poor cost control policies (Guilding, 2014).</w:t>
      </w:r>
    </w:p>
    <w:p w14:paraId="27E91719" w14:textId="77777777" w:rsidR="004D4B36" w:rsidRDefault="00000000">
      <w:pPr>
        <w:spacing w:before="240" w:after="240"/>
        <w:rPr>
          <w:highlight w:val="white"/>
        </w:rPr>
      </w:pPr>
      <w:r>
        <w:rPr>
          <w:b/>
          <w:highlight w:val="white"/>
        </w:rPr>
        <w:t>3.1.2 Lack of Innovation and Competitive Differentiation :</w:t>
      </w:r>
      <w:r>
        <w:rPr>
          <w:highlight w:val="white"/>
        </w:rPr>
        <w:t xml:space="preserve"> In the highly competitive context of the hospitality industry, the key issue is how to remain relevant and, therefore, attractive to customers (Brotherton, 2003) most probably, the Urban Heights Hotel was unable to respond adequately to these new trends and preferences. This factor could have contributed to poor customer satisfaction and reduced revenues due to a lack of innovation in its offerings, services, and amenities (Enz et al. , 2021).</w:t>
      </w:r>
    </w:p>
    <w:p w14:paraId="3427F353" w14:textId="77777777" w:rsidR="004D4B36" w:rsidRDefault="00000000">
      <w:pPr>
        <w:spacing w:before="240" w:after="240"/>
        <w:rPr>
          <w:highlight w:val="white"/>
        </w:rPr>
      </w:pPr>
      <w:r>
        <w:rPr>
          <w:b/>
          <w:highlight w:val="white"/>
        </w:rPr>
        <w:t xml:space="preserve">3.1.3 Poor Marketing and Branding Strategies : </w:t>
      </w:r>
      <w:r>
        <w:rPr>
          <w:highlight w:val="white"/>
        </w:rPr>
        <w:t>Advertising and positioning play an important role in the marketing communication mix of hotels so as to have a competitive market positioning and ensure customer appeal (Jones and Lockwood, 2002). Urban Heights Hotel may have suffered from poor marketing campaigns, lack of interactive website and social media accounts, or low brand image, thus the hotel may not have been able to appeal to its target market (Schmidgall, 2016).</w:t>
      </w:r>
    </w:p>
    <w:p w14:paraId="6F28FE0B" w14:textId="6AC30363" w:rsidR="004D4B36" w:rsidRDefault="00000000" w:rsidP="00A0294E">
      <w:pPr>
        <w:pStyle w:val="Heading2"/>
        <w:spacing w:before="240" w:after="240"/>
      </w:pPr>
      <w:bookmarkStart w:id="7" w:name="_p16wyxpkt4ps" w:colFirst="0" w:colLast="0"/>
      <w:bookmarkEnd w:id="7"/>
      <w:r>
        <w:t>3.2 External Factors</w:t>
      </w:r>
    </w:p>
    <w:p w14:paraId="12A6DDAA" w14:textId="78594A82" w:rsidR="004D4B36" w:rsidRDefault="00000000">
      <w:pPr>
        <w:spacing w:before="240" w:after="240"/>
        <w:rPr>
          <w:highlight w:val="white"/>
        </w:rPr>
      </w:pPr>
      <w:r>
        <w:rPr>
          <w:b/>
          <w:highlight w:val="white"/>
        </w:rPr>
        <w:t xml:space="preserve">3.2.1 Economic </w:t>
      </w:r>
      <w:r w:rsidR="00A0294E">
        <w:rPr>
          <w:b/>
          <w:highlight w:val="white"/>
        </w:rPr>
        <w:t>Conditions:</w:t>
      </w:r>
      <w:r>
        <w:rPr>
          <w:b/>
          <w:highlight w:val="white"/>
        </w:rPr>
        <w:t xml:space="preserve"> </w:t>
      </w:r>
      <w:r>
        <w:rPr>
          <w:highlight w:val="white"/>
        </w:rPr>
        <w:t xml:space="preserve">The nature of the hospitality industry makes it even more vulnerable to any changes in the economic status. Consequently, the consumers may cut down on their spending on the items that are not basic needs and therefore hotels may record low occupancy rates as well as reduced revenues especially during recession (Enz et al. , 2021). Other macroeconomic factors such as changes in disposable income, the level of consumer sentiment and unemployment levels could have also affected Urban Heights Hotel’s performance (Atkinson </w:t>
      </w:r>
      <w:r w:rsidR="00B52FAD">
        <w:rPr>
          <w:highlight w:val="white"/>
        </w:rPr>
        <w:t>and</w:t>
      </w:r>
      <w:r>
        <w:rPr>
          <w:highlight w:val="white"/>
        </w:rPr>
        <w:t xml:space="preserve"> Brown, 2001).</w:t>
      </w:r>
    </w:p>
    <w:p w14:paraId="26928B5D" w14:textId="641D826B" w:rsidR="004D4B36" w:rsidRDefault="00000000">
      <w:pPr>
        <w:spacing w:before="240" w:after="240"/>
      </w:pPr>
      <w:r>
        <w:rPr>
          <w:b/>
          <w:highlight w:val="white"/>
        </w:rPr>
        <w:t xml:space="preserve">3.2.2 Increased </w:t>
      </w:r>
      <w:r w:rsidR="00A0294E">
        <w:rPr>
          <w:b/>
          <w:highlight w:val="white"/>
        </w:rPr>
        <w:t>Competition:</w:t>
      </w:r>
      <w:r>
        <w:rPr>
          <w:b/>
          <w:highlight w:val="white"/>
        </w:rPr>
        <w:t xml:space="preserve"> </w:t>
      </w:r>
      <w:r>
        <w:rPr>
          <w:highlight w:val="white"/>
        </w:rPr>
        <w:t xml:space="preserve">Competition is high due to the </w:t>
      </w:r>
      <w:r w:rsidR="00A0294E">
        <w:rPr>
          <w:highlight w:val="white"/>
        </w:rPr>
        <w:t>ever-increasing</w:t>
      </w:r>
      <w:r>
        <w:rPr>
          <w:highlight w:val="white"/>
        </w:rPr>
        <w:t xml:space="preserve"> entry of new players into the market through construction of new hotels and other forms of accommodation (Rutherford </w:t>
      </w:r>
      <w:r>
        <w:rPr>
          <w:highlight w:val="white"/>
        </w:rPr>
        <w:lastRenderedPageBreak/>
        <w:t>and O’Fallon, 2007). There is always the threat of new entrant competition or even threat from established competitors whose services might include better facilities, more strategic pricing or better loyalty programs (Schmidgall, 2016).</w:t>
      </w:r>
    </w:p>
    <w:p w14:paraId="5EF948FF" w14:textId="77777777" w:rsidR="004D4B36" w:rsidRDefault="00000000">
      <w:pPr>
        <w:spacing w:before="240" w:after="240"/>
      </w:pPr>
      <w:r>
        <w:rPr>
          <w:b/>
          <w:highlight w:val="white"/>
        </w:rPr>
        <w:t xml:space="preserve">3.2.3 Changing Consumer Preferences : </w:t>
      </w:r>
      <w:r>
        <w:rPr>
          <w:highlight w:val="white"/>
        </w:rPr>
        <w:t>Stakeholder demands and expectations in the hospitality industry are dynamic due to factors such as new technology adoption, sustainability, and changing demographics (Hospitality Net, 2023). Urban Heights Hotel may have not changed its strategies to respond to these shifts and may have lost touch with its ideal consumers thereby experiencing a decline in perceived customer satisfaction and patronage (Guilding, 2014).</w:t>
      </w:r>
    </w:p>
    <w:p w14:paraId="1C725327" w14:textId="77777777" w:rsidR="004D4B36" w:rsidRDefault="00000000">
      <w:pPr>
        <w:pStyle w:val="Heading1"/>
        <w:spacing w:after="80"/>
      </w:pPr>
      <w:bookmarkStart w:id="8" w:name="_fmqabmdbtcg3" w:colFirst="0" w:colLast="0"/>
      <w:bookmarkEnd w:id="8"/>
      <w:r>
        <w:br w:type="page"/>
      </w:r>
    </w:p>
    <w:p w14:paraId="68ECC3F3" w14:textId="77777777" w:rsidR="004D4B36" w:rsidRDefault="00000000">
      <w:pPr>
        <w:pStyle w:val="Heading1"/>
        <w:spacing w:after="80"/>
      </w:pPr>
      <w:bookmarkStart w:id="9" w:name="_pg71ubmqlayn" w:colFirst="0" w:colLast="0"/>
      <w:bookmarkEnd w:id="9"/>
      <w:r>
        <w:lastRenderedPageBreak/>
        <w:t>4. Turnaround Strategy</w:t>
      </w:r>
    </w:p>
    <w:p w14:paraId="5E2637BD" w14:textId="77777777" w:rsidR="004D4B36" w:rsidRDefault="00000000">
      <w:pPr>
        <w:spacing w:before="240" w:after="240"/>
      </w:pPr>
      <w:r>
        <w:t>The following is a recommendation of the detailed turnaround plan for Urban Heights' hotel that will address the company’s financial woes and rebuild the hotel’s image. This strategy comprises cost control, revenue generation, process innovation, and positioning.</w:t>
      </w:r>
    </w:p>
    <w:p w14:paraId="7B352E2A" w14:textId="77777777" w:rsidR="004D4B36" w:rsidRDefault="00000000">
      <w:pPr>
        <w:pStyle w:val="Heading2"/>
        <w:spacing w:before="280"/>
      </w:pPr>
      <w:bookmarkStart w:id="10" w:name="_n2dvh1mf0hpe" w:colFirst="0" w:colLast="0"/>
      <w:bookmarkEnd w:id="10"/>
      <w:r>
        <w:t>4.1. Cost Optimization</w:t>
      </w:r>
    </w:p>
    <w:p w14:paraId="4238FFA9" w14:textId="77777777" w:rsidR="004D4B36" w:rsidRDefault="00000000">
      <w:pPr>
        <w:spacing w:before="240" w:after="40"/>
        <w:rPr>
          <w:highlight w:val="white"/>
        </w:rPr>
      </w:pPr>
      <w:r>
        <w:rPr>
          <w:b/>
          <w:highlight w:val="white"/>
        </w:rPr>
        <w:t xml:space="preserve">4.1.1. Streamline Operations : </w:t>
      </w:r>
      <w:r>
        <w:rPr>
          <w:highlight w:val="white"/>
        </w:rPr>
        <w:t>Review all aspects of the hotel’s operations to determine where the hotel can incorporate cost-reducing activities and process improvement. It may include rebalancing staff numbers, resetting supplier relationships, instituting cost-saving measures, and implementing as much digitalization as possible (Enz et al., 2021).</w:t>
      </w:r>
    </w:p>
    <w:p w14:paraId="1FB4E0B8" w14:textId="77777777" w:rsidR="004D4B36" w:rsidRDefault="00000000">
      <w:pPr>
        <w:spacing w:before="240" w:after="40"/>
      </w:pPr>
      <w:r>
        <w:rPr>
          <w:b/>
          <w:highlight w:val="white"/>
        </w:rPr>
        <w:t xml:space="preserve">4.1.2. Leverage Technology : </w:t>
      </w:r>
      <w:r>
        <w:rPr>
          <w:highlight w:val="white"/>
        </w:rPr>
        <w:t>Acquisition of appropriate software which can help in improvement of organisational productivity and thus cutting costs. This may include PMS, application of energy efficient equipment and automation tools in service production and performance such as cleaning services and stock control (Chathoth, 2007).</w:t>
      </w:r>
    </w:p>
    <w:p w14:paraId="791DC304" w14:textId="77777777" w:rsidR="004D4B36" w:rsidRDefault="00000000">
      <w:pPr>
        <w:pStyle w:val="Heading2"/>
        <w:spacing w:before="280"/>
      </w:pPr>
      <w:bookmarkStart w:id="11" w:name="_cv3kakwbjpmc" w:colFirst="0" w:colLast="0"/>
      <w:bookmarkEnd w:id="11"/>
      <w:r>
        <w:t>4.2. Revenue Enhancement</w:t>
      </w:r>
    </w:p>
    <w:p w14:paraId="05CF57EF" w14:textId="77777777" w:rsidR="004D4B36" w:rsidRDefault="00000000">
      <w:pPr>
        <w:spacing w:before="280"/>
        <w:rPr>
          <w:highlight w:val="white"/>
        </w:rPr>
      </w:pPr>
      <w:r>
        <w:rPr>
          <w:b/>
          <w:highlight w:val="white"/>
        </w:rPr>
        <w:t>4.2.1. Strategic Pricing and Revenue Management :</w:t>
      </w:r>
      <w:r>
        <w:rPr>
          <w:highlight w:val="white"/>
        </w:rPr>
        <w:t xml:space="preserve"> Introduce a revenue management system to enable the setting of the right price and therefore increase the revenues. This may encompass timely pricing and offer discounts depending on the demand obtained, timely promotions and utilisation of advanced revenue management systems (Zeithaml, Bitner and Gremler, 2018)</w:t>
      </w:r>
    </w:p>
    <w:p w14:paraId="7E6D1974" w14:textId="77777777" w:rsidR="004D4B36" w:rsidRDefault="00000000">
      <w:pPr>
        <w:spacing w:before="280"/>
        <w:rPr>
          <w:highlight w:val="white"/>
        </w:rPr>
      </w:pPr>
      <w:r>
        <w:rPr>
          <w:b/>
          <w:highlight w:val="white"/>
        </w:rPr>
        <w:t xml:space="preserve">4.2.2. Market Repositioning and Branding : </w:t>
      </w:r>
      <w:r>
        <w:rPr>
          <w:highlight w:val="white"/>
        </w:rPr>
        <w:t>Reposition the hotel and re-orient the brand and marketing communication messages to stand out from the competition and to resonate with the target consumers. This may include rebranding, improving the delivery of services by the hotel, and communicating with the potential clients in the right way (Enz et al., 2021).</w:t>
      </w:r>
    </w:p>
    <w:p w14:paraId="3A7668BC" w14:textId="77777777" w:rsidR="004D4B36" w:rsidRDefault="00000000">
      <w:pPr>
        <w:spacing w:before="280"/>
      </w:pPr>
      <w:r>
        <w:rPr>
          <w:b/>
          <w:highlight w:val="white"/>
        </w:rPr>
        <w:t>4.2.3. Diversify Revenue Streams :</w:t>
      </w:r>
      <w:r>
        <w:rPr>
          <w:highlight w:val="white"/>
        </w:rPr>
        <w:t xml:space="preserve"> Seek ways of expanding the revenue base by, perhaps, adding more services and facilities. This may involve adding conference/banquet space in the hotel, </w:t>
      </w:r>
      <w:r>
        <w:rPr>
          <w:highlight w:val="white"/>
        </w:rPr>
        <w:lastRenderedPageBreak/>
        <w:t>offering spa amenities, or developing marketing affiliation agreements with tourist destinations and businesses in the area (Enz et al., 2021).</w:t>
      </w:r>
    </w:p>
    <w:p w14:paraId="6B9CB5DB" w14:textId="77777777" w:rsidR="004D4B36" w:rsidRDefault="00000000">
      <w:pPr>
        <w:pStyle w:val="Heading2"/>
        <w:spacing w:before="280"/>
      </w:pPr>
      <w:bookmarkStart w:id="12" w:name="_t4s8cieb9tt2" w:colFirst="0" w:colLast="0"/>
      <w:bookmarkEnd w:id="12"/>
      <w:r>
        <w:t>4.3. Operational Improvements</w:t>
      </w:r>
    </w:p>
    <w:p w14:paraId="75F99049" w14:textId="77777777" w:rsidR="004D4B36" w:rsidRDefault="00000000">
      <w:pPr>
        <w:spacing w:before="240" w:after="40"/>
        <w:rPr>
          <w:highlight w:val="white"/>
        </w:rPr>
      </w:pPr>
      <w:r>
        <w:rPr>
          <w:b/>
          <w:highlight w:val="white"/>
        </w:rPr>
        <w:t xml:space="preserve">4.3.1. Guest Experience Enhancement : </w:t>
      </w:r>
      <w:r>
        <w:rPr>
          <w:highlight w:val="white"/>
        </w:rPr>
        <w:t>Consider focusing on the guest satisfaction by analysing its needs, expanding technology usage for the guests’ feedback, improving service and facilities standards and performing upgrades or remodelling of the facilities. Delightful customers mean more customer retention, repeat business, and more referrals (Rauch et al., 2015).</w:t>
      </w:r>
    </w:p>
    <w:p w14:paraId="022138EF" w14:textId="77777777" w:rsidR="004D4B36" w:rsidRDefault="00000000">
      <w:pPr>
        <w:spacing w:before="240" w:after="40"/>
        <w:rPr>
          <w:highlight w:val="white"/>
        </w:rPr>
      </w:pPr>
      <w:r>
        <w:rPr>
          <w:b/>
          <w:highlight w:val="white"/>
        </w:rPr>
        <w:t>4.3.2. Employee Training and Development :</w:t>
      </w:r>
      <w:r>
        <w:rPr>
          <w:highlight w:val="white"/>
        </w:rPr>
        <w:t xml:space="preserve"> Promote skill development for its people through training and development to ensure the organisation has a motivated workforce. It may enhance guest loyalty, efficiency, and diminish staff turnover rate in the hotel industry (Chathoth, 2007).</w:t>
      </w:r>
    </w:p>
    <w:p w14:paraId="4F91D867" w14:textId="77777777" w:rsidR="004D4B36" w:rsidRDefault="00000000">
      <w:pPr>
        <w:spacing w:before="240" w:after="40"/>
      </w:pPr>
      <w:r>
        <w:rPr>
          <w:b/>
          <w:highlight w:val="white"/>
        </w:rPr>
        <w:t>4.3.3. Strategic Partnerships and Collaborations :</w:t>
      </w:r>
      <w:r>
        <w:rPr>
          <w:highlight w:val="white"/>
        </w:rPr>
        <w:t xml:space="preserve"> Promote partnerships and linkages with local companies, tourism stakeholders, and associations for business development. These partnerships can contribute to developing new loyal clients, creating awareness, and introducing the hotel to new markets (Enz et al., 2021).</w:t>
      </w:r>
    </w:p>
    <w:p w14:paraId="2927CE60" w14:textId="77777777" w:rsidR="004D4B36" w:rsidRDefault="00000000">
      <w:pPr>
        <w:pStyle w:val="Heading2"/>
        <w:spacing w:before="280"/>
      </w:pPr>
      <w:bookmarkStart w:id="13" w:name="_tq53d39tyttt" w:colFirst="0" w:colLast="0"/>
      <w:bookmarkEnd w:id="13"/>
      <w:r>
        <w:t>4.4. Strategic Repositioning</w:t>
      </w:r>
    </w:p>
    <w:p w14:paraId="7724F304" w14:textId="77777777" w:rsidR="004D4B36" w:rsidRDefault="00000000">
      <w:pPr>
        <w:spacing w:before="240" w:after="40"/>
        <w:rPr>
          <w:highlight w:val="white"/>
        </w:rPr>
      </w:pPr>
      <w:r>
        <w:rPr>
          <w:b/>
          <w:highlight w:val="white"/>
        </w:rPr>
        <w:t>4.4.1. Market Analysis and Target Segment Identification :</w:t>
      </w:r>
      <w:r>
        <w:rPr>
          <w:highlight w:val="white"/>
        </w:rPr>
        <w:t xml:space="preserve"> Carry out a detailed market study to determine prospective target markets and ensure that the hotel offers products that suit their needs and wants. This may mean changing the classification of the hotel to the boutique or luxury one, targeting only the business customers, or targeting selected segments (Enz et al., 2021).</w:t>
      </w:r>
    </w:p>
    <w:p w14:paraId="5F8BDEDB" w14:textId="77777777" w:rsidR="004D4B36" w:rsidRDefault="00000000">
      <w:pPr>
        <w:spacing w:before="240" w:after="40"/>
        <w:rPr>
          <w:highlight w:val="white"/>
        </w:rPr>
      </w:pPr>
      <w:r>
        <w:rPr>
          <w:b/>
          <w:highlight w:val="white"/>
        </w:rPr>
        <w:t>4.4.2. Asset Optimization and Divestment :</w:t>
      </w:r>
      <w:r>
        <w:rPr>
          <w:highlight w:val="white"/>
        </w:rPr>
        <w:t xml:space="preserve"> Assess the value of the hotel’s tangible and intangible assets and consider selling any unprofitable or unrelated asset that the hotel owns to help meet its cash needs and effectively deploy capital to the most profitable segments of the hotel (Enz et al., 2021).</w:t>
      </w:r>
    </w:p>
    <w:p w14:paraId="13F161E3" w14:textId="77777777" w:rsidR="004D4B36" w:rsidRDefault="00000000">
      <w:pPr>
        <w:spacing w:before="240" w:after="40"/>
      </w:pPr>
      <w:r>
        <w:rPr>
          <w:b/>
          <w:highlight w:val="white"/>
        </w:rPr>
        <w:t>4.4.3. Strategic Alliances or Mergers and Acquisitions :</w:t>
      </w:r>
      <w:r>
        <w:rPr>
          <w:highlight w:val="white"/>
        </w:rPr>
        <w:t xml:space="preserve"> Consider the further development by creating new affiliations, partnerships or mergers to increase the reach and find new clienteles or gain access to new markets or assets that can be complementary or acquired (Enz et al., 2021).</w:t>
      </w:r>
    </w:p>
    <w:p w14:paraId="2E44EB47" w14:textId="77777777" w:rsidR="004D4B36" w:rsidRDefault="00000000" w:rsidP="00500D63">
      <w:pPr>
        <w:pStyle w:val="Heading1"/>
        <w:spacing w:after="80"/>
      </w:pPr>
      <w:bookmarkStart w:id="14" w:name="_umrxmea29iea" w:colFirst="0" w:colLast="0"/>
      <w:bookmarkEnd w:id="14"/>
      <w:r>
        <w:br w:type="page"/>
      </w:r>
      <w:bookmarkStart w:id="15" w:name="_ku6qe9j90cgi" w:colFirst="0" w:colLast="0"/>
      <w:bookmarkEnd w:id="15"/>
      <w:r>
        <w:lastRenderedPageBreak/>
        <w:t>5. Conclusion</w:t>
      </w:r>
    </w:p>
    <w:p w14:paraId="2502C3E8" w14:textId="77777777" w:rsidR="004D4B36" w:rsidRDefault="00000000">
      <w:pPr>
        <w:spacing w:before="240" w:after="240"/>
      </w:pPr>
      <w:r>
        <w:t>In light of the market analysis, it can be concluded that the stated strategy outlook for Urban Heights Hotel is not very optimistic due to the predicted decrease in profitability, low liquidity level, and elevated financial risk. The current and past financial position, as well as the assessment of relevant external and internal factors, call for an extensive range of turnaround activities in order to put the hotel back on track and improve its image. The strategic measures for the proposed turnaround plan include cost leadership and revenue generation strategies, operation excellence, and organisational repositioning. Periodic financing reviews, performance assessments, as well as strategic changes will be required to keep the hotel sustainable and profitable in the longer run. Thus, the ultimate choice of the proposed plan for the organisational turnaround or the identification of other development strategies to establish potential successful scenarios, including divestment and strategic partnerships, will fully depend on the owner’s evaluation of the hotel’s opportunities for revival and the availability of financial and non-financial resources for the implementation of the chosen plan.</w:t>
      </w:r>
    </w:p>
    <w:p w14:paraId="76226F33" w14:textId="77777777" w:rsidR="004D4B36" w:rsidRDefault="004D4B36">
      <w:pPr>
        <w:spacing w:before="240" w:after="240"/>
      </w:pPr>
    </w:p>
    <w:p w14:paraId="2210E227" w14:textId="77777777" w:rsidR="004D4B36" w:rsidRDefault="00000000">
      <w:pPr>
        <w:spacing w:after="80"/>
      </w:pPr>
      <w:r>
        <w:br w:type="page"/>
      </w:r>
    </w:p>
    <w:p w14:paraId="7CC0B7EC" w14:textId="77777777" w:rsidR="004D4B36" w:rsidRDefault="00000000">
      <w:pPr>
        <w:pStyle w:val="Heading1"/>
        <w:spacing w:after="80"/>
      </w:pPr>
      <w:bookmarkStart w:id="16" w:name="_4nyxjahqf7to" w:colFirst="0" w:colLast="0"/>
      <w:bookmarkEnd w:id="16"/>
      <w:r>
        <w:lastRenderedPageBreak/>
        <w:t>References</w:t>
      </w:r>
    </w:p>
    <w:p w14:paraId="085CDD10" w14:textId="77777777" w:rsidR="00500D63" w:rsidRPr="00500D63" w:rsidRDefault="00500D63" w:rsidP="00500D63">
      <w:r w:rsidRPr="00500D63">
        <w:t xml:space="preserve">Atkinson, H. and Brown, J.B. (2001) </w:t>
      </w:r>
      <w:r w:rsidRPr="00500D63">
        <w:rPr>
          <w:i/>
          <w:iCs/>
        </w:rPr>
        <w:t>Rethinking performance measures: assessing progress in UK hotels</w:t>
      </w:r>
      <w:r w:rsidRPr="00500D63">
        <w:t>. London: Butterworth-Heinemann.</w:t>
      </w:r>
    </w:p>
    <w:p w14:paraId="6D9959E5" w14:textId="77777777" w:rsidR="00500D63" w:rsidRPr="00500D63" w:rsidRDefault="00500D63" w:rsidP="00500D63">
      <w:r w:rsidRPr="00500D63">
        <w:t xml:space="preserve">Brotherton, B. (2003) </w:t>
      </w:r>
      <w:r w:rsidRPr="00500D63">
        <w:rPr>
          <w:i/>
          <w:iCs/>
        </w:rPr>
        <w:t>The International Hospitality Industry: Structure, Characteristics and Issues</w:t>
      </w:r>
      <w:r w:rsidRPr="00500D63">
        <w:t>. Oxford: Butterworth-Heinemann.</w:t>
      </w:r>
    </w:p>
    <w:p w14:paraId="2F1A910A" w14:textId="77777777" w:rsidR="00500D63" w:rsidRPr="00500D63" w:rsidRDefault="00500D63" w:rsidP="00500D63">
      <w:r w:rsidRPr="00500D63">
        <w:t xml:space="preserve">Chathoth, P. K. (2007) 'Importance of technology in the hospitality industry', </w:t>
      </w:r>
      <w:r w:rsidRPr="00500D63">
        <w:rPr>
          <w:i/>
          <w:iCs/>
        </w:rPr>
        <w:t>Journal of Hospitality Application and Research</w:t>
      </w:r>
      <w:r w:rsidRPr="00500D63">
        <w:t>, 2(1), pp. 41-49.</w:t>
      </w:r>
    </w:p>
    <w:p w14:paraId="293B075F" w14:textId="77777777" w:rsidR="00500D63" w:rsidRPr="00500D63" w:rsidRDefault="00500D63" w:rsidP="00500D63">
      <w:r w:rsidRPr="00500D63">
        <w:t xml:space="preserve">Enz, C. A., Kosová, R., and Lomanno, M. V. (Eds.) (2021) </w:t>
      </w:r>
      <w:r w:rsidRPr="00500D63">
        <w:rPr>
          <w:i/>
          <w:iCs/>
        </w:rPr>
        <w:t>The COVID-19 Crisis and the Hospitality Industry: Hospitality Leaderships Responding to the Pandemic</w:t>
      </w:r>
      <w:r w:rsidRPr="00500D63">
        <w:t>. Cornell University, The Center for Hospitality Research.</w:t>
      </w:r>
    </w:p>
    <w:p w14:paraId="5896A013" w14:textId="77777777" w:rsidR="00500D63" w:rsidRPr="00500D63" w:rsidRDefault="00500D63" w:rsidP="00500D63">
      <w:r w:rsidRPr="00500D63">
        <w:t xml:space="preserve">Enz, C.A. (2011) 'Competing successfully with other hotels: the role of strategy', </w:t>
      </w:r>
      <w:r w:rsidRPr="00500D63">
        <w:rPr>
          <w:i/>
          <w:iCs/>
        </w:rPr>
        <w:t>Cornell Hospitality Quarterly</w:t>
      </w:r>
      <w:r w:rsidRPr="00500D63">
        <w:t>, 52(3), pp. 26-30.</w:t>
      </w:r>
    </w:p>
    <w:p w14:paraId="2587ED91" w14:textId="77777777" w:rsidR="00500D63" w:rsidRPr="00500D63" w:rsidRDefault="00500D63" w:rsidP="00500D63">
      <w:r w:rsidRPr="00500D63">
        <w:t xml:space="preserve">Gursoy, D., and Chi, C. G. (2020) 'Effects of COVID-19 pandemic on hospitality industry: review of the current situations and a research agenda', </w:t>
      </w:r>
      <w:r w:rsidRPr="00500D63">
        <w:rPr>
          <w:i/>
          <w:iCs/>
        </w:rPr>
        <w:t>Journal of Hospitality Marketing and Management</w:t>
      </w:r>
      <w:r w:rsidRPr="00500D63">
        <w:t>, 29(5), pp. 527-529.</w:t>
      </w:r>
    </w:p>
    <w:p w14:paraId="6AB1A665" w14:textId="77777777" w:rsidR="00500D63" w:rsidRPr="00500D63" w:rsidRDefault="00500D63" w:rsidP="00500D63">
      <w:r w:rsidRPr="00500D63">
        <w:t xml:space="preserve">Guttentag, D., and Smith, S. (2017) 'Disruptive innovation in the hospitality industry: The case of Airbnb', </w:t>
      </w:r>
      <w:r w:rsidRPr="00500D63">
        <w:rPr>
          <w:i/>
          <w:iCs/>
        </w:rPr>
        <w:t>Current Issues in Tourism</w:t>
      </w:r>
      <w:r w:rsidRPr="00500D63">
        <w:t>, 20(1), pp. 56-58.</w:t>
      </w:r>
    </w:p>
    <w:p w14:paraId="3C495EE9" w14:textId="77777777" w:rsidR="00500D63" w:rsidRPr="00500D63" w:rsidRDefault="00500D63" w:rsidP="00500D63">
      <w:r w:rsidRPr="00500D63">
        <w:t xml:space="preserve">Hilton (2022) </w:t>
      </w:r>
      <w:r w:rsidRPr="00500D63">
        <w:rPr>
          <w:i/>
          <w:iCs/>
        </w:rPr>
        <w:t>Annual Report 2022</w:t>
      </w:r>
      <w:r w:rsidRPr="00500D63">
        <w:t xml:space="preserve">. Available at: </w:t>
      </w:r>
      <w:hyperlink r:id="rId7" w:history="1">
        <w:r w:rsidRPr="00500D63">
          <w:rPr>
            <w:rStyle w:val="Hyperlink"/>
          </w:rPr>
          <w:t>https://ir.hilton.com/financial-information/annual-reports</w:t>
        </w:r>
      </w:hyperlink>
      <w:r w:rsidRPr="00500D63">
        <w:t xml:space="preserve"> (Accessed: 12 June 2024).</w:t>
      </w:r>
    </w:p>
    <w:p w14:paraId="65CAF1E6" w14:textId="77777777" w:rsidR="00500D63" w:rsidRPr="00500D63" w:rsidRDefault="00500D63" w:rsidP="00500D63">
      <w:r w:rsidRPr="00500D63">
        <w:t xml:space="preserve">Horngren, C.T., Sundem, G.L., Elliott, J.A. and Philbrick, D.R. (2014) </w:t>
      </w:r>
      <w:r w:rsidRPr="00500D63">
        <w:rPr>
          <w:i/>
          <w:iCs/>
        </w:rPr>
        <w:t>Introduction to Financial Accounting</w:t>
      </w:r>
      <w:r w:rsidRPr="00500D63">
        <w:t>. 11th edn. Upper Saddle River, NJ: Pearson Education, Inc.</w:t>
      </w:r>
    </w:p>
    <w:p w14:paraId="35AEFBEB" w14:textId="77777777" w:rsidR="00500D63" w:rsidRPr="00500D63" w:rsidRDefault="00500D63" w:rsidP="00500D63">
      <w:r w:rsidRPr="00500D63">
        <w:t xml:space="preserve">Hospitality Net (2023) 'Trends and innovations shaping the hotel industry in 2023', </w:t>
      </w:r>
      <w:r w:rsidRPr="00500D63">
        <w:rPr>
          <w:i/>
          <w:iCs/>
        </w:rPr>
        <w:t>Hospitality Net</w:t>
      </w:r>
      <w:r w:rsidRPr="00500D63">
        <w:t xml:space="preserve">, 3 January. Available at: </w:t>
      </w:r>
      <w:hyperlink r:id="rId8" w:history="1">
        <w:r w:rsidRPr="00500D63">
          <w:rPr>
            <w:rStyle w:val="Hyperlink"/>
          </w:rPr>
          <w:t>https://www.hospitalitynet.org/trends/4103000.html</w:t>
        </w:r>
      </w:hyperlink>
      <w:r w:rsidRPr="00500D63">
        <w:t xml:space="preserve"> (Accessed: 12 June 2024).</w:t>
      </w:r>
    </w:p>
    <w:p w14:paraId="15032769" w14:textId="77777777" w:rsidR="00500D63" w:rsidRPr="00500D63" w:rsidRDefault="00500D63" w:rsidP="00500D63">
      <w:r w:rsidRPr="00500D63">
        <w:t xml:space="preserve">Jones, P. and Lockwood, A. (2002) </w:t>
      </w:r>
      <w:r w:rsidRPr="00500D63">
        <w:rPr>
          <w:i/>
          <w:iCs/>
        </w:rPr>
        <w:t>The Management of Hotel Operations</w:t>
      </w:r>
      <w:r w:rsidRPr="00500D63">
        <w:t>. London: Cengage Learning EMEA.</w:t>
      </w:r>
    </w:p>
    <w:p w14:paraId="350BB419" w14:textId="77777777" w:rsidR="00500D63" w:rsidRPr="00500D63" w:rsidRDefault="00500D63" w:rsidP="00500D63">
      <w:r w:rsidRPr="00500D63">
        <w:t xml:space="preserve">Marriott International, Inc. (2023) </w:t>
      </w:r>
      <w:r w:rsidRPr="00500D63">
        <w:rPr>
          <w:i/>
          <w:iCs/>
        </w:rPr>
        <w:t>Marriott International 2023 Annual Report</w:t>
      </w:r>
      <w:r w:rsidRPr="00500D63">
        <w:t xml:space="preserve">. Available at: </w:t>
      </w:r>
      <w:hyperlink r:id="rId9" w:history="1">
        <w:r w:rsidRPr="00500D63">
          <w:rPr>
            <w:rStyle w:val="Hyperlink"/>
          </w:rPr>
          <w:t>https://marriott.gcs-web.com/static-files/d9e63b21-f7d5-4a2d-8774-a75f7d3f63fd</w:t>
        </w:r>
      </w:hyperlink>
      <w:r w:rsidRPr="00500D63">
        <w:t xml:space="preserve"> (Accessed: 12 June 2024).</w:t>
      </w:r>
    </w:p>
    <w:p w14:paraId="1D08EB77" w14:textId="77777777" w:rsidR="00500D63" w:rsidRPr="00500D63" w:rsidRDefault="00500D63" w:rsidP="00500D63">
      <w:r w:rsidRPr="00500D63">
        <w:lastRenderedPageBreak/>
        <w:t xml:space="preserve">Nicola, M., Alsafi, Z., Sohrabi, C., Kerwan, A., Al-Jabir, A., Iosifidis, C., ... and Agha, R. (2020) 'The socio-economic implications of the coronavirus pandemic (COVID-19): A review', </w:t>
      </w:r>
      <w:r w:rsidRPr="00500D63">
        <w:rPr>
          <w:i/>
          <w:iCs/>
        </w:rPr>
        <w:t>International Journal of Surgery</w:t>
      </w:r>
      <w:r w:rsidRPr="00500D63">
        <w:t>, 78, pp. 185-193.</w:t>
      </w:r>
    </w:p>
    <w:p w14:paraId="7A3DF989" w14:textId="77777777" w:rsidR="00500D63" w:rsidRPr="00500D63" w:rsidRDefault="00500D63" w:rsidP="00500D63">
      <w:r w:rsidRPr="00500D63">
        <w:t xml:space="preserve">Rauch, D. A., Collins, M. D., Nale, R. D., and Barr, P. B. (2015) 'Measuring service quality in mid-scale hotels', </w:t>
      </w:r>
      <w:r w:rsidRPr="00500D63">
        <w:rPr>
          <w:i/>
          <w:iCs/>
        </w:rPr>
        <w:t>International Journal of Contemporary Hospitality Management</w:t>
      </w:r>
      <w:r w:rsidRPr="00500D63">
        <w:t>, 27(1), pp. 87-106.</w:t>
      </w:r>
    </w:p>
    <w:p w14:paraId="369AFDA6" w14:textId="77777777" w:rsidR="00500D63" w:rsidRPr="00500D63" w:rsidRDefault="00500D63" w:rsidP="00500D63">
      <w:r w:rsidRPr="00500D63">
        <w:t xml:space="preserve">Rutherford, D.G. and O'Fallon, M.J. (2007) </w:t>
      </w:r>
      <w:r w:rsidRPr="00500D63">
        <w:rPr>
          <w:i/>
          <w:iCs/>
        </w:rPr>
        <w:t>Hotel Management and Operations</w:t>
      </w:r>
      <w:r w:rsidRPr="00500D63">
        <w:t>. 4th edn. Hoboken, NJ: John Wiley and Sons, Inc.</w:t>
      </w:r>
    </w:p>
    <w:p w14:paraId="73018CF6" w14:textId="77777777" w:rsidR="00500D63" w:rsidRPr="00500D63" w:rsidRDefault="00500D63" w:rsidP="00500D63">
      <w:r w:rsidRPr="00500D63">
        <w:t xml:space="preserve">Walker, J.R. (2017) </w:t>
      </w:r>
      <w:r w:rsidRPr="00500D63">
        <w:rPr>
          <w:i/>
          <w:iCs/>
        </w:rPr>
        <w:t>Introduction to Hospitality Management</w:t>
      </w:r>
      <w:r w:rsidRPr="00500D63">
        <w:t>. 6th edn. Upper Saddle River, NJ: Pearson Education, Inc.</w:t>
      </w:r>
    </w:p>
    <w:p w14:paraId="1D89BA65" w14:textId="77777777" w:rsidR="00500D63" w:rsidRPr="00500D63" w:rsidRDefault="00500D63" w:rsidP="00500D63">
      <w:r w:rsidRPr="00500D63">
        <w:t xml:space="preserve">Weygandt, J.J., Kimmel, P.D. and Kieso, D.E. (2015) </w:t>
      </w:r>
      <w:r w:rsidRPr="00500D63">
        <w:rPr>
          <w:i/>
          <w:iCs/>
        </w:rPr>
        <w:t>Financial Accounting: IFRS Edition</w:t>
      </w:r>
      <w:r w:rsidRPr="00500D63">
        <w:t>. 3rd edn. Hoboken, NJ: John Wiley and Sons, Inc.</w:t>
      </w:r>
    </w:p>
    <w:p w14:paraId="47C08670" w14:textId="77777777" w:rsidR="00500D63" w:rsidRPr="00500D63" w:rsidRDefault="00500D63" w:rsidP="00500D63">
      <w:r w:rsidRPr="00500D63">
        <w:t xml:space="preserve">Zeithaml, V.A., Bitner, M.J. and Gremler, D.D. (2018) </w:t>
      </w:r>
      <w:r w:rsidRPr="00500D63">
        <w:rPr>
          <w:i/>
          <w:iCs/>
        </w:rPr>
        <w:t>Services Marketing: Integrating Customer Focus Across the Firm</w:t>
      </w:r>
      <w:r w:rsidRPr="00500D63">
        <w:t>. 7th edn. New York: McGraw-Hill Education.</w:t>
      </w:r>
    </w:p>
    <w:p w14:paraId="3FF2570C" w14:textId="77777777" w:rsidR="004D4B36" w:rsidRDefault="004D4B36"/>
    <w:sectPr w:rsidR="004D4B36">
      <w:footerReference w:type="default" r:id="rId10"/>
      <w:footerReference w:type="first" r:id="rId11"/>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51C7DC" w14:textId="77777777" w:rsidR="00B112F7" w:rsidRDefault="00B112F7">
      <w:pPr>
        <w:spacing w:line="240" w:lineRule="auto"/>
      </w:pPr>
      <w:r>
        <w:separator/>
      </w:r>
    </w:p>
  </w:endnote>
  <w:endnote w:type="continuationSeparator" w:id="0">
    <w:p w14:paraId="79398571" w14:textId="77777777" w:rsidR="00B112F7" w:rsidRDefault="00B112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46A418" w14:textId="77777777" w:rsidR="004D4B36" w:rsidRDefault="00000000">
    <w:pPr>
      <w:jc w:val="right"/>
    </w:pPr>
    <w:r>
      <w:t xml:space="preserve">Page </w:t>
    </w:r>
    <w:r>
      <w:fldChar w:fldCharType="begin"/>
    </w:r>
    <w:r>
      <w:instrText>PAGE</w:instrText>
    </w:r>
    <w:r>
      <w:fldChar w:fldCharType="separate"/>
    </w:r>
    <w:r w:rsidR="00B52FAD">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0AD13F" w14:textId="77777777" w:rsidR="004D4B36" w:rsidRDefault="004D4B3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F352F1" w14:textId="77777777" w:rsidR="00B112F7" w:rsidRDefault="00B112F7">
      <w:pPr>
        <w:spacing w:line="240" w:lineRule="auto"/>
      </w:pPr>
      <w:r>
        <w:separator/>
      </w:r>
    </w:p>
  </w:footnote>
  <w:footnote w:type="continuationSeparator" w:id="0">
    <w:p w14:paraId="3535D334" w14:textId="77777777" w:rsidR="00B112F7" w:rsidRDefault="00B112F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4B36"/>
    <w:rsid w:val="003A5829"/>
    <w:rsid w:val="004D4B36"/>
    <w:rsid w:val="00500D63"/>
    <w:rsid w:val="00712E97"/>
    <w:rsid w:val="00901DEC"/>
    <w:rsid w:val="00970FAB"/>
    <w:rsid w:val="00973797"/>
    <w:rsid w:val="00A0294E"/>
    <w:rsid w:val="00B112F7"/>
    <w:rsid w:val="00B52FAD"/>
    <w:rsid w:val="00C12D80"/>
    <w:rsid w:val="00C402F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1622D"/>
  <w15:docId w15:val="{5A8EEBE3-0618-7441-96BB-E15853B96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0294E"/>
    <w:pPr>
      <w:keepNext/>
      <w:keepLines/>
      <w:spacing w:before="400" w:after="120"/>
      <w:outlineLvl w:val="0"/>
    </w:pPr>
    <w:rPr>
      <w:b/>
      <w:sz w:val="32"/>
      <w:szCs w:val="40"/>
    </w:rPr>
  </w:style>
  <w:style w:type="paragraph" w:styleId="Heading2">
    <w:name w:val="heading 2"/>
    <w:basedOn w:val="Normal"/>
    <w:next w:val="Normal"/>
    <w:uiPriority w:val="9"/>
    <w:unhideWhenUsed/>
    <w:qFormat/>
    <w:rsid w:val="00A0294E"/>
    <w:pPr>
      <w:keepNext/>
      <w:keepLines/>
      <w:spacing w:before="360" w:after="120"/>
      <w:outlineLvl w:val="1"/>
    </w:pPr>
    <w:rPr>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500D63"/>
    <w:rPr>
      <w:color w:val="0000FF" w:themeColor="hyperlink"/>
      <w:u w:val="single"/>
    </w:rPr>
  </w:style>
  <w:style w:type="character" w:styleId="UnresolvedMention">
    <w:name w:val="Unresolved Mention"/>
    <w:basedOn w:val="DefaultParagraphFont"/>
    <w:uiPriority w:val="99"/>
    <w:semiHidden/>
    <w:unhideWhenUsed/>
    <w:rsid w:val="00500D63"/>
    <w:rPr>
      <w:color w:val="605E5C"/>
      <w:shd w:val="clear" w:color="auto" w:fill="E1DFDD"/>
    </w:rPr>
  </w:style>
  <w:style w:type="table" w:styleId="TableGrid">
    <w:name w:val="Table Grid"/>
    <w:basedOn w:val="TableNormal"/>
    <w:uiPriority w:val="39"/>
    <w:rsid w:val="00A0294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0545536">
      <w:bodyDiv w:val="1"/>
      <w:marLeft w:val="0"/>
      <w:marRight w:val="0"/>
      <w:marTop w:val="0"/>
      <w:marBottom w:val="0"/>
      <w:divBdr>
        <w:top w:val="none" w:sz="0" w:space="0" w:color="auto"/>
        <w:left w:val="none" w:sz="0" w:space="0" w:color="auto"/>
        <w:bottom w:val="none" w:sz="0" w:space="0" w:color="auto"/>
        <w:right w:val="none" w:sz="0" w:space="0" w:color="auto"/>
      </w:divBdr>
    </w:div>
    <w:div w:id="1244947265">
      <w:bodyDiv w:val="1"/>
      <w:marLeft w:val="0"/>
      <w:marRight w:val="0"/>
      <w:marTop w:val="0"/>
      <w:marBottom w:val="0"/>
      <w:divBdr>
        <w:top w:val="none" w:sz="0" w:space="0" w:color="auto"/>
        <w:left w:val="none" w:sz="0" w:space="0" w:color="auto"/>
        <w:bottom w:val="none" w:sz="0" w:space="0" w:color="auto"/>
        <w:right w:val="none" w:sz="0" w:space="0" w:color="auto"/>
      </w:divBdr>
    </w:div>
    <w:div w:id="20514147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t.org/trends/4103000.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ir.hilton.com/financial-information/annual-report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marriott.gcs-web.com/static-files/d9e63b21-f7d5-4a2d-8774-a75f7d3f63f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14</Pages>
  <Words>3022</Words>
  <Characters>17231</Characters>
  <Application>Microsoft Office Word</Application>
  <DocSecurity>0</DocSecurity>
  <Lines>143</Lines>
  <Paragraphs>40</Paragraphs>
  <ScaleCrop>false</ScaleCrop>
  <Company/>
  <LinksUpToDate>false</LinksUpToDate>
  <CharactersWithSpaces>20213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 Stefanescu</cp:lastModifiedBy>
  <cp:revision>5</cp:revision>
  <dcterms:created xsi:type="dcterms:W3CDTF">2024-06-06T08:34:00Z</dcterms:created>
  <dcterms:modified xsi:type="dcterms:W3CDTF">2024-06-06T20:59:00Z</dcterms:modified>
</cp:coreProperties>
</file>