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4885C" w14:textId="77777777" w:rsidR="00530E16" w:rsidRPr="00572860" w:rsidRDefault="004468F8" w:rsidP="00B16875">
      <w:pPr>
        <w:pBdr>
          <w:top w:val="nil"/>
          <w:left w:val="nil"/>
          <w:bottom w:val="nil"/>
          <w:right w:val="nil"/>
          <w:between w:val="nil"/>
        </w:pBdr>
        <w:spacing w:after="0" w:line="276" w:lineRule="auto"/>
        <w:rPr>
          <w:rFonts w:ascii="Arial" w:eastAsia="Arial" w:hAnsi="Arial" w:cs="Arial"/>
          <w:sz w:val="22"/>
          <w:szCs w:val="22"/>
        </w:rPr>
      </w:pPr>
      <w:r w:rsidRPr="00572860">
        <w:rPr>
          <w:rFonts w:ascii="Arial" w:eastAsia="Arial" w:hAnsi="Arial" w:cs="Arial"/>
          <w:noProof/>
          <w:sz w:val="22"/>
          <w:szCs w:val="22"/>
        </w:rPr>
        <mc:AlternateContent>
          <mc:Choice Requires="wpg">
            <w:drawing>
              <wp:anchor distT="0" distB="0" distL="114300" distR="114300" simplePos="0" relativeHeight="251658240" behindDoc="1" locked="0" layoutInCell="1" allowOverlap="1" wp14:anchorId="645E3E53" wp14:editId="0E89E1D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393A2B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36E4BF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45E3E53"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393A2B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36E4BF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572860">
        <w:rPr>
          <w:rFonts w:ascii="Arial" w:eastAsia="Arial" w:hAnsi="Arial" w:cs="Arial"/>
          <w:noProof/>
          <w:sz w:val="22"/>
          <w:szCs w:val="22"/>
        </w:rPr>
        <mc:AlternateContent>
          <mc:Choice Requires="wps">
            <w:drawing>
              <wp:anchor distT="0" distB="0" distL="114300" distR="114300" simplePos="0" relativeHeight="251659264" behindDoc="0" locked="0" layoutInCell="1" hidden="0" allowOverlap="1" wp14:anchorId="5AA9362A" wp14:editId="288FD348">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04624B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DFBBF0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AA9362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204624BA"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DFBBF0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990250A" w14:textId="77777777" w:rsidR="00530E16" w:rsidRPr="00572860" w:rsidRDefault="004468F8" w:rsidP="00B16875">
      <w:pPr>
        <w:spacing w:line="276" w:lineRule="auto"/>
        <w:rPr>
          <w:rFonts w:ascii="Arial" w:eastAsia="Arial" w:hAnsi="Arial" w:cs="Arial"/>
          <w:sz w:val="22"/>
          <w:szCs w:val="22"/>
        </w:rPr>
      </w:pPr>
      <w:r w:rsidRPr="00572860">
        <w:rPr>
          <w:rFonts w:ascii="Arial" w:eastAsia="Arial" w:hAnsi="Arial" w:cs="Arial"/>
          <w:noProof/>
          <w:sz w:val="22"/>
          <w:szCs w:val="22"/>
        </w:rPr>
        <mc:AlternateContent>
          <mc:Choice Requires="wps">
            <w:drawing>
              <wp:anchor distT="0" distB="0" distL="114300" distR="114300" simplePos="0" relativeHeight="251660288" behindDoc="0" locked="0" layoutInCell="1" hidden="0" allowOverlap="1" wp14:anchorId="30A94BD2" wp14:editId="69CE88E2">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A9F388A" w14:textId="77777777" w:rsidR="002E0F07" w:rsidRPr="002E0F07" w:rsidRDefault="002E0F07" w:rsidP="003C24F0">
                            <w:pPr>
                              <w:widowControl w:val="0"/>
                              <w:autoSpaceDE w:val="0"/>
                              <w:autoSpaceDN w:val="0"/>
                              <w:adjustRightInd w:val="0"/>
                              <w:spacing w:before="190" w:after="0" w:line="240" w:lineRule="auto"/>
                              <w:rPr>
                                <w:b/>
                                <w:bCs/>
                              </w:rPr>
                            </w:pPr>
                            <w:r w:rsidRPr="002E0F07">
                              <w:rPr>
                                <w:b/>
                                <w:bCs/>
                              </w:rPr>
                              <w:t>Supporting Safe, Person-Centred Care for Mrs Thompson</w:t>
                            </w:r>
                          </w:p>
                          <w:p w14:paraId="0A7C7347" w14:textId="159E07D5" w:rsidR="003C24F0" w:rsidRDefault="004468F8" w:rsidP="003C24F0">
                            <w:pPr>
                              <w:widowControl w:val="0"/>
                              <w:autoSpaceDE w:val="0"/>
                              <w:autoSpaceDN w:val="0"/>
                              <w:adjustRightInd w:val="0"/>
                              <w:spacing w:before="190" w:after="0" w:line="240" w:lineRule="auto"/>
                              <w:rPr>
                                <w:rFonts w:ascii="Arial" w:hAnsi="Arial" w:cs="Arial"/>
                              </w:rPr>
                            </w:pPr>
                            <w:r>
                              <w:rPr>
                                <w:color w:val="404040"/>
                                <w:sz w:val="36"/>
                              </w:rPr>
                              <w:t xml:space="preserve">Module Name: </w:t>
                            </w:r>
                            <w:r w:rsidR="003C24F0">
                              <w:rPr>
                                <w:color w:val="404040"/>
                                <w:sz w:val="36"/>
                              </w:rPr>
                              <w:t>I</w:t>
                            </w:r>
                            <w:r w:rsidR="003C24F0">
                              <w:rPr>
                                <w:rFonts w:ascii="Arial" w:hAnsi="Arial" w:cs="Arial"/>
                                <w:b/>
                                <w:bCs/>
                                <w:color w:val="000000"/>
                                <w:sz w:val="22"/>
                                <w:szCs w:val="22"/>
                              </w:rPr>
                              <w:t>ntroduction to Health and Social Care</w:t>
                            </w:r>
                          </w:p>
                          <w:p w14:paraId="0F53D6AE" w14:textId="635F1C9E" w:rsidR="008F1D23" w:rsidRDefault="008F1D23" w:rsidP="008F1D23">
                            <w:pPr>
                              <w:widowControl w:val="0"/>
                              <w:autoSpaceDE w:val="0"/>
                              <w:autoSpaceDN w:val="0"/>
                              <w:adjustRightInd w:val="0"/>
                              <w:spacing w:before="192" w:after="0" w:line="240" w:lineRule="auto"/>
                              <w:rPr>
                                <w:rFonts w:ascii="Arial" w:hAnsi="Arial" w:cs="Arial"/>
                              </w:rPr>
                            </w:pPr>
                          </w:p>
                          <w:p w14:paraId="0CA56E0A" w14:textId="1E5F7F98" w:rsidR="00DB7B3A" w:rsidRDefault="00DB7B3A" w:rsidP="00DB7B3A">
                            <w:pPr>
                              <w:widowControl w:val="0"/>
                              <w:autoSpaceDE w:val="0"/>
                              <w:autoSpaceDN w:val="0"/>
                              <w:adjustRightInd w:val="0"/>
                              <w:spacing w:before="84" w:after="0" w:line="240" w:lineRule="auto"/>
                              <w:rPr>
                                <w:rFonts w:ascii="Arial" w:hAnsi="Arial" w:cs="Arial"/>
                              </w:rPr>
                            </w:pPr>
                          </w:p>
                          <w:p w14:paraId="4B8D9972" w14:textId="15C1E705" w:rsidR="00530E16" w:rsidRDefault="004468F8">
                            <w:pPr>
                              <w:spacing w:before="120" w:line="277" w:lineRule="auto"/>
                              <w:textDirection w:val="btLr"/>
                            </w:pPr>
                            <w:r>
                              <w:rPr>
                                <w:color w:val="404040"/>
                                <w:sz w:val="36"/>
                              </w:rPr>
                              <w:t>Module Code: LCHS 400</w:t>
                            </w:r>
                            <w:r w:rsidR="003C24F0">
                              <w:rPr>
                                <w:color w:val="404040"/>
                                <w:sz w:val="36"/>
                              </w:rPr>
                              <w:t>3</w:t>
                            </w:r>
                          </w:p>
                          <w:p w14:paraId="12448291" w14:textId="2436B0C7" w:rsidR="00530E16" w:rsidRDefault="004468F8">
                            <w:pPr>
                              <w:spacing w:before="120" w:line="277" w:lineRule="auto"/>
                              <w:textDirection w:val="btLr"/>
                            </w:pPr>
                            <w:r>
                              <w:rPr>
                                <w:color w:val="404040"/>
                                <w:sz w:val="36"/>
                              </w:rPr>
                              <w:t xml:space="preserve">Student name: </w:t>
                            </w:r>
                            <w:r w:rsidR="00B16875" w:rsidRPr="00BA35B1">
                              <w:rPr>
                                <w:rFonts w:ascii="Arial" w:hAnsi="Arial" w:cs="Arial"/>
                                <w:b/>
                                <w:bCs/>
                              </w:rPr>
                              <w:t>Cristina Bucur</w:t>
                            </w:r>
                          </w:p>
                          <w:p w14:paraId="48187AE4" w14:textId="77777777" w:rsidR="00B16875" w:rsidRDefault="004468F8">
                            <w:pPr>
                              <w:spacing w:before="120" w:line="277" w:lineRule="auto"/>
                              <w:textDirection w:val="btLr"/>
                              <w:rPr>
                                <w:rFonts w:ascii="Arial" w:hAnsi="Arial" w:cs="Arial"/>
                                <w:b/>
                                <w:bCs/>
                              </w:rPr>
                            </w:pPr>
                            <w:r>
                              <w:rPr>
                                <w:color w:val="404040"/>
                                <w:sz w:val="36"/>
                              </w:rPr>
                              <w:t>Student ID:</w:t>
                            </w:r>
                            <w:r w:rsidR="00B16875" w:rsidRPr="00B16875">
                              <w:rPr>
                                <w:rFonts w:ascii="Arial" w:hAnsi="Arial" w:cs="Arial"/>
                                <w:b/>
                                <w:bCs/>
                              </w:rPr>
                              <w:t xml:space="preserve"> </w:t>
                            </w:r>
                            <w:r w:rsidR="00B16875" w:rsidRPr="00BA35B1">
                              <w:rPr>
                                <w:rFonts w:ascii="Arial" w:hAnsi="Arial" w:cs="Arial"/>
                                <w:b/>
                                <w:bCs/>
                              </w:rPr>
                              <w:t>2524789</w:t>
                            </w:r>
                          </w:p>
                          <w:p w14:paraId="7AB49677" w14:textId="77777777" w:rsidR="003C24F0" w:rsidRDefault="004468F8" w:rsidP="003C24F0">
                            <w:pPr>
                              <w:widowControl w:val="0"/>
                              <w:autoSpaceDE w:val="0"/>
                              <w:autoSpaceDN w:val="0"/>
                              <w:adjustRightInd w:val="0"/>
                              <w:spacing w:after="0" w:line="254" w:lineRule="exact"/>
                              <w:rPr>
                                <w:rFonts w:ascii="Arial" w:hAnsi="Arial" w:cs="Arial"/>
                              </w:rPr>
                            </w:pPr>
                            <w:r>
                              <w:rPr>
                                <w:color w:val="404040"/>
                                <w:sz w:val="36"/>
                              </w:rPr>
                              <w:t xml:space="preserve">Lecturer’s Name: </w:t>
                            </w:r>
                            <w:r w:rsidR="003C24F0">
                              <w:rPr>
                                <w:rFonts w:ascii="Arial" w:hAnsi="Arial" w:cs="Arial"/>
                                <w:b/>
                                <w:bCs/>
                                <w:color w:val="000000"/>
                                <w:sz w:val="22"/>
                                <w:szCs w:val="22"/>
                              </w:rPr>
                              <w:t>Muhammad Aliyu</w:t>
                            </w:r>
                          </w:p>
                          <w:p w14:paraId="5259E049" w14:textId="7CFD5946" w:rsidR="00DB7B3A" w:rsidRDefault="00DB7B3A" w:rsidP="00DB7B3A">
                            <w:pPr>
                              <w:widowControl w:val="0"/>
                              <w:autoSpaceDE w:val="0"/>
                              <w:autoSpaceDN w:val="0"/>
                              <w:adjustRightInd w:val="0"/>
                              <w:spacing w:after="0" w:line="252" w:lineRule="exact"/>
                              <w:rPr>
                                <w:rFonts w:ascii="Arial" w:hAnsi="Arial" w:cs="Arial"/>
                              </w:rPr>
                            </w:pPr>
                          </w:p>
                          <w:p w14:paraId="1B5CC7E7" w14:textId="5CFE3E70" w:rsidR="00B16875" w:rsidRDefault="00B16875" w:rsidP="00B16875">
                            <w:pPr>
                              <w:widowControl w:val="0"/>
                              <w:autoSpaceDE w:val="0"/>
                              <w:autoSpaceDN w:val="0"/>
                              <w:adjustRightInd w:val="0"/>
                              <w:spacing w:after="0" w:line="416" w:lineRule="auto"/>
                              <w:rPr>
                                <w:rFonts w:ascii="Arial" w:hAnsi="Arial" w:cs="Arial"/>
                              </w:rPr>
                            </w:pPr>
                          </w:p>
                          <w:p w14:paraId="7FD974AA" w14:textId="516DB498" w:rsidR="00B16875" w:rsidRPr="00FC69F3" w:rsidRDefault="00B16875" w:rsidP="00B16875">
                            <w:pPr>
                              <w:widowControl w:val="0"/>
                              <w:autoSpaceDE w:val="0"/>
                              <w:autoSpaceDN w:val="0"/>
                              <w:adjustRightInd w:val="0"/>
                              <w:spacing w:after="0" w:line="276" w:lineRule="auto"/>
                              <w:rPr>
                                <w:rFonts w:ascii="Arial" w:hAnsi="Arial" w:cs="Arial"/>
                              </w:rPr>
                            </w:pPr>
                          </w:p>
                          <w:p w14:paraId="7CAF91B5" w14:textId="545DABBF" w:rsidR="00530E16" w:rsidRDefault="00530E16">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30A94BD2"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6A9F388A" w14:textId="77777777" w:rsidR="002E0F07" w:rsidRPr="002E0F07" w:rsidRDefault="002E0F07" w:rsidP="003C24F0">
                      <w:pPr>
                        <w:widowControl w:val="0"/>
                        <w:autoSpaceDE w:val="0"/>
                        <w:autoSpaceDN w:val="0"/>
                        <w:adjustRightInd w:val="0"/>
                        <w:spacing w:before="190" w:after="0" w:line="240" w:lineRule="auto"/>
                        <w:rPr>
                          <w:b/>
                          <w:bCs/>
                        </w:rPr>
                      </w:pPr>
                      <w:r w:rsidRPr="002E0F07">
                        <w:rPr>
                          <w:b/>
                          <w:bCs/>
                        </w:rPr>
                        <w:t>Supporting Safe, Person-Centred Care for Mrs Thompson</w:t>
                      </w:r>
                    </w:p>
                    <w:p w14:paraId="0A7C7347" w14:textId="159E07D5" w:rsidR="003C24F0" w:rsidRDefault="004468F8" w:rsidP="003C24F0">
                      <w:pPr>
                        <w:widowControl w:val="0"/>
                        <w:autoSpaceDE w:val="0"/>
                        <w:autoSpaceDN w:val="0"/>
                        <w:adjustRightInd w:val="0"/>
                        <w:spacing w:before="190" w:after="0" w:line="240" w:lineRule="auto"/>
                        <w:rPr>
                          <w:rFonts w:ascii="Arial" w:hAnsi="Arial" w:cs="Arial"/>
                        </w:rPr>
                      </w:pPr>
                      <w:r>
                        <w:rPr>
                          <w:color w:val="404040"/>
                          <w:sz w:val="36"/>
                        </w:rPr>
                        <w:t xml:space="preserve">Module Name: </w:t>
                      </w:r>
                      <w:r w:rsidR="003C24F0">
                        <w:rPr>
                          <w:color w:val="404040"/>
                          <w:sz w:val="36"/>
                        </w:rPr>
                        <w:t>I</w:t>
                      </w:r>
                      <w:r w:rsidR="003C24F0">
                        <w:rPr>
                          <w:rFonts w:ascii="Arial" w:hAnsi="Arial" w:cs="Arial"/>
                          <w:b/>
                          <w:bCs/>
                          <w:color w:val="000000"/>
                          <w:sz w:val="22"/>
                          <w:szCs w:val="22"/>
                        </w:rPr>
                        <w:t>ntroduction to Health and Social Care</w:t>
                      </w:r>
                    </w:p>
                    <w:p w14:paraId="0F53D6AE" w14:textId="635F1C9E" w:rsidR="008F1D23" w:rsidRDefault="008F1D23" w:rsidP="008F1D23">
                      <w:pPr>
                        <w:widowControl w:val="0"/>
                        <w:autoSpaceDE w:val="0"/>
                        <w:autoSpaceDN w:val="0"/>
                        <w:adjustRightInd w:val="0"/>
                        <w:spacing w:before="192" w:after="0" w:line="240" w:lineRule="auto"/>
                        <w:rPr>
                          <w:rFonts w:ascii="Arial" w:hAnsi="Arial" w:cs="Arial"/>
                        </w:rPr>
                      </w:pPr>
                    </w:p>
                    <w:p w14:paraId="0CA56E0A" w14:textId="1E5F7F98" w:rsidR="00DB7B3A" w:rsidRDefault="00DB7B3A" w:rsidP="00DB7B3A">
                      <w:pPr>
                        <w:widowControl w:val="0"/>
                        <w:autoSpaceDE w:val="0"/>
                        <w:autoSpaceDN w:val="0"/>
                        <w:adjustRightInd w:val="0"/>
                        <w:spacing w:before="84" w:after="0" w:line="240" w:lineRule="auto"/>
                        <w:rPr>
                          <w:rFonts w:ascii="Arial" w:hAnsi="Arial" w:cs="Arial"/>
                        </w:rPr>
                      </w:pPr>
                    </w:p>
                    <w:p w14:paraId="4B8D9972" w14:textId="15C1E705" w:rsidR="00530E16" w:rsidRDefault="004468F8">
                      <w:pPr>
                        <w:spacing w:before="120" w:line="277" w:lineRule="auto"/>
                        <w:textDirection w:val="btLr"/>
                      </w:pPr>
                      <w:r>
                        <w:rPr>
                          <w:color w:val="404040"/>
                          <w:sz w:val="36"/>
                        </w:rPr>
                        <w:t>Module Code: LCHS 400</w:t>
                      </w:r>
                      <w:r w:rsidR="003C24F0">
                        <w:rPr>
                          <w:color w:val="404040"/>
                          <w:sz w:val="36"/>
                        </w:rPr>
                        <w:t>3</w:t>
                      </w:r>
                    </w:p>
                    <w:p w14:paraId="12448291" w14:textId="2436B0C7" w:rsidR="00530E16" w:rsidRDefault="004468F8">
                      <w:pPr>
                        <w:spacing w:before="120" w:line="277" w:lineRule="auto"/>
                        <w:textDirection w:val="btLr"/>
                      </w:pPr>
                      <w:r>
                        <w:rPr>
                          <w:color w:val="404040"/>
                          <w:sz w:val="36"/>
                        </w:rPr>
                        <w:t xml:space="preserve">Student name: </w:t>
                      </w:r>
                      <w:r w:rsidR="00B16875" w:rsidRPr="00BA35B1">
                        <w:rPr>
                          <w:rFonts w:ascii="Arial" w:hAnsi="Arial" w:cs="Arial"/>
                          <w:b/>
                          <w:bCs/>
                        </w:rPr>
                        <w:t>Cristina Bucur</w:t>
                      </w:r>
                    </w:p>
                    <w:p w14:paraId="48187AE4" w14:textId="77777777" w:rsidR="00B16875" w:rsidRDefault="004468F8">
                      <w:pPr>
                        <w:spacing w:before="120" w:line="277" w:lineRule="auto"/>
                        <w:textDirection w:val="btLr"/>
                        <w:rPr>
                          <w:rFonts w:ascii="Arial" w:hAnsi="Arial" w:cs="Arial"/>
                          <w:b/>
                          <w:bCs/>
                        </w:rPr>
                      </w:pPr>
                      <w:r>
                        <w:rPr>
                          <w:color w:val="404040"/>
                          <w:sz w:val="36"/>
                        </w:rPr>
                        <w:t>Student ID:</w:t>
                      </w:r>
                      <w:r w:rsidR="00B16875" w:rsidRPr="00B16875">
                        <w:rPr>
                          <w:rFonts w:ascii="Arial" w:hAnsi="Arial" w:cs="Arial"/>
                          <w:b/>
                          <w:bCs/>
                        </w:rPr>
                        <w:t xml:space="preserve"> </w:t>
                      </w:r>
                      <w:r w:rsidR="00B16875" w:rsidRPr="00BA35B1">
                        <w:rPr>
                          <w:rFonts w:ascii="Arial" w:hAnsi="Arial" w:cs="Arial"/>
                          <w:b/>
                          <w:bCs/>
                        </w:rPr>
                        <w:t>2524789</w:t>
                      </w:r>
                    </w:p>
                    <w:p w14:paraId="7AB49677" w14:textId="77777777" w:rsidR="003C24F0" w:rsidRDefault="004468F8" w:rsidP="003C24F0">
                      <w:pPr>
                        <w:widowControl w:val="0"/>
                        <w:autoSpaceDE w:val="0"/>
                        <w:autoSpaceDN w:val="0"/>
                        <w:adjustRightInd w:val="0"/>
                        <w:spacing w:after="0" w:line="254" w:lineRule="exact"/>
                        <w:rPr>
                          <w:rFonts w:ascii="Arial" w:hAnsi="Arial" w:cs="Arial"/>
                        </w:rPr>
                      </w:pPr>
                      <w:r>
                        <w:rPr>
                          <w:color w:val="404040"/>
                          <w:sz w:val="36"/>
                        </w:rPr>
                        <w:t xml:space="preserve">Lecturer’s Name: </w:t>
                      </w:r>
                      <w:r w:rsidR="003C24F0">
                        <w:rPr>
                          <w:rFonts w:ascii="Arial" w:hAnsi="Arial" w:cs="Arial"/>
                          <w:b/>
                          <w:bCs/>
                          <w:color w:val="000000"/>
                          <w:sz w:val="22"/>
                          <w:szCs w:val="22"/>
                        </w:rPr>
                        <w:t>Muhammad Aliyu</w:t>
                      </w:r>
                    </w:p>
                    <w:p w14:paraId="5259E049" w14:textId="7CFD5946" w:rsidR="00DB7B3A" w:rsidRDefault="00DB7B3A" w:rsidP="00DB7B3A">
                      <w:pPr>
                        <w:widowControl w:val="0"/>
                        <w:autoSpaceDE w:val="0"/>
                        <w:autoSpaceDN w:val="0"/>
                        <w:adjustRightInd w:val="0"/>
                        <w:spacing w:after="0" w:line="252" w:lineRule="exact"/>
                        <w:rPr>
                          <w:rFonts w:ascii="Arial" w:hAnsi="Arial" w:cs="Arial"/>
                        </w:rPr>
                      </w:pPr>
                    </w:p>
                    <w:p w14:paraId="1B5CC7E7" w14:textId="5CFE3E70" w:rsidR="00B16875" w:rsidRDefault="00B16875" w:rsidP="00B16875">
                      <w:pPr>
                        <w:widowControl w:val="0"/>
                        <w:autoSpaceDE w:val="0"/>
                        <w:autoSpaceDN w:val="0"/>
                        <w:adjustRightInd w:val="0"/>
                        <w:spacing w:after="0" w:line="416" w:lineRule="auto"/>
                        <w:rPr>
                          <w:rFonts w:ascii="Arial" w:hAnsi="Arial" w:cs="Arial"/>
                        </w:rPr>
                      </w:pPr>
                    </w:p>
                    <w:p w14:paraId="7FD974AA" w14:textId="516DB498" w:rsidR="00B16875" w:rsidRPr="00FC69F3" w:rsidRDefault="00B16875" w:rsidP="00B16875">
                      <w:pPr>
                        <w:widowControl w:val="0"/>
                        <w:autoSpaceDE w:val="0"/>
                        <w:autoSpaceDN w:val="0"/>
                        <w:adjustRightInd w:val="0"/>
                        <w:spacing w:after="0" w:line="276" w:lineRule="auto"/>
                        <w:rPr>
                          <w:rFonts w:ascii="Arial" w:hAnsi="Arial" w:cs="Arial"/>
                        </w:rPr>
                      </w:pPr>
                    </w:p>
                    <w:p w14:paraId="7CAF91B5" w14:textId="545DABBF" w:rsidR="00530E16" w:rsidRDefault="00530E16">
                      <w:pPr>
                        <w:spacing w:before="120" w:line="277" w:lineRule="auto"/>
                        <w:textDirection w:val="btLr"/>
                      </w:pPr>
                    </w:p>
                  </w:txbxContent>
                </v:textbox>
                <w10:wrap anchorx="page" anchory="page"/>
              </v:rect>
            </w:pict>
          </mc:Fallback>
        </mc:AlternateContent>
      </w:r>
      <w:r w:rsidRPr="00572860">
        <w:rPr>
          <w:rFonts w:ascii="Arial" w:hAnsi="Arial" w:cs="Arial"/>
          <w:sz w:val="22"/>
          <w:szCs w:val="22"/>
        </w:rPr>
        <w:br w:type="page"/>
      </w:r>
    </w:p>
    <w:p w14:paraId="1112C674" w14:textId="77777777" w:rsidR="002E0F07" w:rsidRPr="00572860" w:rsidRDefault="002E0F07" w:rsidP="002E0F07">
      <w:pPr>
        <w:pStyle w:val="Heading2"/>
        <w:rPr>
          <w:rFonts w:ascii="Arial" w:hAnsi="Arial" w:cs="Arial"/>
          <w:color w:val="auto"/>
          <w:sz w:val="22"/>
          <w:szCs w:val="22"/>
        </w:rPr>
      </w:pPr>
      <w:r w:rsidRPr="00572860">
        <w:rPr>
          <w:rFonts w:ascii="Arial" w:hAnsi="Arial" w:cs="Arial"/>
          <w:color w:val="auto"/>
          <w:sz w:val="22"/>
          <w:szCs w:val="22"/>
        </w:rPr>
        <w:lastRenderedPageBreak/>
        <w:t>Table of Contents</w:t>
      </w:r>
    </w:p>
    <w:p w14:paraId="185400EC" w14:textId="77777777" w:rsidR="002E0F07" w:rsidRPr="00572860" w:rsidRDefault="002E0F07" w:rsidP="002E0F07">
      <w:pPr>
        <w:numPr>
          <w:ilvl w:val="0"/>
          <w:numId w:val="11"/>
        </w:numPr>
        <w:spacing w:before="100" w:beforeAutospacing="1" w:after="100" w:afterAutospacing="1" w:line="240" w:lineRule="auto"/>
        <w:rPr>
          <w:rFonts w:ascii="Arial" w:hAnsi="Arial" w:cs="Arial"/>
          <w:sz w:val="22"/>
          <w:szCs w:val="22"/>
        </w:rPr>
      </w:pPr>
      <w:r w:rsidRPr="00572860">
        <w:rPr>
          <w:rFonts w:ascii="Arial" w:hAnsi="Arial" w:cs="Arial"/>
          <w:sz w:val="22"/>
          <w:szCs w:val="22"/>
        </w:rPr>
        <w:t xml:space="preserve">Introduction </w:t>
      </w:r>
    </w:p>
    <w:p w14:paraId="69B41AB9" w14:textId="6BA343F0" w:rsidR="002E0F07" w:rsidRPr="00572860" w:rsidRDefault="002E0F07" w:rsidP="002E0F07">
      <w:pPr>
        <w:numPr>
          <w:ilvl w:val="0"/>
          <w:numId w:val="11"/>
        </w:numPr>
        <w:spacing w:before="100" w:beforeAutospacing="1" w:after="100" w:afterAutospacing="1" w:line="240" w:lineRule="auto"/>
        <w:rPr>
          <w:rFonts w:ascii="Arial" w:hAnsi="Arial" w:cs="Arial"/>
          <w:sz w:val="22"/>
          <w:szCs w:val="22"/>
        </w:rPr>
      </w:pPr>
      <w:r w:rsidRPr="00572860">
        <w:rPr>
          <w:rFonts w:ascii="Arial" w:hAnsi="Arial" w:cs="Arial"/>
          <w:sz w:val="22"/>
          <w:szCs w:val="22"/>
        </w:rPr>
        <w:t xml:space="preserve">Effective communication in Mrs Thompson’s care </w:t>
      </w:r>
    </w:p>
    <w:p w14:paraId="3D7225DD" w14:textId="717243D2" w:rsidR="002E0F07" w:rsidRPr="00572860" w:rsidRDefault="002E0F07" w:rsidP="002E0F07">
      <w:pPr>
        <w:numPr>
          <w:ilvl w:val="0"/>
          <w:numId w:val="11"/>
        </w:numPr>
        <w:spacing w:before="100" w:beforeAutospacing="1" w:after="100" w:afterAutospacing="1" w:line="240" w:lineRule="auto"/>
        <w:rPr>
          <w:rFonts w:ascii="Arial" w:hAnsi="Arial" w:cs="Arial"/>
          <w:sz w:val="22"/>
          <w:szCs w:val="22"/>
        </w:rPr>
      </w:pPr>
      <w:r w:rsidRPr="00572860">
        <w:rPr>
          <w:rFonts w:ascii="Arial" w:hAnsi="Arial" w:cs="Arial"/>
          <w:sz w:val="22"/>
          <w:szCs w:val="22"/>
        </w:rPr>
        <w:t>Administrative skills in professional practice</w:t>
      </w:r>
    </w:p>
    <w:p w14:paraId="5F237663" w14:textId="77777777" w:rsidR="002E0F07" w:rsidRPr="00572860" w:rsidRDefault="002E0F07" w:rsidP="002E0F07">
      <w:pPr>
        <w:numPr>
          <w:ilvl w:val="0"/>
          <w:numId w:val="11"/>
        </w:numPr>
        <w:spacing w:before="100" w:beforeAutospacing="1" w:after="100" w:afterAutospacing="1" w:line="240" w:lineRule="auto"/>
        <w:rPr>
          <w:rFonts w:ascii="Arial" w:hAnsi="Arial" w:cs="Arial"/>
          <w:sz w:val="22"/>
          <w:szCs w:val="22"/>
        </w:rPr>
      </w:pPr>
      <w:r w:rsidRPr="00572860">
        <w:rPr>
          <w:rFonts w:ascii="Arial" w:hAnsi="Arial" w:cs="Arial"/>
          <w:sz w:val="22"/>
          <w:szCs w:val="22"/>
        </w:rPr>
        <w:t xml:space="preserve">Collaborative and multi-agency working </w:t>
      </w:r>
    </w:p>
    <w:p w14:paraId="6E818B67" w14:textId="77777777" w:rsidR="002E0F07" w:rsidRPr="00572860" w:rsidRDefault="002E0F07" w:rsidP="002E0F07">
      <w:pPr>
        <w:numPr>
          <w:ilvl w:val="0"/>
          <w:numId w:val="11"/>
        </w:numPr>
        <w:spacing w:before="100" w:beforeAutospacing="1" w:after="100" w:afterAutospacing="1" w:line="240" w:lineRule="auto"/>
        <w:rPr>
          <w:rFonts w:ascii="Arial" w:hAnsi="Arial" w:cs="Arial"/>
          <w:sz w:val="22"/>
          <w:szCs w:val="22"/>
        </w:rPr>
      </w:pPr>
      <w:r w:rsidRPr="00572860">
        <w:rPr>
          <w:rFonts w:ascii="Arial" w:hAnsi="Arial" w:cs="Arial"/>
          <w:sz w:val="22"/>
          <w:szCs w:val="22"/>
        </w:rPr>
        <w:t xml:space="preserve">Conclusion </w:t>
      </w:r>
    </w:p>
    <w:p w14:paraId="7ACDEDA5" w14:textId="77777777" w:rsidR="002E0F07" w:rsidRPr="00572860" w:rsidRDefault="002E0F07" w:rsidP="002E0F07">
      <w:pPr>
        <w:numPr>
          <w:ilvl w:val="0"/>
          <w:numId w:val="11"/>
        </w:numPr>
        <w:spacing w:before="100" w:beforeAutospacing="1" w:after="100" w:afterAutospacing="1" w:line="240" w:lineRule="auto"/>
        <w:rPr>
          <w:rFonts w:ascii="Arial" w:hAnsi="Arial" w:cs="Arial"/>
          <w:sz w:val="22"/>
          <w:szCs w:val="22"/>
        </w:rPr>
      </w:pPr>
      <w:r w:rsidRPr="00572860">
        <w:rPr>
          <w:rFonts w:ascii="Arial" w:hAnsi="Arial" w:cs="Arial"/>
          <w:sz w:val="22"/>
          <w:szCs w:val="22"/>
        </w:rPr>
        <w:t>Reference list</w:t>
      </w:r>
    </w:p>
    <w:p w14:paraId="4FBF0C2B" w14:textId="77777777" w:rsidR="00530E16" w:rsidRPr="00572860" w:rsidRDefault="00530E16" w:rsidP="00B16875">
      <w:pPr>
        <w:spacing w:line="276" w:lineRule="auto"/>
        <w:rPr>
          <w:rFonts w:ascii="Arial" w:eastAsia="Arial" w:hAnsi="Arial" w:cs="Arial"/>
          <w:sz w:val="22"/>
          <w:szCs w:val="22"/>
        </w:rPr>
      </w:pPr>
    </w:p>
    <w:p w14:paraId="6F42BCAA" w14:textId="77777777" w:rsidR="00530E16" w:rsidRPr="00572860" w:rsidRDefault="00530E16" w:rsidP="00B16875">
      <w:pPr>
        <w:spacing w:line="276" w:lineRule="auto"/>
        <w:rPr>
          <w:rFonts w:ascii="Arial" w:eastAsia="Arial" w:hAnsi="Arial" w:cs="Arial"/>
          <w:sz w:val="22"/>
          <w:szCs w:val="22"/>
        </w:rPr>
      </w:pPr>
    </w:p>
    <w:p w14:paraId="6E4CA6F0" w14:textId="77777777" w:rsidR="00530E16" w:rsidRPr="00572860" w:rsidRDefault="00530E16" w:rsidP="00B16875">
      <w:pPr>
        <w:spacing w:line="276" w:lineRule="auto"/>
        <w:rPr>
          <w:rFonts w:ascii="Arial" w:eastAsia="Arial" w:hAnsi="Arial" w:cs="Arial"/>
          <w:sz w:val="22"/>
          <w:szCs w:val="22"/>
        </w:rPr>
      </w:pPr>
    </w:p>
    <w:p w14:paraId="0DAD35A9" w14:textId="77777777" w:rsidR="00530E16" w:rsidRPr="00572860" w:rsidRDefault="00530E16" w:rsidP="00B16875">
      <w:pPr>
        <w:spacing w:line="276" w:lineRule="auto"/>
        <w:rPr>
          <w:rFonts w:ascii="Arial" w:eastAsia="Arial" w:hAnsi="Arial" w:cs="Arial"/>
          <w:sz w:val="22"/>
          <w:szCs w:val="22"/>
        </w:rPr>
      </w:pPr>
    </w:p>
    <w:p w14:paraId="48F03A3C" w14:textId="77777777" w:rsidR="00530E16" w:rsidRPr="00572860" w:rsidRDefault="00530E16" w:rsidP="00B16875">
      <w:pPr>
        <w:spacing w:line="276" w:lineRule="auto"/>
        <w:rPr>
          <w:rFonts w:ascii="Arial" w:eastAsia="Arial" w:hAnsi="Arial" w:cs="Arial"/>
          <w:sz w:val="22"/>
          <w:szCs w:val="22"/>
        </w:rPr>
      </w:pPr>
    </w:p>
    <w:p w14:paraId="06DC2A4A" w14:textId="77777777" w:rsidR="00DB7B3A" w:rsidRPr="00572860" w:rsidRDefault="00DB7B3A" w:rsidP="00B16875">
      <w:pPr>
        <w:spacing w:line="276" w:lineRule="auto"/>
        <w:rPr>
          <w:rFonts w:ascii="Arial" w:eastAsia="Arial" w:hAnsi="Arial" w:cs="Arial"/>
          <w:sz w:val="22"/>
          <w:szCs w:val="22"/>
        </w:rPr>
      </w:pPr>
    </w:p>
    <w:p w14:paraId="40DE9CF8" w14:textId="77777777" w:rsidR="008F1D23" w:rsidRPr="00572860" w:rsidRDefault="008F1D23" w:rsidP="00B16875">
      <w:pPr>
        <w:spacing w:line="276" w:lineRule="auto"/>
        <w:rPr>
          <w:rFonts w:ascii="Arial" w:eastAsia="Arial" w:hAnsi="Arial" w:cs="Arial"/>
          <w:sz w:val="22"/>
          <w:szCs w:val="22"/>
        </w:rPr>
      </w:pPr>
    </w:p>
    <w:p w14:paraId="166BA25C" w14:textId="77777777" w:rsidR="008F1D23" w:rsidRPr="00572860" w:rsidRDefault="008F1D23" w:rsidP="00B16875">
      <w:pPr>
        <w:spacing w:line="276" w:lineRule="auto"/>
        <w:rPr>
          <w:rFonts w:ascii="Arial" w:eastAsia="Arial" w:hAnsi="Arial" w:cs="Arial"/>
          <w:sz w:val="22"/>
          <w:szCs w:val="22"/>
        </w:rPr>
      </w:pPr>
    </w:p>
    <w:p w14:paraId="51D6C147" w14:textId="77777777" w:rsidR="008F1D23" w:rsidRPr="00572860" w:rsidRDefault="008F1D23" w:rsidP="00B16875">
      <w:pPr>
        <w:spacing w:line="276" w:lineRule="auto"/>
        <w:rPr>
          <w:rFonts w:ascii="Arial" w:eastAsia="Arial" w:hAnsi="Arial" w:cs="Arial"/>
          <w:sz w:val="22"/>
          <w:szCs w:val="22"/>
        </w:rPr>
      </w:pPr>
    </w:p>
    <w:p w14:paraId="3C9B076C" w14:textId="77777777" w:rsidR="008F1D23" w:rsidRPr="00572860" w:rsidRDefault="008F1D23" w:rsidP="00B16875">
      <w:pPr>
        <w:spacing w:line="276" w:lineRule="auto"/>
        <w:rPr>
          <w:rFonts w:ascii="Arial" w:eastAsia="Arial" w:hAnsi="Arial" w:cs="Arial"/>
          <w:sz w:val="22"/>
          <w:szCs w:val="22"/>
        </w:rPr>
      </w:pPr>
    </w:p>
    <w:p w14:paraId="037155A2" w14:textId="77777777" w:rsidR="008F1D23" w:rsidRPr="00572860" w:rsidRDefault="008F1D23" w:rsidP="00B16875">
      <w:pPr>
        <w:spacing w:line="276" w:lineRule="auto"/>
        <w:rPr>
          <w:rFonts w:ascii="Arial" w:eastAsia="Arial" w:hAnsi="Arial" w:cs="Arial"/>
          <w:sz w:val="22"/>
          <w:szCs w:val="22"/>
        </w:rPr>
      </w:pPr>
    </w:p>
    <w:p w14:paraId="41D95ABC" w14:textId="77777777" w:rsidR="008F1D23" w:rsidRPr="00572860" w:rsidRDefault="008F1D23" w:rsidP="00B16875">
      <w:pPr>
        <w:spacing w:line="276" w:lineRule="auto"/>
        <w:rPr>
          <w:rFonts w:ascii="Arial" w:eastAsia="Arial" w:hAnsi="Arial" w:cs="Arial"/>
          <w:sz w:val="22"/>
          <w:szCs w:val="22"/>
        </w:rPr>
      </w:pPr>
    </w:p>
    <w:p w14:paraId="630210D9" w14:textId="77777777" w:rsidR="008F1D23" w:rsidRPr="00572860" w:rsidRDefault="008F1D23" w:rsidP="00B16875">
      <w:pPr>
        <w:spacing w:line="276" w:lineRule="auto"/>
        <w:rPr>
          <w:rFonts w:ascii="Arial" w:eastAsia="Arial" w:hAnsi="Arial" w:cs="Arial"/>
          <w:sz w:val="22"/>
          <w:szCs w:val="22"/>
        </w:rPr>
      </w:pPr>
    </w:p>
    <w:p w14:paraId="6B88312F" w14:textId="77777777" w:rsidR="008F1D23" w:rsidRPr="00572860" w:rsidRDefault="008F1D23" w:rsidP="00B16875">
      <w:pPr>
        <w:spacing w:line="276" w:lineRule="auto"/>
        <w:rPr>
          <w:rFonts w:ascii="Arial" w:eastAsia="Arial" w:hAnsi="Arial" w:cs="Arial"/>
          <w:sz w:val="22"/>
          <w:szCs w:val="22"/>
        </w:rPr>
      </w:pPr>
    </w:p>
    <w:p w14:paraId="73AFB274" w14:textId="77777777" w:rsidR="008F1D23" w:rsidRPr="00572860" w:rsidRDefault="008F1D23" w:rsidP="00B16875">
      <w:pPr>
        <w:spacing w:line="276" w:lineRule="auto"/>
        <w:rPr>
          <w:rFonts w:ascii="Arial" w:eastAsia="Arial" w:hAnsi="Arial" w:cs="Arial"/>
          <w:sz w:val="22"/>
          <w:szCs w:val="22"/>
        </w:rPr>
      </w:pPr>
    </w:p>
    <w:p w14:paraId="4CBF6F2C" w14:textId="77777777" w:rsidR="008F1D23" w:rsidRPr="00572860" w:rsidRDefault="008F1D23" w:rsidP="00B16875">
      <w:pPr>
        <w:spacing w:line="276" w:lineRule="auto"/>
        <w:rPr>
          <w:rFonts w:ascii="Arial" w:eastAsia="Arial" w:hAnsi="Arial" w:cs="Arial"/>
          <w:sz w:val="22"/>
          <w:szCs w:val="22"/>
        </w:rPr>
      </w:pPr>
    </w:p>
    <w:p w14:paraId="3D043BA9" w14:textId="77777777" w:rsidR="008F1D23" w:rsidRPr="00572860" w:rsidRDefault="008F1D23" w:rsidP="00B16875">
      <w:pPr>
        <w:spacing w:line="276" w:lineRule="auto"/>
        <w:rPr>
          <w:rFonts w:ascii="Arial" w:eastAsia="Arial" w:hAnsi="Arial" w:cs="Arial"/>
          <w:sz w:val="22"/>
          <w:szCs w:val="22"/>
        </w:rPr>
      </w:pPr>
    </w:p>
    <w:p w14:paraId="2E4FE94F" w14:textId="77777777" w:rsidR="008F1D23" w:rsidRPr="00572860" w:rsidRDefault="008F1D23" w:rsidP="00B16875">
      <w:pPr>
        <w:spacing w:line="276" w:lineRule="auto"/>
        <w:rPr>
          <w:rFonts w:ascii="Arial" w:eastAsia="Arial" w:hAnsi="Arial" w:cs="Arial"/>
          <w:sz w:val="22"/>
          <w:szCs w:val="22"/>
        </w:rPr>
      </w:pPr>
    </w:p>
    <w:p w14:paraId="4D02A313" w14:textId="77777777" w:rsidR="008F1D23" w:rsidRPr="00572860" w:rsidRDefault="008F1D23" w:rsidP="00B16875">
      <w:pPr>
        <w:spacing w:line="276" w:lineRule="auto"/>
        <w:rPr>
          <w:rFonts w:ascii="Arial" w:eastAsia="Arial" w:hAnsi="Arial" w:cs="Arial"/>
          <w:sz w:val="22"/>
          <w:szCs w:val="22"/>
        </w:rPr>
      </w:pPr>
    </w:p>
    <w:p w14:paraId="4D4FB190" w14:textId="77777777" w:rsidR="008F1D23" w:rsidRPr="00572860" w:rsidRDefault="008F1D23" w:rsidP="00B16875">
      <w:pPr>
        <w:spacing w:line="276" w:lineRule="auto"/>
        <w:rPr>
          <w:rFonts w:ascii="Arial" w:eastAsia="Arial" w:hAnsi="Arial" w:cs="Arial"/>
          <w:sz w:val="22"/>
          <w:szCs w:val="22"/>
        </w:rPr>
      </w:pPr>
    </w:p>
    <w:p w14:paraId="2AEE1B6E" w14:textId="77777777" w:rsidR="008F1D23" w:rsidRPr="00572860" w:rsidRDefault="008F1D23" w:rsidP="00B16875">
      <w:pPr>
        <w:spacing w:line="276" w:lineRule="auto"/>
        <w:rPr>
          <w:rFonts w:ascii="Arial" w:eastAsia="Arial" w:hAnsi="Arial" w:cs="Arial"/>
          <w:sz w:val="22"/>
          <w:szCs w:val="22"/>
        </w:rPr>
      </w:pPr>
    </w:p>
    <w:p w14:paraId="6E5D174E" w14:textId="77777777" w:rsidR="008F1D23" w:rsidRPr="00572860" w:rsidRDefault="008F1D23" w:rsidP="00B16875">
      <w:pPr>
        <w:spacing w:line="276" w:lineRule="auto"/>
        <w:rPr>
          <w:rFonts w:ascii="Arial" w:eastAsia="Arial" w:hAnsi="Arial" w:cs="Arial"/>
          <w:sz w:val="22"/>
          <w:szCs w:val="22"/>
        </w:rPr>
      </w:pPr>
    </w:p>
    <w:p w14:paraId="243DA20F" w14:textId="77777777" w:rsidR="008F1D23" w:rsidRPr="00572860" w:rsidRDefault="008F1D23" w:rsidP="00B16875">
      <w:pPr>
        <w:spacing w:line="276" w:lineRule="auto"/>
        <w:rPr>
          <w:rFonts w:ascii="Arial" w:eastAsia="Arial" w:hAnsi="Arial" w:cs="Arial"/>
          <w:sz w:val="22"/>
          <w:szCs w:val="22"/>
        </w:rPr>
      </w:pPr>
    </w:p>
    <w:p w14:paraId="7CC47808" w14:textId="77777777" w:rsidR="008F1D23" w:rsidRPr="00572860" w:rsidRDefault="008F1D23" w:rsidP="00B16875">
      <w:pPr>
        <w:spacing w:line="276" w:lineRule="auto"/>
        <w:rPr>
          <w:rFonts w:ascii="Arial" w:eastAsia="Arial" w:hAnsi="Arial" w:cs="Arial"/>
          <w:sz w:val="22"/>
          <w:szCs w:val="22"/>
        </w:rPr>
      </w:pPr>
    </w:p>
    <w:p w14:paraId="136C9C87" w14:textId="77777777" w:rsidR="008F1D23" w:rsidRPr="00572860" w:rsidRDefault="008F1D23" w:rsidP="00B16875">
      <w:pPr>
        <w:spacing w:line="276" w:lineRule="auto"/>
        <w:rPr>
          <w:rFonts w:ascii="Arial" w:eastAsia="Arial" w:hAnsi="Arial" w:cs="Arial"/>
          <w:sz w:val="22"/>
          <w:szCs w:val="22"/>
        </w:rPr>
      </w:pPr>
    </w:p>
    <w:p w14:paraId="2F6474E4" w14:textId="77777777" w:rsidR="008F1D23" w:rsidRPr="00572860" w:rsidRDefault="008F1D23" w:rsidP="00B16875">
      <w:pPr>
        <w:spacing w:line="276" w:lineRule="auto"/>
        <w:rPr>
          <w:rFonts w:ascii="Arial" w:eastAsia="Arial" w:hAnsi="Arial" w:cs="Arial"/>
          <w:sz w:val="22"/>
          <w:szCs w:val="22"/>
        </w:rPr>
      </w:pPr>
    </w:p>
    <w:p w14:paraId="7DD8B5BC" w14:textId="7DC0DAEA" w:rsidR="002E0F07" w:rsidRPr="00572860" w:rsidRDefault="002E0F07" w:rsidP="002E0F07">
      <w:pPr>
        <w:pStyle w:val="ListParagraph"/>
        <w:numPr>
          <w:ilvl w:val="0"/>
          <w:numId w:val="12"/>
        </w:numPr>
        <w:spacing w:after="0" w:line="240" w:lineRule="auto"/>
        <w:rPr>
          <w:rFonts w:ascii="Arial" w:eastAsia="Times New Roman" w:hAnsi="Arial" w:cs="Arial"/>
          <w:b/>
          <w:bCs/>
          <w:sz w:val="22"/>
          <w:szCs w:val="22"/>
        </w:rPr>
      </w:pPr>
      <w:r w:rsidRPr="00572860">
        <w:rPr>
          <w:rFonts w:ascii="Arial" w:eastAsia="Times New Roman" w:hAnsi="Arial" w:cs="Arial"/>
          <w:b/>
          <w:bCs/>
          <w:sz w:val="22"/>
          <w:szCs w:val="22"/>
        </w:rPr>
        <w:lastRenderedPageBreak/>
        <w:t xml:space="preserve">Introduction </w:t>
      </w:r>
    </w:p>
    <w:p w14:paraId="4031887D" w14:textId="77777777" w:rsidR="002E0F07" w:rsidRPr="00572860" w:rsidRDefault="002E0F07" w:rsidP="002E0F07">
      <w:pPr>
        <w:spacing w:before="100" w:beforeAutospacing="1" w:after="100" w:afterAutospacing="1" w:line="240" w:lineRule="auto"/>
        <w:rPr>
          <w:rFonts w:ascii="Arial" w:hAnsi="Arial" w:cs="Arial"/>
          <w:sz w:val="22"/>
          <w:szCs w:val="22"/>
        </w:rPr>
      </w:pPr>
      <w:r w:rsidRPr="00572860">
        <w:rPr>
          <w:rFonts w:ascii="Arial" w:eastAsia="Times New Roman" w:hAnsi="Arial" w:cs="Arial"/>
          <w:sz w:val="22"/>
          <w:szCs w:val="22"/>
        </w:rPr>
        <w:br/>
        <w:t xml:space="preserve">This paper critically explores the communication, collaboration and administration processes necessary to support Mrs Thompson, an </w:t>
      </w:r>
      <w:proofErr w:type="gramStart"/>
      <w:r w:rsidRPr="00572860">
        <w:rPr>
          <w:rFonts w:ascii="Arial" w:eastAsia="Times New Roman" w:hAnsi="Arial" w:cs="Arial"/>
          <w:sz w:val="22"/>
          <w:szCs w:val="22"/>
        </w:rPr>
        <w:t>84 year old</w:t>
      </w:r>
      <w:proofErr w:type="gramEnd"/>
      <w:r w:rsidRPr="00572860">
        <w:rPr>
          <w:rFonts w:ascii="Arial" w:eastAsia="Times New Roman" w:hAnsi="Arial" w:cs="Arial"/>
          <w:sz w:val="22"/>
          <w:szCs w:val="22"/>
        </w:rPr>
        <w:t xml:space="preserve"> lady recently discharged from hospital with pneumonia. She has mild dementia and lives alone in sheltered accommodation and receives domiciliary care twice a day. Missing medications for two days, increased confusion, and being found outside without appropriate clothing signal interrelated concerns of medication adherence, cognition, self-neglect, and environmental safety.</w:t>
      </w:r>
      <w:r w:rsidRPr="00572860">
        <w:rPr>
          <w:rFonts w:ascii="Arial" w:eastAsia="Times New Roman" w:hAnsi="Arial" w:cs="Arial"/>
          <w:sz w:val="22"/>
          <w:szCs w:val="22"/>
        </w:rPr>
        <w:br/>
        <w:t>But risk is no reason to remove Mrs Thompson’s independence. Effective care must balance her autonomy, dignity and preferences with the professionals’ duty to prevent needless damage. This includes the appropriate communication for her unique requirements, accurate and lawful record keeping and co-ordinated cooperation amongst Mrs Thompson, her family, domiciliary care staff, GP, community nurse, pharmacist and local authority. The report examines how relevant legislation, research findings and professional frameworks can be used to provide person-centred, legally compliant care.</w:t>
      </w:r>
    </w:p>
    <w:p w14:paraId="424E78AA" w14:textId="5777E6A7" w:rsidR="002E0F07" w:rsidRPr="00572860" w:rsidRDefault="002E0F07" w:rsidP="002E0F07">
      <w:pPr>
        <w:pStyle w:val="ListParagraph"/>
        <w:numPr>
          <w:ilvl w:val="0"/>
          <w:numId w:val="12"/>
        </w:numPr>
        <w:spacing w:before="100" w:beforeAutospacing="1" w:after="100" w:afterAutospacing="1" w:line="240" w:lineRule="auto"/>
        <w:rPr>
          <w:rFonts w:ascii="Arial" w:hAnsi="Arial" w:cs="Arial"/>
          <w:b/>
          <w:bCs/>
          <w:sz w:val="22"/>
          <w:szCs w:val="22"/>
        </w:rPr>
      </w:pPr>
      <w:r w:rsidRPr="00572860">
        <w:rPr>
          <w:rFonts w:ascii="Arial" w:hAnsi="Arial" w:cs="Arial"/>
          <w:b/>
          <w:bCs/>
          <w:sz w:val="22"/>
          <w:szCs w:val="22"/>
        </w:rPr>
        <w:t xml:space="preserve">Effective communication in Mrs Thompson’s care </w:t>
      </w:r>
    </w:p>
    <w:p w14:paraId="433A8E8B" w14:textId="30A9CB4C" w:rsidR="002E0F07" w:rsidRPr="00572860" w:rsidRDefault="002E0F07" w:rsidP="002E0F07">
      <w:pPr>
        <w:spacing w:before="100" w:beforeAutospacing="1" w:after="100" w:afterAutospacing="1" w:line="240" w:lineRule="auto"/>
        <w:rPr>
          <w:rFonts w:ascii="Arial" w:eastAsia="Times New Roman" w:hAnsi="Arial" w:cs="Arial"/>
          <w:sz w:val="22"/>
          <w:szCs w:val="22"/>
        </w:rPr>
      </w:pPr>
      <w:r w:rsidRPr="00572860">
        <w:rPr>
          <w:rFonts w:ascii="Arial" w:eastAsia="Times New Roman" w:hAnsi="Arial" w:cs="Arial"/>
          <w:sz w:val="22"/>
          <w:szCs w:val="22"/>
        </w:rPr>
        <w:t>Good communication is important as it helps Mrs Thompson understand and engage with decisions regarding her medicines, safety and care. Dementia may decrease memory, focus and processing speed but a diagnosis alone does not render someone unable. Under the Mental capability Act 2005 professionals are required to assume capability and do everything they can to enable decision making before determining that a person lacks capacity (Mental Capacity Act 2005, s.1). Capacity is also time specific and decision specific. Mrs Thompson might, therefore, understand her preferences for care, but be unable to remember exact prescription instructions.</w:t>
      </w:r>
      <w:r w:rsidRPr="00572860">
        <w:rPr>
          <w:rFonts w:ascii="Arial" w:eastAsia="Times New Roman" w:hAnsi="Arial" w:cs="Arial"/>
          <w:sz w:val="22"/>
          <w:szCs w:val="22"/>
        </w:rPr>
        <w:br/>
        <w:t>Professionals should speak in a comfortable, peaceful place and if feasible at a time of day when Mrs Thompson is most aware. Use the name she prefers, make the right amount of eye contact, speak slowly and in short words, and address one topic at a time. Information can be supplemented with large print instructions, illustrations, a medication chart or annotated prompts. But simple communication should neither be patronizing or infantilising. Person-centred communication is about respecting the person’s values and sharing power, not increasing professional control over behaviour (McCormack &amp; McCance, 2017).</w:t>
      </w:r>
      <w:r w:rsidRPr="00572860">
        <w:rPr>
          <w:rFonts w:ascii="Arial" w:eastAsia="Times New Roman" w:hAnsi="Arial" w:cs="Arial"/>
          <w:sz w:val="22"/>
          <w:szCs w:val="22"/>
        </w:rPr>
        <w:br/>
        <w:t xml:space="preserve">The transactional paradigm of communication applies very well. As </w:t>
      </w:r>
      <w:proofErr w:type="spellStart"/>
      <w:r w:rsidRPr="00572860">
        <w:rPr>
          <w:rFonts w:ascii="Arial" w:eastAsia="Times New Roman" w:hAnsi="Arial" w:cs="Arial"/>
          <w:sz w:val="22"/>
          <w:szCs w:val="22"/>
        </w:rPr>
        <w:t>Barnlund</w:t>
      </w:r>
      <w:proofErr w:type="spellEnd"/>
      <w:r w:rsidRPr="00572860">
        <w:rPr>
          <w:rFonts w:ascii="Arial" w:eastAsia="Times New Roman" w:hAnsi="Arial" w:cs="Arial"/>
          <w:sz w:val="22"/>
          <w:szCs w:val="22"/>
        </w:rPr>
        <w:t xml:space="preserve"> (1970) argues, communication is a two-way process which is simultaneous and in which participants send, receive and interpret verbal and non-verbal messages. Meaning is affected by context, feedback and ‘noise’. For Mrs Thompson, noise might be anything from exhaustion from pneumonia, to anxiety, memory problems, hearing loss or a new career. A nod can’t mean that she understands. It is important that professionals are alert to non-verbal cues, ask open questions and use teach-back, asking her to clarify the strategy agreed in her own </w:t>
      </w:r>
      <w:proofErr w:type="gramStart"/>
      <w:r w:rsidRPr="00572860">
        <w:rPr>
          <w:rFonts w:ascii="Arial" w:eastAsia="Times New Roman" w:hAnsi="Arial" w:cs="Arial"/>
          <w:sz w:val="22"/>
          <w:szCs w:val="22"/>
        </w:rPr>
        <w:t>terms .</w:t>
      </w:r>
      <w:proofErr w:type="gramEnd"/>
      <w:r w:rsidRPr="00572860">
        <w:rPr>
          <w:rFonts w:ascii="Arial" w:eastAsia="Times New Roman" w:hAnsi="Arial" w:cs="Arial"/>
          <w:sz w:val="22"/>
          <w:szCs w:val="22"/>
        </w:rPr>
        <w:t xml:space="preserve"> Teach-back may increase comprehension and self-management but the research is methodologically heterogeneous and success depends on staff training and consistent execution (</w:t>
      </w:r>
      <w:proofErr w:type="spellStart"/>
      <w:r w:rsidRPr="00572860">
        <w:rPr>
          <w:rFonts w:ascii="Arial" w:eastAsia="Times New Roman" w:hAnsi="Arial" w:cs="Arial"/>
          <w:sz w:val="22"/>
          <w:szCs w:val="22"/>
        </w:rPr>
        <w:t>Talevski</w:t>
      </w:r>
      <w:proofErr w:type="spellEnd"/>
      <w:r w:rsidRPr="00572860">
        <w:rPr>
          <w:rFonts w:ascii="Arial" w:eastAsia="Times New Roman" w:hAnsi="Arial" w:cs="Arial"/>
          <w:sz w:val="22"/>
          <w:szCs w:val="22"/>
        </w:rPr>
        <w:t xml:space="preserve"> et al., 2020).</w:t>
      </w:r>
      <w:r w:rsidRPr="00572860">
        <w:rPr>
          <w:rFonts w:ascii="Arial" w:eastAsia="Times New Roman" w:hAnsi="Arial" w:cs="Arial"/>
          <w:sz w:val="22"/>
          <w:szCs w:val="22"/>
        </w:rPr>
        <w:br/>
        <w:t xml:space="preserve">The Equality Act 2010 protects people against discrimination on the grounds of age, disability etc. Dementia may be a handicap for the purposes of the Act where it has a considerable and </w:t>
      </w:r>
      <w:proofErr w:type="gramStart"/>
      <w:r w:rsidRPr="00572860">
        <w:rPr>
          <w:rFonts w:ascii="Arial" w:eastAsia="Times New Roman" w:hAnsi="Arial" w:cs="Arial"/>
          <w:sz w:val="22"/>
          <w:szCs w:val="22"/>
        </w:rPr>
        <w:t>long term</w:t>
      </w:r>
      <w:proofErr w:type="gramEnd"/>
      <w:r w:rsidRPr="00572860">
        <w:rPr>
          <w:rFonts w:ascii="Arial" w:eastAsia="Times New Roman" w:hAnsi="Arial" w:cs="Arial"/>
          <w:sz w:val="22"/>
          <w:szCs w:val="22"/>
        </w:rPr>
        <w:t xml:space="preserve"> harmful effect on normal day to day activities. Service providers need to make reasonable adaptations which may include lengthier appointments, accessible written information, consistent care workers and face to face communication rather than by telephone (Equality Act 2010, ss.6 and 20). To discriminate would be to treat Mrs Thompson less favourably because of her age, or to assume that her uncertainty would make meaningful involvement impossible. But the same treatment is not necessarily fair.</w:t>
      </w:r>
      <w:r w:rsidRPr="00572860">
        <w:rPr>
          <w:rFonts w:ascii="Arial" w:eastAsia="Times New Roman" w:hAnsi="Arial" w:cs="Arial"/>
          <w:sz w:val="22"/>
          <w:szCs w:val="22"/>
        </w:rPr>
        <w:br/>
        <w:t xml:space="preserve">Family members can provide useful information on Mrs Thompson’s regular behaviour, medication regimes and preferences. However, there is insufficient evidence to suggest that </w:t>
      </w:r>
      <w:r w:rsidRPr="00572860">
        <w:rPr>
          <w:rFonts w:ascii="Arial" w:eastAsia="Times New Roman" w:hAnsi="Arial" w:cs="Arial"/>
          <w:sz w:val="22"/>
          <w:szCs w:val="22"/>
        </w:rPr>
        <w:lastRenderedPageBreak/>
        <w:t>all interventions are equally effective in all settings (</w:t>
      </w:r>
      <w:proofErr w:type="spellStart"/>
      <w:r w:rsidRPr="00572860">
        <w:rPr>
          <w:rFonts w:ascii="Arial" w:eastAsia="Times New Roman" w:hAnsi="Arial" w:cs="Arial"/>
          <w:sz w:val="22"/>
          <w:szCs w:val="22"/>
        </w:rPr>
        <w:t>Eggenberger</w:t>
      </w:r>
      <w:proofErr w:type="spellEnd"/>
      <w:r w:rsidRPr="00572860">
        <w:rPr>
          <w:rFonts w:ascii="Arial" w:eastAsia="Times New Roman" w:hAnsi="Arial" w:cs="Arial"/>
          <w:sz w:val="22"/>
          <w:szCs w:val="22"/>
        </w:rPr>
        <w:t xml:space="preserve">, </w:t>
      </w:r>
      <w:proofErr w:type="spellStart"/>
      <w:r w:rsidRPr="00572860">
        <w:rPr>
          <w:rFonts w:ascii="Arial" w:eastAsia="Times New Roman" w:hAnsi="Arial" w:cs="Arial"/>
          <w:sz w:val="22"/>
          <w:szCs w:val="22"/>
        </w:rPr>
        <w:t>Heimerl</w:t>
      </w:r>
      <w:proofErr w:type="spellEnd"/>
      <w:r w:rsidRPr="00572860">
        <w:rPr>
          <w:rFonts w:ascii="Arial" w:eastAsia="Times New Roman" w:hAnsi="Arial" w:cs="Arial"/>
          <w:sz w:val="22"/>
          <w:szCs w:val="22"/>
        </w:rPr>
        <w:t xml:space="preserve"> and Bennett, 2013). Training in communication for carers can increase knowledge and relationships with persons living with dementia. </w:t>
      </w:r>
      <w:proofErr w:type="gramStart"/>
      <w:r w:rsidRPr="00572860">
        <w:rPr>
          <w:rFonts w:ascii="Arial" w:eastAsia="Times New Roman" w:hAnsi="Arial" w:cs="Arial"/>
          <w:sz w:val="22"/>
          <w:szCs w:val="22"/>
        </w:rPr>
        <w:t>Firstly</w:t>
      </w:r>
      <w:proofErr w:type="gramEnd"/>
      <w:r w:rsidRPr="00572860">
        <w:rPr>
          <w:rFonts w:ascii="Arial" w:eastAsia="Times New Roman" w:hAnsi="Arial" w:cs="Arial"/>
          <w:sz w:val="22"/>
          <w:szCs w:val="22"/>
        </w:rPr>
        <w:t xml:space="preserve"> professionals should ask Mrs Thompson whether she is happy for her family to be included and continue to talk to Mrs Thompson directly. “Relatives don’t automatically have a right to make decisions. Where Mrs Thompson lacks capacity for a particular decision specialists should check for a relevant health and welfare durable power of attorney and, if none is in place, make a documented best </w:t>
      </w:r>
      <w:proofErr w:type="gramStart"/>
      <w:r w:rsidRPr="00572860">
        <w:rPr>
          <w:rFonts w:ascii="Arial" w:eastAsia="Times New Roman" w:hAnsi="Arial" w:cs="Arial"/>
          <w:sz w:val="22"/>
          <w:szCs w:val="22"/>
        </w:rPr>
        <w:t>interests</w:t>
      </w:r>
      <w:proofErr w:type="gramEnd"/>
      <w:r w:rsidRPr="00572860">
        <w:rPr>
          <w:rFonts w:ascii="Arial" w:eastAsia="Times New Roman" w:hAnsi="Arial" w:cs="Arial"/>
          <w:sz w:val="22"/>
          <w:szCs w:val="22"/>
        </w:rPr>
        <w:t xml:space="preserve"> decision, involving family but without allowing their preferences to override hers.</w:t>
      </w:r>
    </w:p>
    <w:p w14:paraId="6BB46C04" w14:textId="6123E929" w:rsidR="002E0F07" w:rsidRPr="00572860" w:rsidRDefault="002E0F07" w:rsidP="002E0F07">
      <w:pPr>
        <w:spacing w:before="100" w:beforeAutospacing="1" w:after="100" w:afterAutospacing="1" w:line="240" w:lineRule="auto"/>
        <w:rPr>
          <w:rFonts w:ascii="Arial" w:hAnsi="Arial" w:cs="Arial"/>
          <w:b/>
          <w:bCs/>
          <w:sz w:val="22"/>
          <w:szCs w:val="22"/>
        </w:rPr>
      </w:pPr>
      <w:r w:rsidRPr="00572860">
        <w:rPr>
          <w:rFonts w:ascii="Arial" w:eastAsia="Times New Roman" w:hAnsi="Arial" w:cs="Arial"/>
          <w:b/>
          <w:bCs/>
          <w:sz w:val="22"/>
          <w:szCs w:val="22"/>
        </w:rPr>
        <w:t xml:space="preserve">3. </w:t>
      </w:r>
      <w:r w:rsidRPr="00572860">
        <w:rPr>
          <w:rFonts w:ascii="Arial" w:hAnsi="Arial" w:cs="Arial"/>
          <w:b/>
          <w:bCs/>
          <w:sz w:val="22"/>
          <w:szCs w:val="22"/>
        </w:rPr>
        <w:t>Administrative skills in professional practice</w:t>
      </w:r>
    </w:p>
    <w:p w14:paraId="11E604B3" w14:textId="0FE91EAD" w:rsidR="003E5C01" w:rsidRPr="00572860" w:rsidRDefault="002E0F07" w:rsidP="002E0F07">
      <w:pPr>
        <w:spacing w:before="100" w:beforeAutospacing="1" w:after="100" w:afterAutospacing="1" w:line="240" w:lineRule="auto"/>
        <w:rPr>
          <w:rFonts w:ascii="Arial" w:eastAsia="Times New Roman" w:hAnsi="Arial" w:cs="Arial"/>
          <w:sz w:val="22"/>
          <w:szCs w:val="22"/>
        </w:rPr>
      </w:pPr>
      <w:r w:rsidRPr="00572860">
        <w:rPr>
          <w:rFonts w:ascii="Arial" w:eastAsia="Times New Roman" w:hAnsi="Arial" w:cs="Arial"/>
          <w:sz w:val="22"/>
          <w:szCs w:val="22"/>
        </w:rPr>
        <w:br/>
        <w:t>Good administrative abilities turn observations into coordinated, responsible treatment. In Mrs Thompson’s situation, faulty or delayed records could lead to missed medicine, repeated doses, or the failure to spot worsening cognition. Care workers should record the facts including the date, the time and the context, what medicine was provided or given, the dose, what happened as a result, the explanation for any omission, Mrs Thompson’s presentation and the action taken. Instead of subjective descriptions such as “Mrs Thompson said she had already taken the tablet” it is better to use objective descriptors such as “difficult” or “non-compliant”.</w:t>
      </w:r>
      <w:r w:rsidRPr="00572860">
        <w:rPr>
          <w:rFonts w:ascii="Arial" w:eastAsia="Times New Roman" w:hAnsi="Arial" w:cs="Arial"/>
          <w:sz w:val="22"/>
          <w:szCs w:val="22"/>
        </w:rPr>
        <w:br/>
        <w:t xml:space="preserve">Medication administration record Incident report Daily notes Risk assessment and care plan All of the above should be consistent and cross referenced. NICE (2017) recommends that the need for medicines support should be assessed and recorded and that medicines support should be recorded for each medicine at each occasion. Cognitive impairment is connected with pharmaceutical non-adherence (Smith et al., 2017) yet rates of medication adherence and reasons for non-adherence vary widely. </w:t>
      </w:r>
      <w:proofErr w:type="gramStart"/>
      <w:r w:rsidRPr="00572860">
        <w:rPr>
          <w:rFonts w:ascii="Arial" w:eastAsia="Times New Roman" w:hAnsi="Arial" w:cs="Arial"/>
          <w:sz w:val="22"/>
          <w:szCs w:val="22"/>
        </w:rPr>
        <w:t>Therefore</w:t>
      </w:r>
      <w:proofErr w:type="gramEnd"/>
      <w:r w:rsidRPr="00572860">
        <w:rPr>
          <w:rFonts w:ascii="Arial" w:eastAsia="Times New Roman" w:hAnsi="Arial" w:cs="Arial"/>
          <w:sz w:val="22"/>
          <w:szCs w:val="22"/>
        </w:rPr>
        <w:t xml:space="preserve"> missed doses should be a flag to reassess the individual medication and not an automatic presumption that Mrs Thompson is no longer able to self-administer.</w:t>
      </w:r>
      <w:r w:rsidRPr="00572860">
        <w:rPr>
          <w:rFonts w:ascii="Arial" w:eastAsia="Times New Roman" w:hAnsi="Arial" w:cs="Arial"/>
          <w:sz w:val="22"/>
          <w:szCs w:val="22"/>
        </w:rPr>
        <w:br/>
        <w:t>Options can include reminder prompts, supervised administration, varying the timings of care calls, a monitored dispenser or pharmacy-prepared packaging. All options have a limit. For example, a dispenser may alarm without confirming ingestion, and full administration by workers may restrict independence unnecessarily. The incidence of unsuitable clothes should include time, place, weather conditions, clothing worn, Mrs Thompson’s physical and emotional presentation, quick action and personnel alerted. Regulation 17 of the Health and Social Care Act 2008 (Regulated Activities) Regulations 2014 states that secure, accurate, complete and contemporaneous records of service users are kept (Care Quality Commission, 2025). But more documentation is not necessarily better. Over-copying, defensive recording and extraneous detail might obscure crucial information. Research has identified technological, organizational and individual constraints that can impede documentation from contributing to safe continuity of care (</w:t>
      </w:r>
      <w:proofErr w:type="spellStart"/>
      <w:r w:rsidRPr="00572860">
        <w:rPr>
          <w:rFonts w:ascii="Arial" w:eastAsia="Times New Roman" w:hAnsi="Arial" w:cs="Arial"/>
          <w:sz w:val="22"/>
          <w:szCs w:val="22"/>
        </w:rPr>
        <w:t>Bjerkan</w:t>
      </w:r>
      <w:proofErr w:type="spellEnd"/>
      <w:r w:rsidRPr="00572860">
        <w:rPr>
          <w:rFonts w:ascii="Arial" w:eastAsia="Times New Roman" w:hAnsi="Arial" w:cs="Arial"/>
          <w:sz w:val="22"/>
          <w:szCs w:val="22"/>
        </w:rPr>
        <w:t xml:space="preserve"> et al., 2021). Hence quality is a function of relevance clarity accessibility and follow-up and not of volume of record alone.</w:t>
      </w:r>
      <w:r w:rsidRPr="00572860">
        <w:rPr>
          <w:rFonts w:ascii="Arial" w:eastAsia="Times New Roman" w:hAnsi="Arial" w:cs="Arial"/>
          <w:sz w:val="22"/>
          <w:szCs w:val="22"/>
        </w:rPr>
        <w:br/>
        <w:t xml:space="preserve">Information on Mrs Thompson’s health and social care is special category personal data. Under the Data Protection Act 2018 and UK GDPR, the company must identify both an </w:t>
      </w:r>
      <w:proofErr w:type="gramStart"/>
      <w:r w:rsidRPr="00572860">
        <w:rPr>
          <w:rFonts w:ascii="Arial" w:eastAsia="Times New Roman" w:hAnsi="Arial" w:cs="Arial"/>
          <w:sz w:val="22"/>
          <w:szCs w:val="22"/>
        </w:rPr>
        <w:t>Article</w:t>
      </w:r>
      <w:proofErr w:type="gramEnd"/>
      <w:r w:rsidRPr="00572860">
        <w:rPr>
          <w:rFonts w:ascii="Arial" w:eastAsia="Times New Roman" w:hAnsi="Arial" w:cs="Arial"/>
          <w:sz w:val="22"/>
          <w:szCs w:val="22"/>
        </w:rPr>
        <w:t xml:space="preserve"> 6 legitimate reason and an Article 9 requirement before processing health information (Information Commissioner’s Office, 2024). There will be times when you do not have consent as the appropriate legal basis as you may need to handle relevant information for reasons of health or social care and safeguarding. But Mrs Thompson has the right to accessible privacy information detailing what is being recorded, why and who may be receiving it.</w:t>
      </w:r>
      <w:r w:rsidRPr="00572860">
        <w:rPr>
          <w:rFonts w:ascii="Arial" w:eastAsia="Times New Roman" w:hAnsi="Arial" w:cs="Arial"/>
          <w:sz w:val="22"/>
          <w:szCs w:val="22"/>
        </w:rPr>
        <w:br/>
        <w:t xml:space="preserve">The principles of the UK GDPR are: Lawfulness, fairness and transparency Purpose limitation Data minimisation Accuracy Storage limitation Security Accountability (Information Commissioner’s Office, 2026) Therefore records should contain just the necessary information, be rectified when wrong, stored securely and only accessed by allowed </w:t>
      </w:r>
      <w:r w:rsidRPr="00572860">
        <w:rPr>
          <w:rFonts w:ascii="Arial" w:eastAsia="Times New Roman" w:hAnsi="Arial" w:cs="Arial"/>
          <w:sz w:val="22"/>
          <w:szCs w:val="22"/>
        </w:rPr>
        <w:lastRenderedPageBreak/>
        <w:t>personnel. Any information provided with the GP, community nurse or council has to be relevant and reasonable. Confidentiality is crucial but not absolute. Information may be disclosed without authorization where there is an established lawful basis and a serious risk of harm. The decision, justification, receiver and information disclosed should be documented.</w:t>
      </w:r>
    </w:p>
    <w:p w14:paraId="3068BE7C" w14:textId="77777777" w:rsidR="003E5C01" w:rsidRPr="00572860" w:rsidRDefault="002E0F07" w:rsidP="002E0F07">
      <w:pPr>
        <w:spacing w:before="100" w:beforeAutospacing="1" w:after="100" w:afterAutospacing="1" w:line="240" w:lineRule="auto"/>
        <w:rPr>
          <w:rFonts w:ascii="Arial" w:eastAsia="Times New Roman" w:hAnsi="Arial" w:cs="Arial"/>
          <w:b/>
          <w:bCs/>
          <w:sz w:val="22"/>
          <w:szCs w:val="22"/>
        </w:rPr>
      </w:pPr>
      <w:r w:rsidRPr="00572860">
        <w:rPr>
          <w:rFonts w:ascii="Arial" w:eastAsia="Times New Roman" w:hAnsi="Arial" w:cs="Arial"/>
          <w:b/>
          <w:bCs/>
          <w:sz w:val="22"/>
          <w:szCs w:val="22"/>
        </w:rPr>
        <w:br/>
        <w:t xml:space="preserve">4. </w:t>
      </w:r>
      <w:r w:rsidR="003E5C01" w:rsidRPr="00572860">
        <w:rPr>
          <w:rFonts w:ascii="Arial" w:eastAsia="Times New Roman" w:hAnsi="Arial" w:cs="Arial"/>
          <w:b/>
          <w:bCs/>
          <w:sz w:val="22"/>
          <w:szCs w:val="22"/>
        </w:rPr>
        <w:t>Collaborative and multiagency working</w:t>
      </w:r>
    </w:p>
    <w:p w14:paraId="6E520DC3" w14:textId="2E57F81A" w:rsidR="003E5C01" w:rsidRPr="00572860" w:rsidRDefault="002E0F07" w:rsidP="002E0F07">
      <w:pPr>
        <w:spacing w:before="100" w:beforeAutospacing="1" w:after="100" w:afterAutospacing="1" w:line="240" w:lineRule="auto"/>
        <w:rPr>
          <w:rFonts w:ascii="Arial" w:eastAsia="Times New Roman" w:hAnsi="Arial" w:cs="Arial"/>
          <w:sz w:val="22"/>
          <w:szCs w:val="22"/>
        </w:rPr>
      </w:pPr>
      <w:r w:rsidRPr="00572860">
        <w:rPr>
          <w:rFonts w:ascii="Arial" w:eastAsia="Times New Roman" w:hAnsi="Arial" w:cs="Arial"/>
          <w:sz w:val="22"/>
          <w:szCs w:val="22"/>
        </w:rPr>
        <w:br/>
        <w:t>The professional is beyond Mrs Thompson’s needs. The GP can look at infection, delirium, dementia progression and prescribing. The community nurse can look at recovery and physical health. The pharmacist can look at medication regime and adherence aids. Care workers can give daily observations. The local authority can reassess care and safeguarding needs. Mrs Thompson and, with consent, her family should be treated as part of this team.</w:t>
      </w:r>
      <w:r w:rsidRPr="00572860">
        <w:rPr>
          <w:rFonts w:ascii="Arial" w:eastAsia="Times New Roman" w:hAnsi="Arial" w:cs="Arial"/>
          <w:sz w:val="22"/>
          <w:szCs w:val="22"/>
        </w:rPr>
        <w:br/>
        <w:t xml:space="preserve">The purpose of the collaboration must be shared: to enable Mrs Thompson to live freely and reduce foreseeable damage. The outcome of a multidisciplinary review should be one current care plan, which details who is responsible for medication, warning indicators, escalation pathways and review dates. </w:t>
      </w:r>
      <w:proofErr w:type="gramStart"/>
      <w:r w:rsidRPr="00572860">
        <w:rPr>
          <w:rFonts w:ascii="Arial" w:eastAsia="Times New Roman" w:hAnsi="Arial" w:cs="Arial"/>
          <w:sz w:val="22"/>
          <w:szCs w:val="22"/>
        </w:rPr>
        <w:t>A</w:t>
      </w:r>
      <w:proofErr w:type="gramEnd"/>
      <w:r w:rsidRPr="00572860">
        <w:rPr>
          <w:rFonts w:ascii="Arial" w:eastAsia="Times New Roman" w:hAnsi="Arial" w:cs="Arial"/>
          <w:sz w:val="22"/>
          <w:szCs w:val="22"/>
        </w:rPr>
        <w:t xml:space="preserve"> identified coordinator should ensure that referrals and agreed actions are actioned. SBAR (Situation, Background, Assessment and Recommendation) can be used to structure urgent handovers to decrease ambiguous communication (NHS England, 2010). But a communications template doesn’t fix underfunded staffing, inaccessible records, or professionals who refuse to listen.</w:t>
      </w:r>
      <w:r w:rsidRPr="00572860">
        <w:rPr>
          <w:rFonts w:ascii="Arial" w:eastAsia="Times New Roman" w:hAnsi="Arial" w:cs="Arial"/>
          <w:sz w:val="22"/>
          <w:szCs w:val="22"/>
        </w:rPr>
        <w:br/>
        <w:t xml:space="preserve">The usual problems are unclear roles, the professional hierarchy, competing risk levels, mismatched systems, time constraint and misunderstanding of confidentiality. </w:t>
      </w:r>
      <w:proofErr w:type="spellStart"/>
      <w:r w:rsidRPr="00572860">
        <w:rPr>
          <w:rFonts w:ascii="Arial" w:eastAsia="Times New Roman" w:hAnsi="Arial" w:cs="Arial"/>
          <w:sz w:val="22"/>
          <w:szCs w:val="22"/>
        </w:rPr>
        <w:t>Schot</w:t>
      </w:r>
      <w:proofErr w:type="spellEnd"/>
      <w:r w:rsidRPr="00572860">
        <w:rPr>
          <w:rFonts w:ascii="Arial" w:eastAsia="Times New Roman" w:hAnsi="Arial" w:cs="Arial"/>
          <w:sz w:val="22"/>
          <w:szCs w:val="22"/>
        </w:rPr>
        <w:t xml:space="preserve">, </w:t>
      </w:r>
      <w:proofErr w:type="spellStart"/>
      <w:r w:rsidRPr="00572860">
        <w:rPr>
          <w:rFonts w:ascii="Arial" w:eastAsia="Times New Roman" w:hAnsi="Arial" w:cs="Arial"/>
          <w:sz w:val="22"/>
          <w:szCs w:val="22"/>
        </w:rPr>
        <w:t>Tummers</w:t>
      </w:r>
      <w:proofErr w:type="spellEnd"/>
      <w:r w:rsidRPr="00572860">
        <w:rPr>
          <w:rFonts w:ascii="Arial" w:eastAsia="Times New Roman" w:hAnsi="Arial" w:cs="Arial"/>
          <w:sz w:val="22"/>
          <w:szCs w:val="22"/>
        </w:rPr>
        <w:t xml:space="preserve"> and </w:t>
      </w:r>
      <w:proofErr w:type="spellStart"/>
      <w:r w:rsidRPr="00572860">
        <w:rPr>
          <w:rFonts w:ascii="Arial" w:eastAsia="Times New Roman" w:hAnsi="Arial" w:cs="Arial"/>
          <w:sz w:val="22"/>
          <w:szCs w:val="22"/>
        </w:rPr>
        <w:t>Noordegraaf</w:t>
      </w:r>
      <w:proofErr w:type="spellEnd"/>
      <w:r w:rsidRPr="00572860">
        <w:rPr>
          <w:rFonts w:ascii="Arial" w:eastAsia="Times New Roman" w:hAnsi="Arial" w:cs="Arial"/>
          <w:sz w:val="22"/>
          <w:szCs w:val="22"/>
        </w:rPr>
        <w:t xml:space="preserve"> (2020) evaluate systematically the literature and demonstrate that collaboration needs deliberate effort to overcome professional, organisational and task related boundaries. These challenges can be addressed by written role allocation, scheduled case reviews, secure information exchange and closed-loop communication.</w:t>
      </w:r>
      <w:r w:rsidRPr="00572860">
        <w:rPr>
          <w:rFonts w:ascii="Arial" w:eastAsia="Times New Roman" w:hAnsi="Arial" w:cs="Arial"/>
          <w:sz w:val="22"/>
          <w:szCs w:val="22"/>
        </w:rPr>
        <w:br/>
        <w:t xml:space="preserve">Any disagreement should be resolved by reference to the evidence and by respectfully challenging and considering Mrs Thompson’s desires.  </w:t>
      </w:r>
    </w:p>
    <w:p w14:paraId="0F7FE72C" w14:textId="77777777" w:rsidR="003E5C01" w:rsidRPr="00572860" w:rsidRDefault="002E0F07" w:rsidP="002E0F07">
      <w:pPr>
        <w:spacing w:before="100" w:beforeAutospacing="1" w:after="100" w:afterAutospacing="1" w:line="240" w:lineRule="auto"/>
        <w:rPr>
          <w:rFonts w:ascii="Arial" w:eastAsia="Times New Roman" w:hAnsi="Arial" w:cs="Arial"/>
          <w:sz w:val="22"/>
          <w:szCs w:val="22"/>
        </w:rPr>
      </w:pPr>
      <w:r w:rsidRPr="00572860">
        <w:rPr>
          <w:rFonts w:ascii="Arial" w:eastAsia="Times New Roman" w:hAnsi="Arial" w:cs="Arial"/>
          <w:sz w:val="22"/>
          <w:szCs w:val="22"/>
        </w:rPr>
        <w:br/>
      </w:r>
      <w:r w:rsidRPr="00572860">
        <w:rPr>
          <w:rFonts w:ascii="Arial" w:eastAsia="Times New Roman" w:hAnsi="Arial" w:cs="Arial"/>
          <w:b/>
          <w:bCs/>
          <w:sz w:val="22"/>
          <w:szCs w:val="22"/>
        </w:rPr>
        <w:t>5. Conclusion</w:t>
      </w:r>
    </w:p>
    <w:p w14:paraId="756FA092" w14:textId="27C68C93" w:rsidR="002E0F07" w:rsidRPr="00572860" w:rsidRDefault="002E0F07" w:rsidP="002E0F07">
      <w:pPr>
        <w:spacing w:before="100" w:beforeAutospacing="1" w:after="100" w:afterAutospacing="1" w:line="240" w:lineRule="auto"/>
        <w:rPr>
          <w:rFonts w:ascii="Arial" w:hAnsi="Arial" w:cs="Arial"/>
          <w:b/>
          <w:bCs/>
          <w:sz w:val="22"/>
          <w:szCs w:val="22"/>
        </w:rPr>
      </w:pPr>
      <w:r w:rsidRPr="00572860">
        <w:rPr>
          <w:rFonts w:ascii="Arial" w:eastAsia="Times New Roman" w:hAnsi="Arial" w:cs="Arial"/>
          <w:sz w:val="22"/>
          <w:szCs w:val="22"/>
        </w:rPr>
        <w:br/>
        <w:t>Mrs Thompson’s story illustrates the interdependence of communication, administration and multi-agency functioning. Communication should be tailored to dementia related requirements without becoming discriminatory or patronizing. The transactional paradigm is based around feedback and context. The Equality Act 2010 and Mental Capacity Act 2005 ensure her equal involvement, autonomy and right to make supported decisions.</w:t>
      </w:r>
      <w:r w:rsidRPr="00572860">
        <w:rPr>
          <w:rFonts w:ascii="Arial" w:eastAsia="Times New Roman" w:hAnsi="Arial" w:cs="Arial"/>
          <w:sz w:val="22"/>
          <w:szCs w:val="22"/>
        </w:rPr>
        <w:br/>
        <w:t xml:space="preserve">Accurate records are crucial for pharmaceutical safety, protection and continuity, but documentation must be relevant, factual and safe. The Data Protection Act 2018 does not stop information from being shared where it is permissible to do so, but it does require that sharing is legitimate, required and reasonable. Finally, if the GP, community nurse, pharmacist, domiciliary staff and the local government work together, this can form an effective safety net. </w:t>
      </w:r>
    </w:p>
    <w:p w14:paraId="665B2516" w14:textId="77777777" w:rsidR="002E0F07" w:rsidRPr="00572860" w:rsidRDefault="002E0F07" w:rsidP="002E0F07">
      <w:pPr>
        <w:pStyle w:val="Heading2"/>
        <w:rPr>
          <w:rFonts w:ascii="Arial" w:hAnsi="Arial" w:cs="Arial"/>
          <w:b/>
          <w:bCs/>
          <w:color w:val="auto"/>
          <w:sz w:val="22"/>
          <w:szCs w:val="22"/>
        </w:rPr>
      </w:pPr>
      <w:r w:rsidRPr="00572860">
        <w:rPr>
          <w:rFonts w:ascii="Arial" w:hAnsi="Arial" w:cs="Arial"/>
          <w:b/>
          <w:bCs/>
          <w:color w:val="auto"/>
          <w:sz w:val="22"/>
          <w:szCs w:val="22"/>
        </w:rPr>
        <w:t>6. Reference list</w:t>
      </w:r>
    </w:p>
    <w:p w14:paraId="51AAAC1C" w14:textId="77777777" w:rsidR="002E0F07" w:rsidRPr="00572860" w:rsidRDefault="002E0F07" w:rsidP="002E0F07">
      <w:pPr>
        <w:pStyle w:val="NormalWeb"/>
        <w:rPr>
          <w:rFonts w:ascii="Arial" w:hAnsi="Arial" w:cs="Arial"/>
          <w:sz w:val="22"/>
          <w:szCs w:val="22"/>
        </w:rPr>
      </w:pPr>
      <w:proofErr w:type="spellStart"/>
      <w:r w:rsidRPr="00572860">
        <w:rPr>
          <w:rFonts w:ascii="Arial" w:hAnsi="Arial" w:cs="Arial"/>
          <w:sz w:val="22"/>
          <w:szCs w:val="22"/>
        </w:rPr>
        <w:t>Barnlund</w:t>
      </w:r>
      <w:proofErr w:type="spellEnd"/>
      <w:r w:rsidRPr="00572860">
        <w:rPr>
          <w:rFonts w:ascii="Arial" w:hAnsi="Arial" w:cs="Arial"/>
          <w:sz w:val="22"/>
          <w:szCs w:val="22"/>
        </w:rPr>
        <w:t xml:space="preserve">, D.C. (1970) ‘A transactional model of communication’, in Sereno, K.K. and Mortensen, C.D. (eds.) </w:t>
      </w:r>
      <w:r w:rsidRPr="00572860">
        <w:rPr>
          <w:rStyle w:val="Emphasis"/>
          <w:rFonts w:ascii="Arial" w:eastAsiaTheme="majorEastAsia" w:hAnsi="Arial" w:cs="Arial"/>
          <w:sz w:val="22"/>
          <w:szCs w:val="22"/>
        </w:rPr>
        <w:t>Foundations of Communication Theory</w:t>
      </w:r>
      <w:r w:rsidRPr="00572860">
        <w:rPr>
          <w:rFonts w:ascii="Arial" w:hAnsi="Arial" w:cs="Arial"/>
          <w:sz w:val="22"/>
          <w:szCs w:val="22"/>
        </w:rPr>
        <w:t>. New York: Harper &amp; Row, pp. 83–102. Available at: Internet Archive bibliographical record (Accessed: 31 July 2026).</w:t>
      </w:r>
    </w:p>
    <w:p w14:paraId="1B999653" w14:textId="77777777" w:rsidR="002E0F07" w:rsidRPr="00572860" w:rsidRDefault="002E0F07" w:rsidP="002E0F07">
      <w:pPr>
        <w:pStyle w:val="NormalWeb"/>
        <w:rPr>
          <w:rFonts w:ascii="Arial" w:hAnsi="Arial" w:cs="Arial"/>
          <w:sz w:val="22"/>
          <w:szCs w:val="22"/>
        </w:rPr>
      </w:pPr>
      <w:proofErr w:type="spellStart"/>
      <w:r w:rsidRPr="00572860">
        <w:rPr>
          <w:rFonts w:ascii="Arial" w:hAnsi="Arial" w:cs="Arial"/>
          <w:sz w:val="22"/>
          <w:szCs w:val="22"/>
        </w:rPr>
        <w:lastRenderedPageBreak/>
        <w:t>Bjerkan</w:t>
      </w:r>
      <w:proofErr w:type="spellEnd"/>
      <w:r w:rsidRPr="00572860">
        <w:rPr>
          <w:rFonts w:ascii="Arial" w:hAnsi="Arial" w:cs="Arial"/>
          <w:sz w:val="22"/>
          <w:szCs w:val="22"/>
        </w:rPr>
        <w:t xml:space="preserve">, J., </w:t>
      </w:r>
      <w:proofErr w:type="spellStart"/>
      <w:r w:rsidRPr="00572860">
        <w:rPr>
          <w:rFonts w:ascii="Arial" w:hAnsi="Arial" w:cs="Arial"/>
          <w:sz w:val="22"/>
          <w:szCs w:val="22"/>
        </w:rPr>
        <w:t>Valderaune</w:t>
      </w:r>
      <w:proofErr w:type="spellEnd"/>
      <w:r w:rsidRPr="00572860">
        <w:rPr>
          <w:rFonts w:ascii="Arial" w:hAnsi="Arial" w:cs="Arial"/>
          <w:sz w:val="22"/>
          <w:szCs w:val="22"/>
        </w:rPr>
        <w:t xml:space="preserve">, V. and Olsen, R.M. (2021) ‘Patient safety through nursing documentation: barriers identified by healthcare professionals and students’, </w:t>
      </w:r>
      <w:r w:rsidRPr="00572860">
        <w:rPr>
          <w:rStyle w:val="Emphasis"/>
          <w:rFonts w:ascii="Arial" w:eastAsiaTheme="majorEastAsia" w:hAnsi="Arial" w:cs="Arial"/>
          <w:sz w:val="22"/>
          <w:szCs w:val="22"/>
        </w:rPr>
        <w:t>Frontiers in Computer Science</w:t>
      </w:r>
      <w:r w:rsidRPr="00572860">
        <w:rPr>
          <w:rFonts w:ascii="Arial" w:hAnsi="Arial" w:cs="Arial"/>
          <w:sz w:val="22"/>
          <w:szCs w:val="22"/>
        </w:rPr>
        <w:t xml:space="preserve">, 3, 624555. Available at: </w:t>
      </w:r>
      <w:hyperlink r:id="rId9" w:tgtFrame="_new" w:history="1">
        <w:r w:rsidRPr="00572860">
          <w:rPr>
            <w:rStyle w:val="Hyperlink"/>
            <w:rFonts w:ascii="Arial" w:eastAsiaTheme="majorEastAsia" w:hAnsi="Arial" w:cs="Arial"/>
            <w:color w:val="auto"/>
            <w:sz w:val="22"/>
            <w:szCs w:val="22"/>
          </w:rPr>
          <w:t>https://doi.org/10.3389/fcomp.2021.624555</w:t>
        </w:r>
      </w:hyperlink>
      <w:r w:rsidRPr="00572860">
        <w:rPr>
          <w:rFonts w:ascii="Arial" w:hAnsi="Arial" w:cs="Arial"/>
          <w:sz w:val="22"/>
          <w:szCs w:val="22"/>
        </w:rPr>
        <w:t xml:space="preserve"> (Accessed: 31 July 2026).</w:t>
      </w:r>
    </w:p>
    <w:p w14:paraId="6E28B40F" w14:textId="77777777"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Care Act 2014, c.23. Available at: </w:t>
      </w:r>
      <w:hyperlink r:id="rId10" w:tgtFrame="_new" w:history="1">
        <w:r w:rsidRPr="00572860">
          <w:rPr>
            <w:rStyle w:val="Hyperlink"/>
            <w:rFonts w:ascii="Arial" w:eastAsiaTheme="majorEastAsia" w:hAnsi="Arial" w:cs="Arial"/>
            <w:color w:val="auto"/>
            <w:sz w:val="22"/>
            <w:szCs w:val="22"/>
          </w:rPr>
          <w:t>https://www.legislation.gov.uk/ukpga/2014/23/section/42</w:t>
        </w:r>
      </w:hyperlink>
      <w:r w:rsidRPr="00572860">
        <w:rPr>
          <w:rFonts w:ascii="Arial" w:hAnsi="Arial" w:cs="Arial"/>
          <w:sz w:val="22"/>
          <w:szCs w:val="22"/>
        </w:rPr>
        <w:t xml:space="preserve"> (Accessed: 31 July 2026).</w:t>
      </w:r>
    </w:p>
    <w:p w14:paraId="2A908F59" w14:textId="5E553EB8"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Care Quality Commission (2025) </w:t>
      </w:r>
      <w:r w:rsidRPr="00572860">
        <w:rPr>
          <w:rStyle w:val="Emphasis"/>
          <w:rFonts w:ascii="Arial" w:eastAsiaTheme="majorEastAsia" w:hAnsi="Arial" w:cs="Arial"/>
          <w:sz w:val="22"/>
          <w:szCs w:val="22"/>
        </w:rPr>
        <w:t>Regulation 17: Good governance</w:t>
      </w:r>
      <w:r w:rsidRPr="00572860">
        <w:rPr>
          <w:rFonts w:ascii="Arial" w:hAnsi="Arial" w:cs="Arial"/>
          <w:sz w:val="22"/>
          <w:szCs w:val="22"/>
        </w:rPr>
        <w:t xml:space="preserve">. Available at: </w:t>
      </w:r>
      <w:hyperlink r:id="rId11" w:tgtFrame="_new" w:history="1">
        <w:r w:rsidRPr="00572860">
          <w:rPr>
            <w:rStyle w:val="Hyperlink"/>
            <w:rFonts w:ascii="Arial" w:eastAsiaTheme="majorEastAsia" w:hAnsi="Arial" w:cs="Arial"/>
            <w:color w:val="auto"/>
            <w:sz w:val="22"/>
            <w:szCs w:val="22"/>
          </w:rPr>
          <w:t>https://www.cqc.org.uk/guidance-regulation/providers/regulations-service-providers-and-managers/health-social-care-act/regulation-17</w:t>
        </w:r>
      </w:hyperlink>
      <w:r w:rsidRPr="00572860">
        <w:rPr>
          <w:rFonts w:ascii="Arial" w:hAnsi="Arial" w:cs="Arial"/>
          <w:sz w:val="22"/>
          <w:szCs w:val="22"/>
        </w:rPr>
        <w:t xml:space="preserve"> (Accessed: 3</w:t>
      </w:r>
      <w:r w:rsidR="00572860">
        <w:rPr>
          <w:rFonts w:ascii="Arial" w:hAnsi="Arial" w:cs="Arial"/>
          <w:sz w:val="22"/>
          <w:szCs w:val="22"/>
        </w:rPr>
        <w:t>0</w:t>
      </w:r>
      <w:r w:rsidRPr="00572860">
        <w:rPr>
          <w:rFonts w:ascii="Arial" w:hAnsi="Arial" w:cs="Arial"/>
          <w:sz w:val="22"/>
          <w:szCs w:val="22"/>
        </w:rPr>
        <w:t xml:space="preserve"> July 2026).</w:t>
      </w:r>
    </w:p>
    <w:p w14:paraId="06D81264" w14:textId="7ECCB781"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Data Protection Act 2018, c.12. Available at: </w:t>
      </w:r>
      <w:hyperlink r:id="rId12" w:tgtFrame="_new" w:history="1">
        <w:r w:rsidRPr="00572860">
          <w:rPr>
            <w:rStyle w:val="Hyperlink"/>
            <w:rFonts w:ascii="Arial" w:eastAsiaTheme="majorEastAsia" w:hAnsi="Arial" w:cs="Arial"/>
            <w:color w:val="auto"/>
            <w:sz w:val="22"/>
            <w:szCs w:val="22"/>
          </w:rPr>
          <w:t>https://www.legislation.gov.uk/ukpga/2018/12/contents</w:t>
        </w:r>
      </w:hyperlink>
      <w:r w:rsidRPr="00572860">
        <w:rPr>
          <w:rFonts w:ascii="Arial" w:hAnsi="Arial" w:cs="Arial"/>
          <w:sz w:val="22"/>
          <w:szCs w:val="22"/>
        </w:rPr>
        <w:t xml:space="preserve"> (Accessed: </w:t>
      </w:r>
      <w:r w:rsidR="00572860">
        <w:rPr>
          <w:rFonts w:ascii="Arial" w:hAnsi="Arial" w:cs="Arial"/>
          <w:sz w:val="22"/>
          <w:szCs w:val="22"/>
        </w:rPr>
        <w:t>29</w:t>
      </w:r>
      <w:r w:rsidRPr="00572860">
        <w:rPr>
          <w:rFonts w:ascii="Arial" w:hAnsi="Arial" w:cs="Arial"/>
          <w:sz w:val="22"/>
          <w:szCs w:val="22"/>
        </w:rPr>
        <w:t xml:space="preserve"> July 2026).</w:t>
      </w:r>
    </w:p>
    <w:p w14:paraId="2A463DA0" w14:textId="77777777" w:rsidR="002E0F07" w:rsidRPr="00572860" w:rsidRDefault="002E0F07" w:rsidP="002E0F07">
      <w:pPr>
        <w:pStyle w:val="NormalWeb"/>
        <w:rPr>
          <w:rFonts w:ascii="Arial" w:hAnsi="Arial" w:cs="Arial"/>
          <w:sz w:val="22"/>
          <w:szCs w:val="22"/>
        </w:rPr>
      </w:pPr>
      <w:proofErr w:type="spellStart"/>
      <w:r w:rsidRPr="00572860">
        <w:rPr>
          <w:rFonts w:ascii="Arial" w:hAnsi="Arial" w:cs="Arial"/>
          <w:sz w:val="22"/>
          <w:szCs w:val="22"/>
        </w:rPr>
        <w:t>Eggenberger</w:t>
      </w:r>
      <w:proofErr w:type="spellEnd"/>
      <w:r w:rsidRPr="00572860">
        <w:rPr>
          <w:rFonts w:ascii="Arial" w:hAnsi="Arial" w:cs="Arial"/>
          <w:sz w:val="22"/>
          <w:szCs w:val="22"/>
        </w:rPr>
        <w:t xml:space="preserve">, E., </w:t>
      </w:r>
      <w:proofErr w:type="spellStart"/>
      <w:r w:rsidRPr="00572860">
        <w:rPr>
          <w:rFonts w:ascii="Arial" w:hAnsi="Arial" w:cs="Arial"/>
          <w:sz w:val="22"/>
          <w:szCs w:val="22"/>
        </w:rPr>
        <w:t>Heimerl</w:t>
      </w:r>
      <w:proofErr w:type="spellEnd"/>
      <w:r w:rsidRPr="00572860">
        <w:rPr>
          <w:rFonts w:ascii="Arial" w:hAnsi="Arial" w:cs="Arial"/>
          <w:sz w:val="22"/>
          <w:szCs w:val="22"/>
        </w:rPr>
        <w:t xml:space="preserve">, K. and Bennett, M.I. (2013) ‘Communication skills training in dementia care: a systematic review of effectiveness, training content, and didactic methods in different care settings’, </w:t>
      </w:r>
      <w:r w:rsidRPr="00572860">
        <w:rPr>
          <w:rStyle w:val="Emphasis"/>
          <w:rFonts w:ascii="Arial" w:eastAsiaTheme="majorEastAsia" w:hAnsi="Arial" w:cs="Arial"/>
          <w:sz w:val="22"/>
          <w:szCs w:val="22"/>
        </w:rPr>
        <w:t>International Psychogeriatrics</w:t>
      </w:r>
      <w:r w:rsidRPr="00572860">
        <w:rPr>
          <w:rFonts w:ascii="Arial" w:hAnsi="Arial" w:cs="Arial"/>
          <w:sz w:val="22"/>
          <w:szCs w:val="22"/>
        </w:rPr>
        <w:t>, 25(3), pp. 345–358. Available at: https://doi.org/10.1017/S1041610212001664 (Accessed: 31 July 2026).</w:t>
      </w:r>
    </w:p>
    <w:p w14:paraId="63B6FEE9" w14:textId="77777777"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Equality Act 2010, c.15. Available at: </w:t>
      </w:r>
      <w:hyperlink r:id="rId13" w:tgtFrame="_new" w:history="1">
        <w:r w:rsidRPr="00572860">
          <w:rPr>
            <w:rStyle w:val="Hyperlink"/>
            <w:rFonts w:ascii="Arial" w:eastAsiaTheme="majorEastAsia" w:hAnsi="Arial" w:cs="Arial"/>
            <w:color w:val="auto"/>
            <w:sz w:val="22"/>
            <w:szCs w:val="22"/>
          </w:rPr>
          <w:t>https://www.legislation.gov.uk/ukpga/2010/15/contents</w:t>
        </w:r>
      </w:hyperlink>
      <w:r w:rsidRPr="00572860">
        <w:rPr>
          <w:rFonts w:ascii="Arial" w:hAnsi="Arial" w:cs="Arial"/>
          <w:sz w:val="22"/>
          <w:szCs w:val="22"/>
        </w:rPr>
        <w:t xml:space="preserve"> (Accessed: 31 July 2026).</w:t>
      </w:r>
    </w:p>
    <w:p w14:paraId="7E5E1E09" w14:textId="5A343119"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Information Commissioner’s Office (2024) </w:t>
      </w:r>
      <w:r w:rsidRPr="00572860">
        <w:rPr>
          <w:rStyle w:val="Emphasis"/>
          <w:rFonts w:ascii="Arial" w:eastAsiaTheme="majorEastAsia" w:hAnsi="Arial" w:cs="Arial"/>
          <w:sz w:val="22"/>
          <w:szCs w:val="22"/>
        </w:rPr>
        <w:t>Special category data</w:t>
      </w:r>
      <w:r w:rsidRPr="00572860">
        <w:rPr>
          <w:rFonts w:ascii="Arial" w:hAnsi="Arial" w:cs="Arial"/>
          <w:sz w:val="22"/>
          <w:szCs w:val="22"/>
        </w:rPr>
        <w:t xml:space="preserve">. Available at: </w:t>
      </w:r>
      <w:hyperlink r:id="rId14" w:tgtFrame="_new" w:history="1">
        <w:r w:rsidRPr="00572860">
          <w:rPr>
            <w:rStyle w:val="Hyperlink"/>
            <w:rFonts w:ascii="Arial" w:eastAsiaTheme="majorEastAsia" w:hAnsi="Arial" w:cs="Arial"/>
            <w:color w:val="auto"/>
            <w:sz w:val="22"/>
            <w:szCs w:val="22"/>
          </w:rPr>
          <w:t>https://ico.org.uk/for-organisations/uk-gdpr-guidance-and-resources/lawful-basis/special-category-data/</w:t>
        </w:r>
      </w:hyperlink>
      <w:r w:rsidRPr="00572860">
        <w:rPr>
          <w:rFonts w:ascii="Arial" w:hAnsi="Arial" w:cs="Arial"/>
          <w:sz w:val="22"/>
          <w:szCs w:val="22"/>
        </w:rPr>
        <w:t xml:space="preserve"> (Accessed: 3</w:t>
      </w:r>
      <w:r w:rsidRPr="00572860">
        <w:rPr>
          <w:rFonts w:ascii="Arial" w:hAnsi="Arial" w:cs="Arial"/>
          <w:sz w:val="22"/>
          <w:szCs w:val="22"/>
        </w:rPr>
        <w:t>0</w:t>
      </w:r>
      <w:r w:rsidRPr="00572860">
        <w:rPr>
          <w:rFonts w:ascii="Arial" w:hAnsi="Arial" w:cs="Arial"/>
          <w:sz w:val="22"/>
          <w:szCs w:val="22"/>
        </w:rPr>
        <w:t xml:space="preserve"> July 2026).</w:t>
      </w:r>
    </w:p>
    <w:p w14:paraId="7BB346F6" w14:textId="0F7C1F39"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Information Commissioner’s Office (2026) </w:t>
      </w:r>
      <w:r w:rsidRPr="00572860">
        <w:rPr>
          <w:rStyle w:val="Emphasis"/>
          <w:rFonts w:ascii="Arial" w:eastAsiaTheme="majorEastAsia" w:hAnsi="Arial" w:cs="Arial"/>
          <w:sz w:val="22"/>
          <w:szCs w:val="22"/>
        </w:rPr>
        <w:t>A guide to the data protection principles</w:t>
      </w:r>
      <w:r w:rsidRPr="00572860">
        <w:rPr>
          <w:rFonts w:ascii="Arial" w:hAnsi="Arial" w:cs="Arial"/>
          <w:sz w:val="22"/>
          <w:szCs w:val="22"/>
        </w:rPr>
        <w:t xml:space="preserve">. Available at: </w:t>
      </w:r>
      <w:hyperlink r:id="rId15" w:tgtFrame="_new" w:history="1">
        <w:r w:rsidRPr="00572860">
          <w:rPr>
            <w:rStyle w:val="Hyperlink"/>
            <w:rFonts w:ascii="Arial" w:eastAsiaTheme="majorEastAsia" w:hAnsi="Arial" w:cs="Arial"/>
            <w:color w:val="auto"/>
            <w:sz w:val="22"/>
            <w:szCs w:val="22"/>
          </w:rPr>
          <w:t>https://ico.org.uk/for-organisations/uk-gdpr-guidance-and-resources/data-protection-principles/a-guide-to-the-data-protection-principles/</w:t>
        </w:r>
      </w:hyperlink>
      <w:r w:rsidRPr="00572860">
        <w:rPr>
          <w:rFonts w:ascii="Arial" w:hAnsi="Arial" w:cs="Arial"/>
          <w:sz w:val="22"/>
          <w:szCs w:val="22"/>
        </w:rPr>
        <w:t xml:space="preserve"> (Accessed: </w:t>
      </w:r>
      <w:r w:rsidR="00572860">
        <w:rPr>
          <w:rFonts w:ascii="Arial" w:hAnsi="Arial" w:cs="Arial"/>
          <w:sz w:val="22"/>
          <w:szCs w:val="22"/>
        </w:rPr>
        <w:t>28</w:t>
      </w:r>
      <w:r w:rsidRPr="00572860">
        <w:rPr>
          <w:rFonts w:ascii="Arial" w:hAnsi="Arial" w:cs="Arial"/>
          <w:sz w:val="22"/>
          <w:szCs w:val="22"/>
        </w:rPr>
        <w:t xml:space="preserve"> July 2026).</w:t>
      </w:r>
    </w:p>
    <w:p w14:paraId="27B649C6" w14:textId="4B860289"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McCormack, B. and McCance, T. (eds.) (2017) </w:t>
      </w:r>
      <w:r w:rsidRPr="00572860">
        <w:rPr>
          <w:rStyle w:val="Emphasis"/>
          <w:rFonts w:ascii="Arial" w:eastAsiaTheme="majorEastAsia" w:hAnsi="Arial" w:cs="Arial"/>
          <w:sz w:val="22"/>
          <w:szCs w:val="22"/>
        </w:rPr>
        <w:t>Person-Centred Practice in Nursing and Health Care: Theory and Practice</w:t>
      </w:r>
      <w:r w:rsidRPr="00572860">
        <w:rPr>
          <w:rFonts w:ascii="Arial" w:hAnsi="Arial" w:cs="Arial"/>
          <w:sz w:val="22"/>
          <w:szCs w:val="22"/>
        </w:rPr>
        <w:t xml:space="preserve">. 2nd </w:t>
      </w:r>
      <w:proofErr w:type="spellStart"/>
      <w:r w:rsidRPr="00572860">
        <w:rPr>
          <w:rFonts w:ascii="Arial" w:hAnsi="Arial" w:cs="Arial"/>
          <w:sz w:val="22"/>
          <w:szCs w:val="22"/>
        </w:rPr>
        <w:t>edn</w:t>
      </w:r>
      <w:proofErr w:type="spellEnd"/>
      <w:r w:rsidRPr="00572860">
        <w:rPr>
          <w:rFonts w:ascii="Arial" w:hAnsi="Arial" w:cs="Arial"/>
          <w:sz w:val="22"/>
          <w:szCs w:val="22"/>
        </w:rPr>
        <w:t xml:space="preserve">. Chichester: Wiley-Blackwell. Available at: </w:t>
      </w:r>
      <w:hyperlink r:id="rId16" w:tgtFrame="_new" w:history="1">
        <w:r w:rsidRPr="00572860">
          <w:rPr>
            <w:rStyle w:val="Hyperlink"/>
            <w:rFonts w:ascii="Arial" w:eastAsiaTheme="majorEastAsia" w:hAnsi="Arial" w:cs="Arial"/>
            <w:color w:val="auto"/>
            <w:sz w:val="22"/>
            <w:szCs w:val="22"/>
          </w:rPr>
          <w:t>Wiley Online Books</w:t>
        </w:r>
      </w:hyperlink>
      <w:r w:rsidRPr="00572860">
        <w:rPr>
          <w:rFonts w:ascii="Arial" w:hAnsi="Arial" w:cs="Arial"/>
          <w:sz w:val="22"/>
          <w:szCs w:val="22"/>
        </w:rPr>
        <w:t xml:space="preserve"> (Accessed: </w:t>
      </w:r>
      <w:r w:rsidRPr="00572860">
        <w:rPr>
          <w:rFonts w:ascii="Arial" w:hAnsi="Arial" w:cs="Arial"/>
          <w:sz w:val="22"/>
          <w:szCs w:val="22"/>
        </w:rPr>
        <w:t>29</w:t>
      </w:r>
      <w:r w:rsidRPr="00572860">
        <w:rPr>
          <w:rFonts w:ascii="Arial" w:hAnsi="Arial" w:cs="Arial"/>
          <w:sz w:val="22"/>
          <w:szCs w:val="22"/>
        </w:rPr>
        <w:t xml:space="preserve"> July 2026).</w:t>
      </w:r>
    </w:p>
    <w:p w14:paraId="1738F4E4" w14:textId="6E6F4365"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Mental Capacity Act 2005, c.9. Available at: </w:t>
      </w:r>
      <w:hyperlink r:id="rId17" w:tgtFrame="_new" w:history="1">
        <w:r w:rsidRPr="00572860">
          <w:rPr>
            <w:rStyle w:val="Hyperlink"/>
            <w:rFonts w:ascii="Arial" w:eastAsiaTheme="majorEastAsia" w:hAnsi="Arial" w:cs="Arial"/>
            <w:color w:val="auto"/>
            <w:sz w:val="22"/>
            <w:szCs w:val="22"/>
          </w:rPr>
          <w:t>https://www.legislation.gov.uk/ukpga/2005/9/part/1</w:t>
        </w:r>
      </w:hyperlink>
      <w:r w:rsidRPr="00572860">
        <w:rPr>
          <w:rFonts w:ascii="Arial" w:hAnsi="Arial" w:cs="Arial"/>
          <w:sz w:val="22"/>
          <w:szCs w:val="22"/>
        </w:rPr>
        <w:t xml:space="preserve"> (Accessed: </w:t>
      </w:r>
      <w:r w:rsidRPr="00572860">
        <w:rPr>
          <w:rFonts w:ascii="Arial" w:hAnsi="Arial" w:cs="Arial"/>
          <w:sz w:val="22"/>
          <w:szCs w:val="22"/>
        </w:rPr>
        <w:t>28</w:t>
      </w:r>
      <w:r w:rsidRPr="00572860">
        <w:rPr>
          <w:rFonts w:ascii="Arial" w:hAnsi="Arial" w:cs="Arial"/>
          <w:sz w:val="22"/>
          <w:szCs w:val="22"/>
        </w:rPr>
        <w:t xml:space="preserve"> July 2026).</w:t>
      </w:r>
    </w:p>
    <w:p w14:paraId="7F179EFF" w14:textId="2298B686"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National Institute for Health and Care Excellence (2017) </w:t>
      </w:r>
      <w:r w:rsidRPr="00572860">
        <w:rPr>
          <w:rStyle w:val="Emphasis"/>
          <w:rFonts w:ascii="Arial" w:eastAsiaTheme="majorEastAsia" w:hAnsi="Arial" w:cs="Arial"/>
          <w:sz w:val="22"/>
          <w:szCs w:val="22"/>
        </w:rPr>
        <w:t>Managing medicines for adults receiving social care in the community</w:t>
      </w:r>
      <w:r w:rsidRPr="00572860">
        <w:rPr>
          <w:rFonts w:ascii="Arial" w:hAnsi="Arial" w:cs="Arial"/>
          <w:sz w:val="22"/>
          <w:szCs w:val="22"/>
        </w:rPr>
        <w:t xml:space="preserve">. NICE Guideline NG67. Available at: </w:t>
      </w:r>
      <w:hyperlink r:id="rId18" w:tgtFrame="_new" w:history="1">
        <w:r w:rsidRPr="00572860">
          <w:rPr>
            <w:rStyle w:val="Hyperlink"/>
            <w:rFonts w:ascii="Arial" w:eastAsiaTheme="majorEastAsia" w:hAnsi="Arial" w:cs="Arial"/>
            <w:color w:val="auto"/>
            <w:sz w:val="22"/>
            <w:szCs w:val="22"/>
          </w:rPr>
          <w:t>https://www.nice.org.uk/guidance/ng67</w:t>
        </w:r>
      </w:hyperlink>
      <w:r w:rsidRPr="00572860">
        <w:rPr>
          <w:rFonts w:ascii="Arial" w:hAnsi="Arial" w:cs="Arial"/>
          <w:sz w:val="22"/>
          <w:szCs w:val="22"/>
        </w:rPr>
        <w:t xml:space="preserve"> (Accessed: </w:t>
      </w:r>
      <w:r w:rsidRPr="00572860">
        <w:rPr>
          <w:rFonts w:ascii="Arial" w:hAnsi="Arial" w:cs="Arial"/>
          <w:sz w:val="22"/>
          <w:szCs w:val="22"/>
        </w:rPr>
        <w:t>29</w:t>
      </w:r>
      <w:r w:rsidRPr="00572860">
        <w:rPr>
          <w:rFonts w:ascii="Arial" w:hAnsi="Arial" w:cs="Arial"/>
          <w:sz w:val="22"/>
          <w:szCs w:val="22"/>
        </w:rPr>
        <w:t xml:space="preserve"> July 2026).</w:t>
      </w:r>
    </w:p>
    <w:p w14:paraId="483BAA7A" w14:textId="6942C598"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NHS England (2010) </w:t>
      </w:r>
      <w:r w:rsidRPr="00572860">
        <w:rPr>
          <w:rStyle w:val="Emphasis"/>
          <w:rFonts w:ascii="Arial" w:eastAsiaTheme="majorEastAsia" w:hAnsi="Arial" w:cs="Arial"/>
          <w:sz w:val="22"/>
          <w:szCs w:val="22"/>
        </w:rPr>
        <w:t>SBAR: Implementation and training guide</w:t>
      </w:r>
      <w:r w:rsidRPr="00572860">
        <w:rPr>
          <w:rFonts w:ascii="Arial" w:hAnsi="Arial" w:cs="Arial"/>
          <w:sz w:val="22"/>
          <w:szCs w:val="22"/>
        </w:rPr>
        <w:t xml:space="preserve">. Available at: </w:t>
      </w:r>
      <w:hyperlink r:id="rId19" w:tgtFrame="_new" w:history="1">
        <w:r w:rsidRPr="00572860">
          <w:rPr>
            <w:rStyle w:val="Hyperlink"/>
            <w:rFonts w:ascii="Arial" w:eastAsiaTheme="majorEastAsia" w:hAnsi="Arial" w:cs="Arial"/>
            <w:color w:val="auto"/>
            <w:sz w:val="22"/>
            <w:szCs w:val="22"/>
          </w:rPr>
          <w:t>https://www.england.nhs.uk/improvement-hub/wp-content/uploads/sites/44/2017/11/SBAR-Implementation-and-Training-Guide.pdf</w:t>
        </w:r>
      </w:hyperlink>
      <w:r w:rsidRPr="00572860">
        <w:rPr>
          <w:rFonts w:ascii="Arial" w:hAnsi="Arial" w:cs="Arial"/>
          <w:sz w:val="22"/>
          <w:szCs w:val="22"/>
        </w:rPr>
        <w:t xml:space="preserve"> (Accessed: </w:t>
      </w:r>
      <w:r w:rsidRPr="00572860">
        <w:rPr>
          <w:rFonts w:ascii="Arial" w:hAnsi="Arial" w:cs="Arial"/>
          <w:sz w:val="22"/>
          <w:szCs w:val="22"/>
        </w:rPr>
        <w:t>28</w:t>
      </w:r>
      <w:r w:rsidRPr="00572860">
        <w:rPr>
          <w:rFonts w:ascii="Arial" w:hAnsi="Arial" w:cs="Arial"/>
          <w:sz w:val="22"/>
          <w:szCs w:val="22"/>
        </w:rPr>
        <w:t xml:space="preserve"> July 2026).</w:t>
      </w:r>
    </w:p>
    <w:p w14:paraId="3407DE51" w14:textId="3189E429" w:rsidR="002E0F07" w:rsidRPr="00572860" w:rsidRDefault="002E0F07" w:rsidP="002E0F07">
      <w:pPr>
        <w:pStyle w:val="NormalWeb"/>
        <w:rPr>
          <w:rFonts w:ascii="Arial" w:hAnsi="Arial" w:cs="Arial"/>
          <w:sz w:val="22"/>
          <w:szCs w:val="22"/>
        </w:rPr>
      </w:pPr>
      <w:proofErr w:type="spellStart"/>
      <w:r w:rsidRPr="00572860">
        <w:rPr>
          <w:rFonts w:ascii="Arial" w:hAnsi="Arial" w:cs="Arial"/>
          <w:sz w:val="22"/>
          <w:szCs w:val="22"/>
        </w:rPr>
        <w:t>Schot</w:t>
      </w:r>
      <w:proofErr w:type="spellEnd"/>
      <w:r w:rsidRPr="00572860">
        <w:rPr>
          <w:rFonts w:ascii="Arial" w:hAnsi="Arial" w:cs="Arial"/>
          <w:sz w:val="22"/>
          <w:szCs w:val="22"/>
        </w:rPr>
        <w:t xml:space="preserve">, E., </w:t>
      </w:r>
      <w:proofErr w:type="spellStart"/>
      <w:r w:rsidRPr="00572860">
        <w:rPr>
          <w:rFonts w:ascii="Arial" w:hAnsi="Arial" w:cs="Arial"/>
          <w:sz w:val="22"/>
          <w:szCs w:val="22"/>
        </w:rPr>
        <w:t>Tummers</w:t>
      </w:r>
      <w:proofErr w:type="spellEnd"/>
      <w:r w:rsidRPr="00572860">
        <w:rPr>
          <w:rFonts w:ascii="Arial" w:hAnsi="Arial" w:cs="Arial"/>
          <w:sz w:val="22"/>
          <w:szCs w:val="22"/>
        </w:rPr>
        <w:t xml:space="preserve">, L. and </w:t>
      </w:r>
      <w:proofErr w:type="spellStart"/>
      <w:r w:rsidRPr="00572860">
        <w:rPr>
          <w:rFonts w:ascii="Arial" w:hAnsi="Arial" w:cs="Arial"/>
          <w:sz w:val="22"/>
          <w:szCs w:val="22"/>
        </w:rPr>
        <w:t>Noordegraaf</w:t>
      </w:r>
      <w:proofErr w:type="spellEnd"/>
      <w:r w:rsidRPr="00572860">
        <w:rPr>
          <w:rFonts w:ascii="Arial" w:hAnsi="Arial" w:cs="Arial"/>
          <w:sz w:val="22"/>
          <w:szCs w:val="22"/>
        </w:rPr>
        <w:t xml:space="preserve">, M. (2020) ‘Working on working together: a systematic review on how healthcare professionals contribute to interprofessional collaboration’, </w:t>
      </w:r>
      <w:r w:rsidRPr="00572860">
        <w:rPr>
          <w:rStyle w:val="Emphasis"/>
          <w:rFonts w:ascii="Arial" w:eastAsiaTheme="majorEastAsia" w:hAnsi="Arial" w:cs="Arial"/>
          <w:sz w:val="22"/>
          <w:szCs w:val="22"/>
        </w:rPr>
        <w:t>Journal of Interprofessional Care</w:t>
      </w:r>
      <w:r w:rsidRPr="00572860">
        <w:rPr>
          <w:rFonts w:ascii="Arial" w:hAnsi="Arial" w:cs="Arial"/>
          <w:sz w:val="22"/>
          <w:szCs w:val="22"/>
        </w:rPr>
        <w:t xml:space="preserve">, 34(3), pp. 332–342. Available at: </w:t>
      </w:r>
      <w:hyperlink r:id="rId20" w:tgtFrame="_new" w:history="1">
        <w:r w:rsidRPr="00572860">
          <w:rPr>
            <w:rStyle w:val="Hyperlink"/>
            <w:rFonts w:ascii="Arial" w:eastAsiaTheme="majorEastAsia" w:hAnsi="Arial" w:cs="Arial"/>
            <w:color w:val="auto"/>
            <w:sz w:val="22"/>
            <w:szCs w:val="22"/>
          </w:rPr>
          <w:t>https://doi.org/10.1080/13561820.2019.1636007</w:t>
        </w:r>
      </w:hyperlink>
      <w:r w:rsidRPr="00572860">
        <w:rPr>
          <w:rFonts w:ascii="Arial" w:hAnsi="Arial" w:cs="Arial"/>
          <w:sz w:val="22"/>
          <w:szCs w:val="22"/>
        </w:rPr>
        <w:t xml:space="preserve"> (Accessed: 3</w:t>
      </w:r>
      <w:r w:rsidRPr="00572860">
        <w:rPr>
          <w:rFonts w:ascii="Arial" w:hAnsi="Arial" w:cs="Arial"/>
          <w:sz w:val="22"/>
          <w:szCs w:val="22"/>
        </w:rPr>
        <w:t>0</w:t>
      </w:r>
      <w:r w:rsidRPr="00572860">
        <w:rPr>
          <w:rFonts w:ascii="Arial" w:hAnsi="Arial" w:cs="Arial"/>
          <w:sz w:val="22"/>
          <w:szCs w:val="22"/>
        </w:rPr>
        <w:t xml:space="preserve"> July 2026).</w:t>
      </w:r>
    </w:p>
    <w:p w14:paraId="2CE894A8" w14:textId="0D871412" w:rsidR="002E0F07" w:rsidRPr="00572860" w:rsidRDefault="002E0F07" w:rsidP="002E0F07">
      <w:pPr>
        <w:pStyle w:val="NormalWeb"/>
        <w:rPr>
          <w:rFonts w:ascii="Arial" w:hAnsi="Arial" w:cs="Arial"/>
          <w:sz w:val="22"/>
          <w:szCs w:val="22"/>
        </w:rPr>
      </w:pPr>
      <w:r w:rsidRPr="00572860">
        <w:rPr>
          <w:rFonts w:ascii="Arial" w:hAnsi="Arial" w:cs="Arial"/>
          <w:sz w:val="22"/>
          <w:szCs w:val="22"/>
        </w:rPr>
        <w:t xml:space="preserve">Smith, D., Lovell, J., Weller, C., Kennedy, B., </w:t>
      </w:r>
      <w:proofErr w:type="spellStart"/>
      <w:r w:rsidRPr="00572860">
        <w:rPr>
          <w:rFonts w:ascii="Arial" w:hAnsi="Arial" w:cs="Arial"/>
          <w:sz w:val="22"/>
          <w:szCs w:val="22"/>
        </w:rPr>
        <w:t>Winbolt</w:t>
      </w:r>
      <w:proofErr w:type="spellEnd"/>
      <w:r w:rsidRPr="00572860">
        <w:rPr>
          <w:rFonts w:ascii="Arial" w:hAnsi="Arial" w:cs="Arial"/>
          <w:sz w:val="22"/>
          <w:szCs w:val="22"/>
        </w:rPr>
        <w:t xml:space="preserve">, M., Young, C. and Ibrahim, J. (2017) ‘A systematic review of medication non-adherence in persons with dementia or cognitive </w:t>
      </w:r>
      <w:r w:rsidRPr="00572860">
        <w:rPr>
          <w:rFonts w:ascii="Arial" w:hAnsi="Arial" w:cs="Arial"/>
          <w:sz w:val="22"/>
          <w:szCs w:val="22"/>
        </w:rPr>
        <w:lastRenderedPageBreak/>
        <w:t xml:space="preserve">impairment’, </w:t>
      </w:r>
      <w:r w:rsidRPr="00572860">
        <w:rPr>
          <w:rStyle w:val="Emphasis"/>
          <w:rFonts w:ascii="Arial" w:eastAsiaTheme="majorEastAsia" w:hAnsi="Arial" w:cs="Arial"/>
          <w:sz w:val="22"/>
          <w:szCs w:val="22"/>
        </w:rPr>
        <w:t>PLOS ONE</w:t>
      </w:r>
      <w:r w:rsidRPr="00572860">
        <w:rPr>
          <w:rFonts w:ascii="Arial" w:hAnsi="Arial" w:cs="Arial"/>
          <w:sz w:val="22"/>
          <w:szCs w:val="22"/>
        </w:rPr>
        <w:t>, 12(2), e0170651. Available at: https://doi.org/10.1371/journal.pone.0170651 (Accessed: 3</w:t>
      </w:r>
      <w:r w:rsidRPr="00572860">
        <w:rPr>
          <w:rFonts w:ascii="Arial" w:hAnsi="Arial" w:cs="Arial"/>
          <w:sz w:val="22"/>
          <w:szCs w:val="22"/>
        </w:rPr>
        <w:t>0</w:t>
      </w:r>
      <w:r w:rsidRPr="00572860">
        <w:rPr>
          <w:rFonts w:ascii="Arial" w:hAnsi="Arial" w:cs="Arial"/>
          <w:sz w:val="22"/>
          <w:szCs w:val="22"/>
        </w:rPr>
        <w:t xml:space="preserve"> July 2026).</w:t>
      </w:r>
    </w:p>
    <w:p w14:paraId="719BB297" w14:textId="77777777" w:rsidR="002E0F07" w:rsidRPr="00572860" w:rsidRDefault="002E0F07" w:rsidP="002E0F07">
      <w:pPr>
        <w:pStyle w:val="NormalWeb"/>
        <w:rPr>
          <w:rFonts w:ascii="Arial" w:hAnsi="Arial" w:cs="Arial"/>
          <w:sz w:val="22"/>
          <w:szCs w:val="22"/>
        </w:rPr>
      </w:pPr>
      <w:proofErr w:type="spellStart"/>
      <w:r w:rsidRPr="00572860">
        <w:rPr>
          <w:rFonts w:ascii="Arial" w:hAnsi="Arial" w:cs="Arial"/>
          <w:sz w:val="22"/>
          <w:szCs w:val="22"/>
        </w:rPr>
        <w:t>Talevski</w:t>
      </w:r>
      <w:proofErr w:type="spellEnd"/>
      <w:r w:rsidRPr="00572860">
        <w:rPr>
          <w:rFonts w:ascii="Arial" w:hAnsi="Arial" w:cs="Arial"/>
          <w:sz w:val="22"/>
          <w:szCs w:val="22"/>
        </w:rPr>
        <w:t xml:space="preserve">, J., Wong </w:t>
      </w:r>
      <w:proofErr w:type="spellStart"/>
      <w:r w:rsidRPr="00572860">
        <w:rPr>
          <w:rFonts w:ascii="Arial" w:hAnsi="Arial" w:cs="Arial"/>
          <w:sz w:val="22"/>
          <w:szCs w:val="22"/>
        </w:rPr>
        <w:t>Shee</w:t>
      </w:r>
      <w:proofErr w:type="spellEnd"/>
      <w:r w:rsidRPr="00572860">
        <w:rPr>
          <w:rFonts w:ascii="Arial" w:hAnsi="Arial" w:cs="Arial"/>
          <w:sz w:val="22"/>
          <w:szCs w:val="22"/>
        </w:rPr>
        <w:t xml:space="preserve">, A., Rasmussen, B., Kemp, G. and Beauchamp, A. (2020) ‘Teach-back: a systematic review of implementation and impacts’, </w:t>
      </w:r>
      <w:r w:rsidRPr="00572860">
        <w:rPr>
          <w:rStyle w:val="Emphasis"/>
          <w:rFonts w:ascii="Arial" w:eastAsiaTheme="majorEastAsia" w:hAnsi="Arial" w:cs="Arial"/>
          <w:sz w:val="22"/>
          <w:szCs w:val="22"/>
        </w:rPr>
        <w:t>PLOS ONE</w:t>
      </w:r>
      <w:r w:rsidRPr="00572860">
        <w:rPr>
          <w:rFonts w:ascii="Arial" w:hAnsi="Arial" w:cs="Arial"/>
          <w:sz w:val="22"/>
          <w:szCs w:val="22"/>
        </w:rPr>
        <w:t xml:space="preserve">, 15(4), e0231350. Available at: </w:t>
      </w:r>
      <w:hyperlink r:id="rId21" w:tgtFrame="_new" w:history="1">
        <w:r w:rsidRPr="00572860">
          <w:rPr>
            <w:rStyle w:val="Hyperlink"/>
            <w:rFonts w:ascii="Arial" w:eastAsiaTheme="majorEastAsia" w:hAnsi="Arial" w:cs="Arial"/>
            <w:color w:val="auto"/>
            <w:sz w:val="22"/>
            <w:szCs w:val="22"/>
          </w:rPr>
          <w:t>https://doi.org/10.1371/journal.pone.0231350</w:t>
        </w:r>
      </w:hyperlink>
      <w:r w:rsidRPr="00572860">
        <w:rPr>
          <w:rFonts w:ascii="Arial" w:hAnsi="Arial" w:cs="Arial"/>
          <w:sz w:val="22"/>
          <w:szCs w:val="22"/>
        </w:rPr>
        <w:t xml:space="preserve"> (Accessed: 31 July 2026).</w:t>
      </w:r>
    </w:p>
    <w:p w14:paraId="5874B17B" w14:textId="1C81AF61" w:rsidR="008F1D23" w:rsidRPr="00572860" w:rsidRDefault="008F1D23" w:rsidP="00896ADE">
      <w:pPr>
        <w:pStyle w:val="NormalWeb"/>
        <w:rPr>
          <w:rFonts w:ascii="Arial" w:hAnsi="Arial" w:cs="Arial"/>
          <w:sz w:val="22"/>
          <w:szCs w:val="22"/>
        </w:rPr>
        <w:sectPr w:rsidR="008F1D23" w:rsidRPr="00572860">
          <w:headerReference w:type="default" r:id="rId22"/>
          <w:pgSz w:w="11906" w:h="16838"/>
          <w:pgMar w:top="1440" w:right="1440" w:bottom="1440" w:left="1440" w:header="708" w:footer="708" w:gutter="0"/>
          <w:pgNumType w:start="0"/>
          <w:cols w:space="720"/>
          <w:titlePg/>
        </w:sectPr>
      </w:pPr>
    </w:p>
    <w:p w14:paraId="5E869158" w14:textId="77777777" w:rsidR="006A6BA7" w:rsidRPr="00572860" w:rsidRDefault="006A6BA7" w:rsidP="00B16875">
      <w:pPr>
        <w:spacing w:line="276" w:lineRule="auto"/>
        <w:rPr>
          <w:rFonts w:ascii="Arial" w:eastAsia="Arial" w:hAnsi="Arial" w:cs="Arial"/>
          <w:sz w:val="22"/>
          <w:szCs w:val="22"/>
        </w:rPr>
      </w:pPr>
    </w:p>
    <w:sectPr w:rsidR="006A6BA7" w:rsidRPr="00572860" w:rsidSect="008F1D23">
      <w:footerReference w:type="first" r:id="rId23"/>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09F6" w14:textId="77777777" w:rsidR="00FB6879" w:rsidRDefault="00FB6879" w:rsidP="002A1842">
      <w:pPr>
        <w:spacing w:after="0" w:line="240" w:lineRule="auto"/>
      </w:pPr>
      <w:r>
        <w:separator/>
      </w:r>
    </w:p>
  </w:endnote>
  <w:endnote w:type="continuationSeparator" w:id="0">
    <w:p w14:paraId="1A8E4361" w14:textId="77777777" w:rsidR="00FB6879" w:rsidRDefault="00FB687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9909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C029C" w14:textId="77777777" w:rsidR="00FB6879" w:rsidRDefault="00FB6879" w:rsidP="002A1842">
      <w:pPr>
        <w:spacing w:after="0" w:line="240" w:lineRule="auto"/>
      </w:pPr>
      <w:r>
        <w:separator/>
      </w:r>
    </w:p>
  </w:footnote>
  <w:footnote w:type="continuationSeparator" w:id="0">
    <w:p w14:paraId="6E0A3763" w14:textId="77777777" w:rsidR="00FB6879" w:rsidRDefault="00FB6879" w:rsidP="002A1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693855"/>
      <w:docPartObj>
        <w:docPartGallery w:val="Page Numbers (Top of Page)"/>
        <w:docPartUnique/>
      </w:docPartObj>
    </w:sdtPr>
    <w:sdtEndPr>
      <w:rPr>
        <w:noProof/>
      </w:rPr>
    </w:sdtEndPr>
    <w:sdtContent>
      <w:p w14:paraId="7D35073F" w14:textId="7149F873" w:rsidR="00896ADE" w:rsidRDefault="00896ADE">
        <w:pPr>
          <w:pStyle w:val="Header"/>
        </w:pPr>
        <w:r>
          <w:fldChar w:fldCharType="begin"/>
        </w:r>
        <w:r>
          <w:instrText xml:space="preserve"> PAGE   \* MERGEFORMAT </w:instrText>
        </w:r>
        <w:r>
          <w:fldChar w:fldCharType="separate"/>
        </w:r>
        <w:r>
          <w:rPr>
            <w:noProof/>
          </w:rPr>
          <w:t>2</w:t>
        </w:r>
        <w:r>
          <w:rPr>
            <w:noProof/>
          </w:rPr>
          <w:fldChar w:fldCharType="end"/>
        </w:r>
      </w:p>
    </w:sdtContent>
  </w:sdt>
  <w:p w14:paraId="0B581F40" w14:textId="77777777" w:rsidR="008F1D23" w:rsidRDefault="008F1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EA7A23"/>
    <w:multiLevelType w:val="multilevel"/>
    <w:tmpl w:val="BFC0A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CD596A"/>
    <w:multiLevelType w:val="multilevel"/>
    <w:tmpl w:val="BFC0A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7EF7E45"/>
    <w:multiLevelType w:val="multilevel"/>
    <w:tmpl w:val="002A8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FF47F6"/>
    <w:multiLevelType w:val="multilevel"/>
    <w:tmpl w:val="FAB2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A9A5FF2"/>
    <w:multiLevelType w:val="hybridMultilevel"/>
    <w:tmpl w:val="967A5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7"/>
  </w:num>
  <w:num w:numId="3">
    <w:abstractNumId w:val="4"/>
  </w:num>
  <w:num w:numId="4">
    <w:abstractNumId w:val="3"/>
  </w:num>
  <w:num w:numId="5">
    <w:abstractNumId w:val="8"/>
  </w:num>
  <w:num w:numId="6">
    <w:abstractNumId w:val="0"/>
  </w:num>
  <w:num w:numId="7">
    <w:abstractNumId w:val="12"/>
  </w:num>
  <w:num w:numId="8">
    <w:abstractNumId w:val="11"/>
  </w:num>
  <w:num w:numId="9">
    <w:abstractNumId w:val="6"/>
  </w:num>
  <w:num w:numId="10">
    <w:abstractNumId w:val="5"/>
  </w:num>
  <w:num w:numId="11">
    <w:abstractNumId w:val="1"/>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610D8"/>
    <w:rsid w:val="00172AD1"/>
    <w:rsid w:val="001813E7"/>
    <w:rsid w:val="001E0AF6"/>
    <w:rsid w:val="002A1842"/>
    <w:rsid w:val="002B7AAF"/>
    <w:rsid w:val="002E0F07"/>
    <w:rsid w:val="00386CCA"/>
    <w:rsid w:val="003C24F0"/>
    <w:rsid w:val="003E5C01"/>
    <w:rsid w:val="00432D05"/>
    <w:rsid w:val="004468F8"/>
    <w:rsid w:val="00530E16"/>
    <w:rsid w:val="00572860"/>
    <w:rsid w:val="00575E73"/>
    <w:rsid w:val="00647BD5"/>
    <w:rsid w:val="006A6BA7"/>
    <w:rsid w:val="00722EFE"/>
    <w:rsid w:val="007637E9"/>
    <w:rsid w:val="00773959"/>
    <w:rsid w:val="007E18E2"/>
    <w:rsid w:val="00896ADE"/>
    <w:rsid w:val="008E7834"/>
    <w:rsid w:val="008F1D23"/>
    <w:rsid w:val="009F60D1"/>
    <w:rsid w:val="00A330A5"/>
    <w:rsid w:val="00A75B15"/>
    <w:rsid w:val="00AB7087"/>
    <w:rsid w:val="00AE06EA"/>
    <w:rsid w:val="00B16875"/>
    <w:rsid w:val="00B65ED6"/>
    <w:rsid w:val="00BA0043"/>
    <w:rsid w:val="00C61B18"/>
    <w:rsid w:val="00C62A88"/>
    <w:rsid w:val="00CF650B"/>
    <w:rsid w:val="00D62A9C"/>
    <w:rsid w:val="00DB181C"/>
    <w:rsid w:val="00DB7B3A"/>
    <w:rsid w:val="00EA04EC"/>
    <w:rsid w:val="00F618F2"/>
    <w:rsid w:val="00F909C8"/>
    <w:rsid w:val="00FB6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3BA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F07"/>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B16875"/>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5805">
      <w:bodyDiv w:val="1"/>
      <w:marLeft w:val="0"/>
      <w:marRight w:val="0"/>
      <w:marTop w:val="0"/>
      <w:marBottom w:val="0"/>
      <w:divBdr>
        <w:top w:val="none" w:sz="0" w:space="0" w:color="auto"/>
        <w:left w:val="none" w:sz="0" w:space="0" w:color="auto"/>
        <w:bottom w:val="none" w:sz="0" w:space="0" w:color="auto"/>
        <w:right w:val="none" w:sz="0" w:space="0" w:color="auto"/>
      </w:divBdr>
    </w:div>
    <w:div w:id="120878907">
      <w:bodyDiv w:val="1"/>
      <w:marLeft w:val="0"/>
      <w:marRight w:val="0"/>
      <w:marTop w:val="0"/>
      <w:marBottom w:val="0"/>
      <w:divBdr>
        <w:top w:val="none" w:sz="0" w:space="0" w:color="auto"/>
        <w:left w:val="none" w:sz="0" w:space="0" w:color="auto"/>
        <w:bottom w:val="none" w:sz="0" w:space="0" w:color="auto"/>
        <w:right w:val="none" w:sz="0" w:space="0" w:color="auto"/>
      </w:divBdr>
    </w:div>
    <w:div w:id="157230215">
      <w:bodyDiv w:val="1"/>
      <w:marLeft w:val="0"/>
      <w:marRight w:val="0"/>
      <w:marTop w:val="0"/>
      <w:marBottom w:val="0"/>
      <w:divBdr>
        <w:top w:val="none" w:sz="0" w:space="0" w:color="auto"/>
        <w:left w:val="none" w:sz="0" w:space="0" w:color="auto"/>
        <w:bottom w:val="none" w:sz="0" w:space="0" w:color="auto"/>
        <w:right w:val="none" w:sz="0" w:space="0" w:color="auto"/>
      </w:divBdr>
    </w:div>
    <w:div w:id="260186970">
      <w:bodyDiv w:val="1"/>
      <w:marLeft w:val="0"/>
      <w:marRight w:val="0"/>
      <w:marTop w:val="0"/>
      <w:marBottom w:val="0"/>
      <w:divBdr>
        <w:top w:val="none" w:sz="0" w:space="0" w:color="auto"/>
        <w:left w:val="none" w:sz="0" w:space="0" w:color="auto"/>
        <w:bottom w:val="none" w:sz="0" w:space="0" w:color="auto"/>
        <w:right w:val="none" w:sz="0" w:space="0" w:color="auto"/>
      </w:divBdr>
    </w:div>
    <w:div w:id="317537651">
      <w:bodyDiv w:val="1"/>
      <w:marLeft w:val="0"/>
      <w:marRight w:val="0"/>
      <w:marTop w:val="0"/>
      <w:marBottom w:val="0"/>
      <w:divBdr>
        <w:top w:val="none" w:sz="0" w:space="0" w:color="auto"/>
        <w:left w:val="none" w:sz="0" w:space="0" w:color="auto"/>
        <w:bottom w:val="none" w:sz="0" w:space="0" w:color="auto"/>
        <w:right w:val="none" w:sz="0" w:space="0" w:color="auto"/>
      </w:divBdr>
      <w:divsChild>
        <w:div w:id="693263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840459">
      <w:bodyDiv w:val="1"/>
      <w:marLeft w:val="0"/>
      <w:marRight w:val="0"/>
      <w:marTop w:val="0"/>
      <w:marBottom w:val="0"/>
      <w:divBdr>
        <w:top w:val="none" w:sz="0" w:space="0" w:color="auto"/>
        <w:left w:val="none" w:sz="0" w:space="0" w:color="auto"/>
        <w:bottom w:val="none" w:sz="0" w:space="0" w:color="auto"/>
        <w:right w:val="none" w:sz="0" w:space="0" w:color="auto"/>
      </w:divBdr>
    </w:div>
    <w:div w:id="638146265">
      <w:bodyDiv w:val="1"/>
      <w:marLeft w:val="0"/>
      <w:marRight w:val="0"/>
      <w:marTop w:val="0"/>
      <w:marBottom w:val="0"/>
      <w:divBdr>
        <w:top w:val="none" w:sz="0" w:space="0" w:color="auto"/>
        <w:left w:val="none" w:sz="0" w:space="0" w:color="auto"/>
        <w:bottom w:val="none" w:sz="0" w:space="0" w:color="auto"/>
        <w:right w:val="none" w:sz="0" w:space="0" w:color="auto"/>
      </w:divBdr>
    </w:div>
    <w:div w:id="648482146">
      <w:bodyDiv w:val="1"/>
      <w:marLeft w:val="0"/>
      <w:marRight w:val="0"/>
      <w:marTop w:val="0"/>
      <w:marBottom w:val="0"/>
      <w:divBdr>
        <w:top w:val="none" w:sz="0" w:space="0" w:color="auto"/>
        <w:left w:val="none" w:sz="0" w:space="0" w:color="auto"/>
        <w:bottom w:val="none" w:sz="0" w:space="0" w:color="auto"/>
        <w:right w:val="none" w:sz="0" w:space="0" w:color="auto"/>
      </w:divBdr>
    </w:div>
    <w:div w:id="660236905">
      <w:bodyDiv w:val="1"/>
      <w:marLeft w:val="0"/>
      <w:marRight w:val="0"/>
      <w:marTop w:val="0"/>
      <w:marBottom w:val="0"/>
      <w:divBdr>
        <w:top w:val="none" w:sz="0" w:space="0" w:color="auto"/>
        <w:left w:val="none" w:sz="0" w:space="0" w:color="auto"/>
        <w:bottom w:val="none" w:sz="0" w:space="0" w:color="auto"/>
        <w:right w:val="none" w:sz="0" w:space="0" w:color="auto"/>
      </w:divBdr>
    </w:div>
    <w:div w:id="737171478">
      <w:bodyDiv w:val="1"/>
      <w:marLeft w:val="0"/>
      <w:marRight w:val="0"/>
      <w:marTop w:val="0"/>
      <w:marBottom w:val="0"/>
      <w:divBdr>
        <w:top w:val="none" w:sz="0" w:space="0" w:color="auto"/>
        <w:left w:val="none" w:sz="0" w:space="0" w:color="auto"/>
        <w:bottom w:val="none" w:sz="0" w:space="0" w:color="auto"/>
        <w:right w:val="none" w:sz="0" w:space="0" w:color="auto"/>
      </w:divBdr>
    </w:div>
    <w:div w:id="780151541">
      <w:bodyDiv w:val="1"/>
      <w:marLeft w:val="0"/>
      <w:marRight w:val="0"/>
      <w:marTop w:val="0"/>
      <w:marBottom w:val="0"/>
      <w:divBdr>
        <w:top w:val="none" w:sz="0" w:space="0" w:color="auto"/>
        <w:left w:val="none" w:sz="0" w:space="0" w:color="auto"/>
        <w:bottom w:val="none" w:sz="0" w:space="0" w:color="auto"/>
        <w:right w:val="none" w:sz="0" w:space="0" w:color="auto"/>
      </w:divBdr>
    </w:div>
    <w:div w:id="848980217">
      <w:bodyDiv w:val="1"/>
      <w:marLeft w:val="0"/>
      <w:marRight w:val="0"/>
      <w:marTop w:val="0"/>
      <w:marBottom w:val="0"/>
      <w:divBdr>
        <w:top w:val="none" w:sz="0" w:space="0" w:color="auto"/>
        <w:left w:val="none" w:sz="0" w:space="0" w:color="auto"/>
        <w:bottom w:val="none" w:sz="0" w:space="0" w:color="auto"/>
        <w:right w:val="none" w:sz="0" w:space="0" w:color="auto"/>
      </w:divBdr>
    </w:div>
    <w:div w:id="871113863">
      <w:bodyDiv w:val="1"/>
      <w:marLeft w:val="0"/>
      <w:marRight w:val="0"/>
      <w:marTop w:val="0"/>
      <w:marBottom w:val="0"/>
      <w:divBdr>
        <w:top w:val="none" w:sz="0" w:space="0" w:color="auto"/>
        <w:left w:val="none" w:sz="0" w:space="0" w:color="auto"/>
        <w:bottom w:val="none" w:sz="0" w:space="0" w:color="auto"/>
        <w:right w:val="none" w:sz="0" w:space="0" w:color="auto"/>
      </w:divBdr>
    </w:div>
    <w:div w:id="953756674">
      <w:bodyDiv w:val="1"/>
      <w:marLeft w:val="0"/>
      <w:marRight w:val="0"/>
      <w:marTop w:val="0"/>
      <w:marBottom w:val="0"/>
      <w:divBdr>
        <w:top w:val="none" w:sz="0" w:space="0" w:color="auto"/>
        <w:left w:val="none" w:sz="0" w:space="0" w:color="auto"/>
        <w:bottom w:val="none" w:sz="0" w:space="0" w:color="auto"/>
        <w:right w:val="none" w:sz="0" w:space="0" w:color="auto"/>
      </w:divBdr>
    </w:div>
    <w:div w:id="961957823">
      <w:bodyDiv w:val="1"/>
      <w:marLeft w:val="0"/>
      <w:marRight w:val="0"/>
      <w:marTop w:val="0"/>
      <w:marBottom w:val="0"/>
      <w:divBdr>
        <w:top w:val="none" w:sz="0" w:space="0" w:color="auto"/>
        <w:left w:val="none" w:sz="0" w:space="0" w:color="auto"/>
        <w:bottom w:val="none" w:sz="0" w:space="0" w:color="auto"/>
        <w:right w:val="none" w:sz="0" w:space="0" w:color="auto"/>
      </w:divBdr>
    </w:div>
    <w:div w:id="1052539088">
      <w:bodyDiv w:val="1"/>
      <w:marLeft w:val="0"/>
      <w:marRight w:val="0"/>
      <w:marTop w:val="0"/>
      <w:marBottom w:val="0"/>
      <w:divBdr>
        <w:top w:val="none" w:sz="0" w:space="0" w:color="auto"/>
        <w:left w:val="none" w:sz="0" w:space="0" w:color="auto"/>
        <w:bottom w:val="none" w:sz="0" w:space="0" w:color="auto"/>
        <w:right w:val="none" w:sz="0" w:space="0" w:color="auto"/>
      </w:divBdr>
    </w:div>
    <w:div w:id="1059746740">
      <w:bodyDiv w:val="1"/>
      <w:marLeft w:val="0"/>
      <w:marRight w:val="0"/>
      <w:marTop w:val="0"/>
      <w:marBottom w:val="0"/>
      <w:divBdr>
        <w:top w:val="none" w:sz="0" w:space="0" w:color="auto"/>
        <w:left w:val="none" w:sz="0" w:space="0" w:color="auto"/>
        <w:bottom w:val="none" w:sz="0" w:space="0" w:color="auto"/>
        <w:right w:val="none" w:sz="0" w:space="0" w:color="auto"/>
      </w:divBdr>
    </w:div>
    <w:div w:id="1167667869">
      <w:bodyDiv w:val="1"/>
      <w:marLeft w:val="0"/>
      <w:marRight w:val="0"/>
      <w:marTop w:val="0"/>
      <w:marBottom w:val="0"/>
      <w:divBdr>
        <w:top w:val="none" w:sz="0" w:space="0" w:color="auto"/>
        <w:left w:val="none" w:sz="0" w:space="0" w:color="auto"/>
        <w:bottom w:val="none" w:sz="0" w:space="0" w:color="auto"/>
        <w:right w:val="none" w:sz="0" w:space="0" w:color="auto"/>
      </w:divBdr>
    </w:div>
    <w:div w:id="1311254746">
      <w:bodyDiv w:val="1"/>
      <w:marLeft w:val="0"/>
      <w:marRight w:val="0"/>
      <w:marTop w:val="0"/>
      <w:marBottom w:val="0"/>
      <w:divBdr>
        <w:top w:val="none" w:sz="0" w:space="0" w:color="auto"/>
        <w:left w:val="none" w:sz="0" w:space="0" w:color="auto"/>
        <w:bottom w:val="none" w:sz="0" w:space="0" w:color="auto"/>
        <w:right w:val="none" w:sz="0" w:space="0" w:color="auto"/>
      </w:divBdr>
    </w:div>
    <w:div w:id="1323003354">
      <w:bodyDiv w:val="1"/>
      <w:marLeft w:val="0"/>
      <w:marRight w:val="0"/>
      <w:marTop w:val="0"/>
      <w:marBottom w:val="0"/>
      <w:divBdr>
        <w:top w:val="none" w:sz="0" w:space="0" w:color="auto"/>
        <w:left w:val="none" w:sz="0" w:space="0" w:color="auto"/>
        <w:bottom w:val="none" w:sz="0" w:space="0" w:color="auto"/>
        <w:right w:val="none" w:sz="0" w:space="0" w:color="auto"/>
      </w:divBdr>
    </w:div>
    <w:div w:id="1328440918">
      <w:bodyDiv w:val="1"/>
      <w:marLeft w:val="0"/>
      <w:marRight w:val="0"/>
      <w:marTop w:val="0"/>
      <w:marBottom w:val="0"/>
      <w:divBdr>
        <w:top w:val="none" w:sz="0" w:space="0" w:color="auto"/>
        <w:left w:val="none" w:sz="0" w:space="0" w:color="auto"/>
        <w:bottom w:val="none" w:sz="0" w:space="0" w:color="auto"/>
        <w:right w:val="none" w:sz="0" w:space="0" w:color="auto"/>
      </w:divBdr>
    </w:div>
    <w:div w:id="1352488752">
      <w:bodyDiv w:val="1"/>
      <w:marLeft w:val="0"/>
      <w:marRight w:val="0"/>
      <w:marTop w:val="0"/>
      <w:marBottom w:val="0"/>
      <w:divBdr>
        <w:top w:val="none" w:sz="0" w:space="0" w:color="auto"/>
        <w:left w:val="none" w:sz="0" w:space="0" w:color="auto"/>
        <w:bottom w:val="none" w:sz="0" w:space="0" w:color="auto"/>
        <w:right w:val="none" w:sz="0" w:space="0" w:color="auto"/>
      </w:divBdr>
    </w:div>
    <w:div w:id="1691755396">
      <w:bodyDiv w:val="1"/>
      <w:marLeft w:val="0"/>
      <w:marRight w:val="0"/>
      <w:marTop w:val="0"/>
      <w:marBottom w:val="0"/>
      <w:divBdr>
        <w:top w:val="none" w:sz="0" w:space="0" w:color="auto"/>
        <w:left w:val="none" w:sz="0" w:space="0" w:color="auto"/>
        <w:bottom w:val="none" w:sz="0" w:space="0" w:color="auto"/>
        <w:right w:val="none" w:sz="0" w:space="0" w:color="auto"/>
      </w:divBdr>
    </w:div>
    <w:div w:id="1729065402">
      <w:bodyDiv w:val="1"/>
      <w:marLeft w:val="0"/>
      <w:marRight w:val="0"/>
      <w:marTop w:val="0"/>
      <w:marBottom w:val="0"/>
      <w:divBdr>
        <w:top w:val="none" w:sz="0" w:space="0" w:color="auto"/>
        <w:left w:val="none" w:sz="0" w:space="0" w:color="auto"/>
        <w:bottom w:val="none" w:sz="0" w:space="0" w:color="auto"/>
        <w:right w:val="none" w:sz="0" w:space="0" w:color="auto"/>
      </w:divBdr>
    </w:div>
    <w:div w:id="1744448445">
      <w:bodyDiv w:val="1"/>
      <w:marLeft w:val="0"/>
      <w:marRight w:val="0"/>
      <w:marTop w:val="0"/>
      <w:marBottom w:val="0"/>
      <w:divBdr>
        <w:top w:val="none" w:sz="0" w:space="0" w:color="auto"/>
        <w:left w:val="none" w:sz="0" w:space="0" w:color="auto"/>
        <w:bottom w:val="none" w:sz="0" w:space="0" w:color="auto"/>
        <w:right w:val="none" w:sz="0" w:space="0" w:color="auto"/>
      </w:divBdr>
    </w:div>
    <w:div w:id="2096583892">
      <w:bodyDiv w:val="1"/>
      <w:marLeft w:val="0"/>
      <w:marRight w:val="0"/>
      <w:marTop w:val="0"/>
      <w:marBottom w:val="0"/>
      <w:divBdr>
        <w:top w:val="none" w:sz="0" w:space="0" w:color="auto"/>
        <w:left w:val="none" w:sz="0" w:space="0" w:color="auto"/>
        <w:bottom w:val="none" w:sz="0" w:space="0" w:color="auto"/>
        <w:right w:val="none" w:sz="0" w:space="0" w:color="auto"/>
      </w:divBdr>
    </w:div>
    <w:div w:id="2130970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2010/15/contents?utm_source=chatgpt.com" TargetMode="External"/><Relationship Id="rId18" Type="http://schemas.openxmlformats.org/officeDocument/2006/relationships/hyperlink" Target="https://www.nice.org.uk/guidance/ng67?utm_source=chatgpt.com" TargetMode="External"/><Relationship Id="rId3" Type="http://schemas.openxmlformats.org/officeDocument/2006/relationships/numbering" Target="numbering.xml"/><Relationship Id="rId21" Type="http://schemas.openxmlformats.org/officeDocument/2006/relationships/hyperlink" Target="https://doi.org/10.1371/journal.pone.0231350" TargetMode="External"/><Relationship Id="rId7" Type="http://schemas.openxmlformats.org/officeDocument/2006/relationships/footnotes" Target="footnotes.xml"/><Relationship Id="rId12" Type="http://schemas.openxmlformats.org/officeDocument/2006/relationships/hyperlink" Target="https://www.legislation.gov.uk/ukpga/2018/12/contents?utm_source=chatgpt.com" TargetMode="External"/><Relationship Id="rId17" Type="http://schemas.openxmlformats.org/officeDocument/2006/relationships/hyperlink" Target="https://www.legislation.gov.uk/ukpga/2005/9/part/1?utm_source=chatgpt.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iley.com/en-us/Person-Centred%2BPractice%2Bin%2BNursing%2Band%2BHealth%2BCare%3A%2BTheory%2Band%2BPractice%2C%2B2nd%2BEdition-p-9781118990568?utm_source=chatgpt.com" TargetMode="External"/><Relationship Id="rId20" Type="http://schemas.openxmlformats.org/officeDocument/2006/relationships/hyperlink" Target="https://doi.org/10.1080/13561820.2019.16360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guidance-regulation/providers/regulations-service-providers-and-managers/health-social-care-act/regulation-17?utm_source=chatgp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ico.org.uk/for-organisations/uk-gdpr-guidance-and-resources/data-protection-principles/a-guide-to-the-data-protection-principles/?utm_source=chatgpt.com" TargetMode="External"/><Relationship Id="rId23" Type="http://schemas.openxmlformats.org/officeDocument/2006/relationships/footer" Target="footer1.xml"/><Relationship Id="rId10" Type="http://schemas.openxmlformats.org/officeDocument/2006/relationships/hyperlink" Target="https://www.legislation.gov.uk/ukpga/2014/23/section/42?utm_source=chatgpt.com" TargetMode="External"/><Relationship Id="rId19" Type="http://schemas.openxmlformats.org/officeDocument/2006/relationships/hyperlink" Target="https://www.england.nhs.uk/improvement-hub/wp-content/uploads/sites/44/2017/11/SBAR-Implementation-and-Training-Guide.pdf?utm_source=chatgpt.com" TargetMode="External"/><Relationship Id="rId4" Type="http://schemas.openxmlformats.org/officeDocument/2006/relationships/styles" Target="styles.xml"/><Relationship Id="rId9" Type="http://schemas.openxmlformats.org/officeDocument/2006/relationships/hyperlink" Target="https://doi.org/10.3389/fcomp.2021.624555" TargetMode="External"/><Relationship Id="rId14" Type="http://schemas.openxmlformats.org/officeDocument/2006/relationships/hyperlink" Target="https://ico.org.uk/for-organisations/uk-gdpr-guidance-and-resources/lawful-basis/special-category-dat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balan bianca</cp:lastModifiedBy>
  <cp:revision>9</cp:revision>
  <dcterms:created xsi:type="dcterms:W3CDTF">2026-07-31T10:52:00Z</dcterms:created>
  <dcterms:modified xsi:type="dcterms:W3CDTF">2026-07-31T11:38:00Z</dcterms:modified>
</cp:coreProperties>
</file>