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FF75A6" w14:textId="77777777" w:rsidR="00A5373A" w:rsidRDefault="00A5373A">
      <w:pPr>
        <w:spacing w:line="360" w:lineRule="auto"/>
        <w:jc w:val="center"/>
        <w:rPr>
          <w:rFonts w:eastAsia="Times New Roman"/>
          <w:b/>
        </w:rPr>
      </w:pPr>
    </w:p>
    <w:p w14:paraId="7F4815BD" w14:textId="77777777" w:rsidR="00A5373A" w:rsidRDefault="00A5373A">
      <w:pPr>
        <w:spacing w:line="360" w:lineRule="auto"/>
        <w:jc w:val="center"/>
        <w:rPr>
          <w:rFonts w:eastAsia="Times New Roman"/>
          <w:b/>
        </w:rPr>
      </w:pPr>
    </w:p>
    <w:p w14:paraId="6A097E8D" w14:textId="77777777" w:rsidR="00A5373A" w:rsidRDefault="00A5373A">
      <w:pPr>
        <w:spacing w:line="360" w:lineRule="auto"/>
        <w:jc w:val="center"/>
        <w:rPr>
          <w:rFonts w:eastAsia="Times New Roman"/>
          <w:b/>
        </w:rPr>
      </w:pPr>
    </w:p>
    <w:p w14:paraId="47CCECDB" w14:textId="77777777" w:rsidR="00A5373A" w:rsidRDefault="00A5373A">
      <w:pPr>
        <w:spacing w:line="360" w:lineRule="auto"/>
        <w:jc w:val="center"/>
        <w:rPr>
          <w:rFonts w:eastAsia="Times New Roman"/>
          <w:b/>
        </w:rPr>
      </w:pPr>
    </w:p>
    <w:p w14:paraId="7E33FCDF" w14:textId="77777777" w:rsidR="00A5373A" w:rsidRDefault="00A5373A">
      <w:pPr>
        <w:spacing w:line="360" w:lineRule="auto"/>
        <w:jc w:val="center"/>
        <w:rPr>
          <w:rFonts w:eastAsia="Times New Roman"/>
          <w:b/>
        </w:rPr>
      </w:pPr>
    </w:p>
    <w:p w14:paraId="00000001" w14:textId="1BA759FD" w:rsidR="006122D3" w:rsidRDefault="00000000">
      <w:pPr>
        <w:spacing w:line="360" w:lineRule="auto"/>
        <w:jc w:val="center"/>
        <w:rPr>
          <w:rFonts w:eastAsia="Times New Roman"/>
          <w:b/>
          <w:sz w:val="36"/>
          <w:szCs w:val="36"/>
        </w:rPr>
      </w:pPr>
      <w:r w:rsidRPr="00A5373A">
        <w:rPr>
          <w:rFonts w:eastAsia="Times New Roman"/>
          <w:b/>
          <w:sz w:val="36"/>
          <w:szCs w:val="36"/>
        </w:rPr>
        <w:t xml:space="preserve">Strategic Management for SMEs </w:t>
      </w:r>
    </w:p>
    <w:p w14:paraId="0D646B8F" w14:textId="77777777" w:rsidR="00A5373A" w:rsidRDefault="00A5373A">
      <w:pPr>
        <w:spacing w:line="360" w:lineRule="auto"/>
        <w:jc w:val="center"/>
        <w:rPr>
          <w:rFonts w:eastAsia="Times New Roman"/>
          <w:b/>
          <w:sz w:val="36"/>
          <w:szCs w:val="36"/>
        </w:rPr>
      </w:pPr>
    </w:p>
    <w:p w14:paraId="200753FB" w14:textId="370A52C6" w:rsidR="00A5373A" w:rsidRPr="00A5373A" w:rsidRDefault="00A5373A">
      <w:pPr>
        <w:spacing w:line="360" w:lineRule="auto"/>
        <w:jc w:val="center"/>
        <w:rPr>
          <w:rFonts w:eastAsia="Times New Roman"/>
          <w:b/>
          <w:sz w:val="32"/>
          <w:szCs w:val="32"/>
        </w:rPr>
      </w:pPr>
      <w:r w:rsidRPr="00A5373A">
        <w:rPr>
          <w:rFonts w:eastAsia="Times New Roman"/>
          <w:b/>
          <w:sz w:val="32"/>
          <w:szCs w:val="32"/>
        </w:rPr>
        <w:t>Task 1 – Strategic Plan</w:t>
      </w:r>
    </w:p>
    <w:p w14:paraId="5BEFDC72" w14:textId="77777777" w:rsidR="00A5373A" w:rsidRDefault="00A5373A">
      <w:pPr>
        <w:spacing w:line="360" w:lineRule="auto"/>
        <w:jc w:val="center"/>
        <w:rPr>
          <w:rFonts w:eastAsia="Times New Roman"/>
          <w:b/>
        </w:rPr>
      </w:pPr>
    </w:p>
    <w:p w14:paraId="51A5A1F6" w14:textId="77777777" w:rsidR="00A5373A" w:rsidRDefault="00A5373A">
      <w:pPr>
        <w:spacing w:line="360" w:lineRule="auto"/>
        <w:jc w:val="center"/>
        <w:rPr>
          <w:rFonts w:eastAsia="Times New Roman"/>
          <w:b/>
        </w:rPr>
      </w:pPr>
    </w:p>
    <w:p w14:paraId="1392E788" w14:textId="77777777" w:rsidR="00A5373A" w:rsidRDefault="00A5373A">
      <w:pPr>
        <w:spacing w:line="360" w:lineRule="auto"/>
        <w:jc w:val="center"/>
        <w:rPr>
          <w:rFonts w:eastAsia="Times New Roman"/>
          <w:b/>
        </w:rPr>
      </w:pPr>
    </w:p>
    <w:p w14:paraId="0D71973B" w14:textId="77777777" w:rsidR="00A5373A" w:rsidRDefault="00A5373A">
      <w:pPr>
        <w:spacing w:line="360" w:lineRule="auto"/>
        <w:jc w:val="center"/>
        <w:rPr>
          <w:rFonts w:eastAsia="Times New Roman"/>
          <w:b/>
        </w:rPr>
      </w:pPr>
    </w:p>
    <w:p w14:paraId="38C78634" w14:textId="77777777" w:rsidR="00A5373A" w:rsidRDefault="00A5373A">
      <w:pPr>
        <w:spacing w:line="360" w:lineRule="auto"/>
        <w:jc w:val="center"/>
        <w:rPr>
          <w:rFonts w:eastAsia="Times New Roman"/>
          <w:b/>
        </w:rPr>
      </w:pPr>
    </w:p>
    <w:p w14:paraId="5F0C7C4D" w14:textId="77777777" w:rsidR="00A5373A" w:rsidRDefault="00A5373A">
      <w:pPr>
        <w:spacing w:line="360" w:lineRule="auto"/>
        <w:jc w:val="center"/>
        <w:rPr>
          <w:rFonts w:eastAsia="Times New Roman"/>
          <w:b/>
        </w:rPr>
      </w:pPr>
    </w:p>
    <w:p w14:paraId="716EC990" w14:textId="77777777" w:rsidR="00A5373A" w:rsidRDefault="00A5373A">
      <w:pPr>
        <w:spacing w:line="360" w:lineRule="auto"/>
        <w:jc w:val="center"/>
        <w:rPr>
          <w:rFonts w:eastAsia="Times New Roman"/>
          <w:b/>
        </w:rPr>
      </w:pPr>
    </w:p>
    <w:p w14:paraId="694B773C" w14:textId="77777777" w:rsidR="00A5373A" w:rsidRDefault="00A5373A">
      <w:pPr>
        <w:spacing w:line="360" w:lineRule="auto"/>
        <w:jc w:val="center"/>
        <w:rPr>
          <w:rFonts w:eastAsia="Times New Roman"/>
          <w:b/>
        </w:rPr>
      </w:pPr>
    </w:p>
    <w:p w14:paraId="4E901456" w14:textId="77777777" w:rsidR="00A5373A" w:rsidRDefault="00A5373A">
      <w:pPr>
        <w:spacing w:line="360" w:lineRule="auto"/>
        <w:jc w:val="center"/>
        <w:rPr>
          <w:rFonts w:eastAsia="Times New Roman"/>
          <w:b/>
        </w:rPr>
      </w:pPr>
    </w:p>
    <w:p w14:paraId="5D9817AF" w14:textId="77777777" w:rsidR="00A5373A" w:rsidRPr="008A512A" w:rsidRDefault="00A5373A">
      <w:pPr>
        <w:spacing w:line="360" w:lineRule="auto"/>
        <w:jc w:val="center"/>
        <w:rPr>
          <w:rFonts w:eastAsia="Times New Roman"/>
          <w:b/>
        </w:rPr>
      </w:pPr>
    </w:p>
    <w:p w14:paraId="46A2E0AA" w14:textId="77777777" w:rsidR="00A5373A" w:rsidRPr="00A5373A" w:rsidRDefault="00A5373A" w:rsidP="00A5373A">
      <w:pPr>
        <w:spacing w:before="240" w:after="240" w:line="360" w:lineRule="auto"/>
        <w:jc w:val="both"/>
        <w:rPr>
          <w:sz w:val="20"/>
          <w:szCs w:val="20"/>
        </w:rPr>
      </w:pPr>
      <w:r w:rsidRPr="00A5373A">
        <w:rPr>
          <w:b/>
          <w:bCs/>
          <w:sz w:val="20"/>
          <w:szCs w:val="20"/>
        </w:rPr>
        <w:t>Module title:</w:t>
      </w:r>
      <w:r w:rsidRPr="00A5373A">
        <w:rPr>
          <w:sz w:val="20"/>
          <w:szCs w:val="20"/>
        </w:rPr>
        <w:t xml:space="preserve"> Strategic Management for SMEs</w:t>
      </w:r>
    </w:p>
    <w:p w14:paraId="7191BD7C" w14:textId="77777777" w:rsidR="00A5373A" w:rsidRPr="00A5373A" w:rsidRDefault="00A5373A" w:rsidP="00A5373A">
      <w:pPr>
        <w:spacing w:before="240" w:after="240" w:line="360" w:lineRule="auto"/>
        <w:jc w:val="both"/>
        <w:rPr>
          <w:sz w:val="20"/>
          <w:szCs w:val="20"/>
        </w:rPr>
      </w:pPr>
      <w:r w:rsidRPr="00A5373A">
        <w:rPr>
          <w:b/>
          <w:bCs/>
          <w:sz w:val="20"/>
          <w:szCs w:val="20"/>
        </w:rPr>
        <w:t>Module code:</w:t>
      </w:r>
      <w:r w:rsidRPr="00A5373A">
        <w:rPr>
          <w:sz w:val="20"/>
          <w:szCs w:val="20"/>
        </w:rPr>
        <w:t xml:space="preserve"> BMSW6104_BIRM </w:t>
      </w:r>
    </w:p>
    <w:p w14:paraId="7F1F352E" w14:textId="1A0F0477" w:rsidR="00A5373A" w:rsidRPr="00A5373A" w:rsidRDefault="00A5373A" w:rsidP="00A5373A">
      <w:pPr>
        <w:spacing w:before="240" w:after="240" w:line="360" w:lineRule="auto"/>
        <w:jc w:val="both"/>
        <w:rPr>
          <w:sz w:val="20"/>
          <w:szCs w:val="20"/>
        </w:rPr>
      </w:pPr>
      <w:r w:rsidRPr="00A5373A">
        <w:rPr>
          <w:b/>
          <w:bCs/>
          <w:sz w:val="20"/>
          <w:szCs w:val="20"/>
        </w:rPr>
        <w:t>Student name:</w:t>
      </w:r>
      <w:r w:rsidRPr="00A5373A">
        <w:rPr>
          <w:sz w:val="20"/>
          <w:szCs w:val="20"/>
        </w:rPr>
        <w:t xml:space="preserve"> </w:t>
      </w:r>
      <w:r w:rsidRPr="00A5373A">
        <w:rPr>
          <w:sz w:val="20"/>
          <w:szCs w:val="20"/>
        </w:rPr>
        <w:t>Ana-Maria Bundea</w:t>
      </w:r>
    </w:p>
    <w:p w14:paraId="6B481EB8" w14:textId="35BDFF78" w:rsidR="00A5373A" w:rsidRPr="00A5373A" w:rsidRDefault="00A5373A" w:rsidP="00A5373A">
      <w:pPr>
        <w:spacing w:before="240" w:after="240" w:line="360" w:lineRule="auto"/>
        <w:jc w:val="both"/>
        <w:rPr>
          <w:sz w:val="20"/>
          <w:szCs w:val="20"/>
        </w:rPr>
      </w:pPr>
      <w:r w:rsidRPr="00A5373A">
        <w:rPr>
          <w:b/>
          <w:bCs/>
          <w:sz w:val="20"/>
          <w:szCs w:val="20"/>
        </w:rPr>
        <w:t>Student ID number:</w:t>
      </w:r>
      <w:r w:rsidRPr="00A5373A">
        <w:rPr>
          <w:sz w:val="20"/>
          <w:szCs w:val="20"/>
        </w:rPr>
        <w:t xml:space="preserve"> 202129</w:t>
      </w:r>
      <w:r w:rsidRPr="00A5373A">
        <w:rPr>
          <w:sz w:val="20"/>
          <w:szCs w:val="20"/>
        </w:rPr>
        <w:t>9</w:t>
      </w:r>
    </w:p>
    <w:p w14:paraId="2F26ACE6" w14:textId="77777777" w:rsidR="00A5373A" w:rsidRPr="00A5373A" w:rsidRDefault="00A5373A" w:rsidP="00A5373A">
      <w:pPr>
        <w:spacing w:before="240" w:after="240" w:line="360" w:lineRule="auto"/>
        <w:jc w:val="both"/>
        <w:rPr>
          <w:sz w:val="20"/>
          <w:szCs w:val="20"/>
        </w:rPr>
      </w:pPr>
      <w:r w:rsidRPr="00A5373A">
        <w:rPr>
          <w:b/>
          <w:bCs/>
          <w:sz w:val="20"/>
          <w:szCs w:val="20"/>
        </w:rPr>
        <w:t>Lecturer:</w:t>
      </w:r>
      <w:r w:rsidRPr="00A5373A">
        <w:rPr>
          <w:sz w:val="20"/>
          <w:szCs w:val="20"/>
        </w:rPr>
        <w:t xml:space="preserve"> Abdallah Naser</w:t>
      </w:r>
    </w:p>
    <w:p w14:paraId="67ED8A63" w14:textId="77777777" w:rsidR="00A5373A" w:rsidRDefault="00A5373A" w:rsidP="00A5373A">
      <w:pPr>
        <w:spacing w:before="240" w:after="240" w:line="360" w:lineRule="auto"/>
        <w:jc w:val="both"/>
      </w:pPr>
    </w:p>
    <w:p w14:paraId="01943B1C" w14:textId="77777777" w:rsidR="00A5373A" w:rsidRDefault="00A5373A" w:rsidP="00A5373A">
      <w:pPr>
        <w:spacing w:before="240" w:after="240" w:line="360" w:lineRule="auto"/>
        <w:jc w:val="both"/>
      </w:pPr>
    </w:p>
    <w:p w14:paraId="7ED729E8" w14:textId="77777777" w:rsidR="00A5373A" w:rsidRDefault="00A5373A" w:rsidP="00A5373A">
      <w:pPr>
        <w:spacing w:before="240" w:after="240" w:line="360" w:lineRule="auto"/>
        <w:jc w:val="both"/>
      </w:pPr>
    </w:p>
    <w:p w14:paraId="0000000A" w14:textId="554E2CC2" w:rsidR="006122D3" w:rsidRPr="008A512A" w:rsidRDefault="00A5373A" w:rsidP="00A5373A">
      <w:pPr>
        <w:spacing w:before="240" w:after="240" w:line="360" w:lineRule="auto"/>
        <w:jc w:val="center"/>
        <w:rPr>
          <w:rFonts w:eastAsia="Times New Roman"/>
          <w:b/>
        </w:rPr>
      </w:pPr>
      <w:r w:rsidRPr="00A5373A">
        <w:t>University of Wales Trinity Saint David, Birmingham 2024</w:t>
      </w:r>
      <w:r w:rsidR="00000000" w:rsidRPr="008A512A">
        <w:br w:type="page"/>
      </w:r>
    </w:p>
    <w:p w14:paraId="0000000B" w14:textId="77777777" w:rsidR="006122D3" w:rsidRPr="008A512A" w:rsidRDefault="00000000">
      <w:pPr>
        <w:keepNext/>
        <w:keepLines/>
        <w:pBdr>
          <w:top w:val="nil"/>
          <w:left w:val="nil"/>
          <w:bottom w:val="nil"/>
          <w:right w:val="nil"/>
          <w:between w:val="nil"/>
        </w:pBdr>
        <w:spacing w:before="240" w:line="360" w:lineRule="auto"/>
        <w:jc w:val="center"/>
        <w:rPr>
          <w:rFonts w:eastAsia="Times New Roman"/>
          <w:b/>
        </w:rPr>
      </w:pPr>
      <w:bookmarkStart w:id="0" w:name="_heading=h.30j0zll" w:colFirst="0" w:colLast="0"/>
      <w:bookmarkEnd w:id="0"/>
      <w:r w:rsidRPr="008A512A">
        <w:rPr>
          <w:rFonts w:eastAsia="Times New Roman"/>
          <w:b/>
        </w:rPr>
        <w:lastRenderedPageBreak/>
        <w:t>Table of Contents</w:t>
      </w:r>
    </w:p>
    <w:sdt>
      <w:sdtPr>
        <w:id w:val="-1108575839"/>
        <w:docPartObj>
          <w:docPartGallery w:val="Table of Contents"/>
          <w:docPartUnique/>
        </w:docPartObj>
      </w:sdtPr>
      <w:sdtContent>
        <w:p w14:paraId="6D94EA68" w14:textId="174A17A4" w:rsidR="00E5701F" w:rsidRDefault="00000000">
          <w:pPr>
            <w:pStyle w:val="TOC2"/>
            <w:tabs>
              <w:tab w:val="right" w:pos="9350"/>
            </w:tabs>
            <w:rPr>
              <w:rFonts w:asciiTheme="minorHAnsi" w:eastAsiaTheme="minorEastAsia" w:hAnsiTheme="minorHAnsi" w:cstheme="minorBidi"/>
              <w:noProof/>
              <w:kern w:val="2"/>
              <w:sz w:val="24"/>
              <w:szCs w:val="24"/>
              <w14:ligatures w14:val="standardContextual"/>
            </w:rPr>
          </w:pPr>
          <w:r w:rsidRPr="008A512A">
            <w:fldChar w:fldCharType="begin"/>
          </w:r>
          <w:r w:rsidRPr="008A512A">
            <w:instrText xml:space="preserve"> TOC \h \u \z \t "Heading 1,1,Heading 2,2,Heading 3,3,"</w:instrText>
          </w:r>
          <w:r w:rsidRPr="008A512A">
            <w:fldChar w:fldCharType="separate"/>
          </w:r>
          <w:hyperlink w:anchor="_Toc171328175" w:history="1">
            <w:r w:rsidR="00E5701F" w:rsidRPr="003465B2">
              <w:rPr>
                <w:rStyle w:val="Hyperlink"/>
                <w:noProof/>
              </w:rPr>
              <w:t>Brief introduction/overview of the case study based on SMEs context.</w:t>
            </w:r>
            <w:r w:rsidR="00E5701F">
              <w:rPr>
                <w:noProof/>
                <w:webHidden/>
              </w:rPr>
              <w:tab/>
            </w:r>
            <w:r w:rsidR="00E5701F">
              <w:rPr>
                <w:noProof/>
                <w:webHidden/>
              </w:rPr>
              <w:fldChar w:fldCharType="begin"/>
            </w:r>
            <w:r w:rsidR="00E5701F">
              <w:rPr>
                <w:noProof/>
                <w:webHidden/>
              </w:rPr>
              <w:instrText xml:space="preserve"> PAGEREF _Toc171328175 \h </w:instrText>
            </w:r>
            <w:r w:rsidR="00E5701F">
              <w:rPr>
                <w:noProof/>
                <w:webHidden/>
              </w:rPr>
            </w:r>
            <w:r w:rsidR="00E5701F">
              <w:rPr>
                <w:noProof/>
                <w:webHidden/>
              </w:rPr>
              <w:fldChar w:fldCharType="separate"/>
            </w:r>
            <w:r w:rsidR="00E5701F">
              <w:rPr>
                <w:noProof/>
                <w:webHidden/>
              </w:rPr>
              <w:t>3</w:t>
            </w:r>
            <w:r w:rsidR="00E5701F">
              <w:rPr>
                <w:noProof/>
                <w:webHidden/>
              </w:rPr>
              <w:fldChar w:fldCharType="end"/>
            </w:r>
          </w:hyperlink>
        </w:p>
        <w:p w14:paraId="04F18BA0" w14:textId="362DFCE8" w:rsidR="00E5701F" w:rsidRDefault="00E5701F">
          <w:pPr>
            <w:pStyle w:val="TOC2"/>
            <w:tabs>
              <w:tab w:val="right" w:pos="9350"/>
            </w:tabs>
            <w:rPr>
              <w:rFonts w:asciiTheme="minorHAnsi" w:eastAsiaTheme="minorEastAsia" w:hAnsiTheme="minorHAnsi" w:cstheme="minorBidi"/>
              <w:noProof/>
              <w:kern w:val="2"/>
              <w:sz w:val="24"/>
              <w:szCs w:val="24"/>
              <w14:ligatures w14:val="standardContextual"/>
            </w:rPr>
          </w:pPr>
          <w:hyperlink w:anchor="_Toc171328176" w:history="1">
            <w:r w:rsidRPr="003465B2">
              <w:rPr>
                <w:rStyle w:val="Hyperlink"/>
                <w:noProof/>
              </w:rPr>
              <w:t>Critically appraise the organisation’s current strategic direction.</w:t>
            </w:r>
            <w:r>
              <w:rPr>
                <w:noProof/>
                <w:webHidden/>
              </w:rPr>
              <w:tab/>
            </w:r>
            <w:r>
              <w:rPr>
                <w:noProof/>
                <w:webHidden/>
              </w:rPr>
              <w:fldChar w:fldCharType="begin"/>
            </w:r>
            <w:r>
              <w:rPr>
                <w:noProof/>
                <w:webHidden/>
              </w:rPr>
              <w:instrText xml:space="preserve"> PAGEREF _Toc171328176 \h </w:instrText>
            </w:r>
            <w:r>
              <w:rPr>
                <w:noProof/>
                <w:webHidden/>
              </w:rPr>
            </w:r>
            <w:r>
              <w:rPr>
                <w:noProof/>
                <w:webHidden/>
              </w:rPr>
              <w:fldChar w:fldCharType="separate"/>
            </w:r>
            <w:r>
              <w:rPr>
                <w:noProof/>
                <w:webHidden/>
              </w:rPr>
              <w:t>3</w:t>
            </w:r>
            <w:r>
              <w:rPr>
                <w:noProof/>
                <w:webHidden/>
              </w:rPr>
              <w:fldChar w:fldCharType="end"/>
            </w:r>
          </w:hyperlink>
        </w:p>
        <w:p w14:paraId="418625B5" w14:textId="08602652" w:rsidR="00E5701F" w:rsidRDefault="00E5701F">
          <w:pPr>
            <w:pStyle w:val="TOC2"/>
            <w:tabs>
              <w:tab w:val="right" w:pos="9350"/>
            </w:tabs>
            <w:rPr>
              <w:rFonts w:asciiTheme="minorHAnsi" w:eastAsiaTheme="minorEastAsia" w:hAnsiTheme="minorHAnsi" w:cstheme="minorBidi"/>
              <w:noProof/>
              <w:kern w:val="2"/>
              <w:sz w:val="24"/>
              <w:szCs w:val="24"/>
              <w14:ligatures w14:val="standardContextual"/>
            </w:rPr>
          </w:pPr>
          <w:hyperlink w:anchor="_Toc171328177" w:history="1">
            <w:r w:rsidRPr="003465B2">
              <w:rPr>
                <w:rStyle w:val="Hyperlink"/>
                <w:noProof/>
              </w:rPr>
              <w:t>Environmental analysis</w:t>
            </w:r>
            <w:r>
              <w:rPr>
                <w:noProof/>
                <w:webHidden/>
              </w:rPr>
              <w:tab/>
            </w:r>
            <w:r>
              <w:rPr>
                <w:noProof/>
                <w:webHidden/>
              </w:rPr>
              <w:fldChar w:fldCharType="begin"/>
            </w:r>
            <w:r>
              <w:rPr>
                <w:noProof/>
                <w:webHidden/>
              </w:rPr>
              <w:instrText xml:space="preserve"> PAGEREF _Toc171328177 \h </w:instrText>
            </w:r>
            <w:r>
              <w:rPr>
                <w:noProof/>
                <w:webHidden/>
              </w:rPr>
            </w:r>
            <w:r>
              <w:rPr>
                <w:noProof/>
                <w:webHidden/>
              </w:rPr>
              <w:fldChar w:fldCharType="separate"/>
            </w:r>
            <w:r>
              <w:rPr>
                <w:noProof/>
                <w:webHidden/>
              </w:rPr>
              <w:t>4</w:t>
            </w:r>
            <w:r>
              <w:rPr>
                <w:noProof/>
                <w:webHidden/>
              </w:rPr>
              <w:fldChar w:fldCharType="end"/>
            </w:r>
          </w:hyperlink>
        </w:p>
        <w:p w14:paraId="52616D84" w14:textId="705800EC" w:rsidR="00E5701F" w:rsidRDefault="00E5701F">
          <w:pPr>
            <w:pStyle w:val="TOC2"/>
            <w:tabs>
              <w:tab w:val="right" w:pos="9350"/>
            </w:tabs>
            <w:rPr>
              <w:rFonts w:asciiTheme="minorHAnsi" w:eastAsiaTheme="minorEastAsia" w:hAnsiTheme="minorHAnsi" w:cstheme="minorBidi"/>
              <w:noProof/>
              <w:kern w:val="2"/>
              <w:sz w:val="24"/>
              <w:szCs w:val="24"/>
              <w14:ligatures w14:val="standardContextual"/>
            </w:rPr>
          </w:pPr>
          <w:hyperlink w:anchor="_Toc171328178" w:history="1">
            <w:r w:rsidRPr="003465B2">
              <w:rPr>
                <w:rStyle w:val="Hyperlink"/>
                <w:noProof/>
              </w:rPr>
              <w:t>Stakeholder analysis</w:t>
            </w:r>
            <w:r>
              <w:rPr>
                <w:noProof/>
                <w:webHidden/>
              </w:rPr>
              <w:tab/>
            </w:r>
            <w:r>
              <w:rPr>
                <w:noProof/>
                <w:webHidden/>
              </w:rPr>
              <w:fldChar w:fldCharType="begin"/>
            </w:r>
            <w:r>
              <w:rPr>
                <w:noProof/>
                <w:webHidden/>
              </w:rPr>
              <w:instrText xml:space="preserve"> PAGEREF _Toc171328178 \h </w:instrText>
            </w:r>
            <w:r>
              <w:rPr>
                <w:noProof/>
                <w:webHidden/>
              </w:rPr>
            </w:r>
            <w:r>
              <w:rPr>
                <w:noProof/>
                <w:webHidden/>
              </w:rPr>
              <w:fldChar w:fldCharType="separate"/>
            </w:r>
            <w:r>
              <w:rPr>
                <w:noProof/>
                <w:webHidden/>
              </w:rPr>
              <w:t>9</w:t>
            </w:r>
            <w:r>
              <w:rPr>
                <w:noProof/>
                <w:webHidden/>
              </w:rPr>
              <w:fldChar w:fldCharType="end"/>
            </w:r>
          </w:hyperlink>
        </w:p>
        <w:p w14:paraId="7EB335D8" w14:textId="4410FE39" w:rsidR="00E5701F" w:rsidRDefault="00E5701F">
          <w:pPr>
            <w:pStyle w:val="TOC2"/>
            <w:tabs>
              <w:tab w:val="right" w:pos="9350"/>
            </w:tabs>
            <w:rPr>
              <w:rFonts w:asciiTheme="minorHAnsi" w:eastAsiaTheme="minorEastAsia" w:hAnsiTheme="minorHAnsi" w:cstheme="minorBidi"/>
              <w:noProof/>
              <w:kern w:val="2"/>
              <w:sz w:val="24"/>
              <w:szCs w:val="24"/>
              <w14:ligatures w14:val="standardContextual"/>
            </w:rPr>
          </w:pPr>
          <w:hyperlink w:anchor="_Toc171328179" w:history="1">
            <w:r w:rsidRPr="003465B2">
              <w:rPr>
                <w:rStyle w:val="Hyperlink"/>
                <w:noProof/>
              </w:rPr>
              <w:t>Evaluate the strategic growth options available for your business – Ansoff Matrix, Porter's generic strategies</w:t>
            </w:r>
            <w:r>
              <w:rPr>
                <w:noProof/>
                <w:webHidden/>
              </w:rPr>
              <w:tab/>
            </w:r>
            <w:r>
              <w:rPr>
                <w:noProof/>
                <w:webHidden/>
              </w:rPr>
              <w:fldChar w:fldCharType="begin"/>
            </w:r>
            <w:r>
              <w:rPr>
                <w:noProof/>
                <w:webHidden/>
              </w:rPr>
              <w:instrText xml:space="preserve"> PAGEREF _Toc171328179 \h </w:instrText>
            </w:r>
            <w:r>
              <w:rPr>
                <w:noProof/>
                <w:webHidden/>
              </w:rPr>
            </w:r>
            <w:r>
              <w:rPr>
                <w:noProof/>
                <w:webHidden/>
              </w:rPr>
              <w:fldChar w:fldCharType="separate"/>
            </w:r>
            <w:r>
              <w:rPr>
                <w:noProof/>
                <w:webHidden/>
              </w:rPr>
              <w:t>10</w:t>
            </w:r>
            <w:r>
              <w:rPr>
                <w:noProof/>
                <w:webHidden/>
              </w:rPr>
              <w:fldChar w:fldCharType="end"/>
            </w:r>
          </w:hyperlink>
        </w:p>
        <w:p w14:paraId="3C2597F4" w14:textId="7E9A8C26" w:rsidR="00E5701F" w:rsidRDefault="00E5701F">
          <w:pPr>
            <w:pStyle w:val="TOC2"/>
            <w:tabs>
              <w:tab w:val="right" w:pos="9350"/>
            </w:tabs>
            <w:rPr>
              <w:rFonts w:asciiTheme="minorHAnsi" w:eastAsiaTheme="minorEastAsia" w:hAnsiTheme="minorHAnsi" w:cstheme="minorBidi"/>
              <w:noProof/>
              <w:kern w:val="2"/>
              <w:sz w:val="24"/>
              <w:szCs w:val="24"/>
              <w14:ligatures w14:val="standardContextual"/>
            </w:rPr>
          </w:pPr>
          <w:hyperlink w:anchor="_Toc171328180" w:history="1">
            <w:r w:rsidRPr="003465B2">
              <w:rPr>
                <w:rStyle w:val="Hyperlink"/>
                <w:noProof/>
              </w:rPr>
              <w:t>Select and justify the best-fit strategy</w:t>
            </w:r>
            <w:r>
              <w:rPr>
                <w:noProof/>
                <w:webHidden/>
              </w:rPr>
              <w:tab/>
            </w:r>
            <w:r>
              <w:rPr>
                <w:noProof/>
                <w:webHidden/>
              </w:rPr>
              <w:fldChar w:fldCharType="begin"/>
            </w:r>
            <w:r>
              <w:rPr>
                <w:noProof/>
                <w:webHidden/>
              </w:rPr>
              <w:instrText xml:space="preserve"> PAGEREF _Toc171328180 \h </w:instrText>
            </w:r>
            <w:r>
              <w:rPr>
                <w:noProof/>
                <w:webHidden/>
              </w:rPr>
            </w:r>
            <w:r>
              <w:rPr>
                <w:noProof/>
                <w:webHidden/>
              </w:rPr>
              <w:fldChar w:fldCharType="separate"/>
            </w:r>
            <w:r>
              <w:rPr>
                <w:noProof/>
                <w:webHidden/>
              </w:rPr>
              <w:t>11</w:t>
            </w:r>
            <w:r>
              <w:rPr>
                <w:noProof/>
                <w:webHidden/>
              </w:rPr>
              <w:fldChar w:fldCharType="end"/>
            </w:r>
          </w:hyperlink>
        </w:p>
        <w:p w14:paraId="0943487B" w14:textId="17A1BA12" w:rsidR="00E5701F" w:rsidRDefault="00E5701F">
          <w:pPr>
            <w:pStyle w:val="TOC2"/>
            <w:tabs>
              <w:tab w:val="right" w:pos="9350"/>
            </w:tabs>
            <w:rPr>
              <w:rFonts w:asciiTheme="minorHAnsi" w:eastAsiaTheme="minorEastAsia" w:hAnsiTheme="minorHAnsi" w:cstheme="minorBidi"/>
              <w:noProof/>
              <w:kern w:val="2"/>
              <w:sz w:val="24"/>
              <w:szCs w:val="24"/>
              <w14:ligatures w14:val="standardContextual"/>
            </w:rPr>
          </w:pPr>
          <w:hyperlink w:anchor="_Toc171328181" w:history="1">
            <w:r w:rsidRPr="003465B2">
              <w:rPr>
                <w:rStyle w:val="Hyperlink"/>
                <w:noProof/>
              </w:rPr>
              <w:t>Discuss key strategic recommendations for the organisation for future developments and implementation, considering the challenges SMEs encounter in implementing strategic direction.</w:t>
            </w:r>
            <w:r>
              <w:rPr>
                <w:noProof/>
                <w:webHidden/>
              </w:rPr>
              <w:tab/>
            </w:r>
            <w:r>
              <w:rPr>
                <w:noProof/>
                <w:webHidden/>
              </w:rPr>
              <w:fldChar w:fldCharType="begin"/>
            </w:r>
            <w:r>
              <w:rPr>
                <w:noProof/>
                <w:webHidden/>
              </w:rPr>
              <w:instrText xml:space="preserve"> PAGEREF _Toc171328181 \h </w:instrText>
            </w:r>
            <w:r>
              <w:rPr>
                <w:noProof/>
                <w:webHidden/>
              </w:rPr>
            </w:r>
            <w:r>
              <w:rPr>
                <w:noProof/>
                <w:webHidden/>
              </w:rPr>
              <w:fldChar w:fldCharType="separate"/>
            </w:r>
            <w:r>
              <w:rPr>
                <w:noProof/>
                <w:webHidden/>
              </w:rPr>
              <w:t>12</w:t>
            </w:r>
            <w:r>
              <w:rPr>
                <w:noProof/>
                <w:webHidden/>
              </w:rPr>
              <w:fldChar w:fldCharType="end"/>
            </w:r>
          </w:hyperlink>
        </w:p>
        <w:p w14:paraId="75404C2E" w14:textId="05F601C0" w:rsidR="00E5701F" w:rsidRDefault="00E5701F">
          <w:pPr>
            <w:pStyle w:val="TOC2"/>
            <w:tabs>
              <w:tab w:val="right" w:pos="9350"/>
            </w:tabs>
            <w:rPr>
              <w:rFonts w:asciiTheme="minorHAnsi" w:eastAsiaTheme="minorEastAsia" w:hAnsiTheme="minorHAnsi" w:cstheme="minorBidi"/>
              <w:noProof/>
              <w:kern w:val="2"/>
              <w:sz w:val="24"/>
              <w:szCs w:val="24"/>
              <w14:ligatures w14:val="standardContextual"/>
            </w:rPr>
          </w:pPr>
          <w:hyperlink w:anchor="_Toc171328182" w:history="1">
            <w:r w:rsidRPr="003465B2">
              <w:rPr>
                <w:rStyle w:val="Hyperlink"/>
                <w:noProof/>
              </w:rPr>
              <w:t>Conclusion</w:t>
            </w:r>
            <w:r>
              <w:rPr>
                <w:noProof/>
                <w:webHidden/>
              </w:rPr>
              <w:tab/>
            </w:r>
            <w:r>
              <w:rPr>
                <w:noProof/>
                <w:webHidden/>
              </w:rPr>
              <w:fldChar w:fldCharType="begin"/>
            </w:r>
            <w:r>
              <w:rPr>
                <w:noProof/>
                <w:webHidden/>
              </w:rPr>
              <w:instrText xml:space="preserve"> PAGEREF _Toc171328182 \h </w:instrText>
            </w:r>
            <w:r>
              <w:rPr>
                <w:noProof/>
                <w:webHidden/>
              </w:rPr>
            </w:r>
            <w:r>
              <w:rPr>
                <w:noProof/>
                <w:webHidden/>
              </w:rPr>
              <w:fldChar w:fldCharType="separate"/>
            </w:r>
            <w:r>
              <w:rPr>
                <w:noProof/>
                <w:webHidden/>
              </w:rPr>
              <w:t>13</w:t>
            </w:r>
            <w:r>
              <w:rPr>
                <w:noProof/>
                <w:webHidden/>
              </w:rPr>
              <w:fldChar w:fldCharType="end"/>
            </w:r>
          </w:hyperlink>
        </w:p>
        <w:p w14:paraId="3EB77513" w14:textId="564163DA" w:rsidR="00E5701F" w:rsidRDefault="00E5701F">
          <w:pPr>
            <w:pStyle w:val="TOC1"/>
            <w:tabs>
              <w:tab w:val="right" w:pos="9350"/>
            </w:tabs>
            <w:rPr>
              <w:rFonts w:asciiTheme="minorHAnsi" w:eastAsiaTheme="minorEastAsia" w:hAnsiTheme="minorHAnsi" w:cstheme="minorBidi"/>
              <w:noProof/>
              <w:kern w:val="2"/>
              <w:sz w:val="24"/>
              <w:szCs w:val="24"/>
              <w14:ligatures w14:val="standardContextual"/>
            </w:rPr>
          </w:pPr>
          <w:hyperlink w:anchor="_Toc171328183" w:history="1">
            <w:r w:rsidRPr="003465B2">
              <w:rPr>
                <w:rStyle w:val="Hyperlink"/>
                <w:noProof/>
              </w:rPr>
              <w:t>References</w:t>
            </w:r>
            <w:r>
              <w:rPr>
                <w:noProof/>
                <w:webHidden/>
              </w:rPr>
              <w:tab/>
            </w:r>
            <w:r>
              <w:rPr>
                <w:noProof/>
                <w:webHidden/>
              </w:rPr>
              <w:fldChar w:fldCharType="begin"/>
            </w:r>
            <w:r>
              <w:rPr>
                <w:noProof/>
                <w:webHidden/>
              </w:rPr>
              <w:instrText xml:space="preserve"> PAGEREF _Toc171328183 \h </w:instrText>
            </w:r>
            <w:r>
              <w:rPr>
                <w:noProof/>
                <w:webHidden/>
              </w:rPr>
            </w:r>
            <w:r>
              <w:rPr>
                <w:noProof/>
                <w:webHidden/>
              </w:rPr>
              <w:fldChar w:fldCharType="separate"/>
            </w:r>
            <w:r>
              <w:rPr>
                <w:noProof/>
                <w:webHidden/>
              </w:rPr>
              <w:t>14</w:t>
            </w:r>
            <w:r>
              <w:rPr>
                <w:noProof/>
                <w:webHidden/>
              </w:rPr>
              <w:fldChar w:fldCharType="end"/>
            </w:r>
          </w:hyperlink>
        </w:p>
        <w:p w14:paraId="00000019" w14:textId="1F133731" w:rsidR="006122D3" w:rsidRPr="008A512A" w:rsidRDefault="00000000">
          <w:pPr>
            <w:widowControl w:val="0"/>
            <w:tabs>
              <w:tab w:val="right" w:pos="12000"/>
            </w:tabs>
            <w:spacing w:before="60" w:line="360" w:lineRule="auto"/>
            <w:ind w:left="360"/>
            <w:jc w:val="both"/>
            <w:rPr>
              <w:rFonts w:eastAsia="Times New Roman"/>
            </w:rPr>
          </w:pPr>
          <w:r w:rsidRPr="008A512A">
            <w:fldChar w:fldCharType="end"/>
          </w:r>
        </w:p>
      </w:sdtContent>
    </w:sdt>
    <w:p w14:paraId="0000001A" w14:textId="77777777" w:rsidR="006122D3" w:rsidRPr="008A512A" w:rsidRDefault="006122D3">
      <w:pPr>
        <w:pStyle w:val="Heading1"/>
        <w:rPr>
          <w:rFonts w:ascii="Arial" w:hAnsi="Arial" w:cs="Arial"/>
          <w:sz w:val="22"/>
          <w:szCs w:val="22"/>
        </w:rPr>
      </w:pPr>
    </w:p>
    <w:p w14:paraId="0000001B" w14:textId="77777777" w:rsidR="006122D3" w:rsidRPr="008A512A" w:rsidRDefault="00000000">
      <w:pPr>
        <w:rPr>
          <w:rFonts w:eastAsia="Times New Roman"/>
          <w:b/>
        </w:rPr>
      </w:pPr>
      <w:r w:rsidRPr="008A512A">
        <w:br w:type="page"/>
      </w:r>
    </w:p>
    <w:p w14:paraId="0000001D" w14:textId="77777777" w:rsidR="006122D3" w:rsidRPr="008A512A" w:rsidRDefault="00000000">
      <w:pPr>
        <w:pStyle w:val="Heading2"/>
        <w:rPr>
          <w:rFonts w:ascii="Arial" w:hAnsi="Arial" w:cs="Arial"/>
          <w:sz w:val="22"/>
          <w:szCs w:val="22"/>
        </w:rPr>
      </w:pPr>
      <w:bookmarkStart w:id="1" w:name="_Toc171328175"/>
      <w:r w:rsidRPr="008A512A">
        <w:rPr>
          <w:rFonts w:ascii="Arial" w:hAnsi="Arial" w:cs="Arial"/>
          <w:sz w:val="22"/>
          <w:szCs w:val="22"/>
        </w:rPr>
        <w:lastRenderedPageBreak/>
        <w:t>Brief introduction/overview of the case study based on SMEs context.</w:t>
      </w:r>
      <w:bookmarkEnd w:id="1"/>
    </w:p>
    <w:p w14:paraId="0000001E" w14:textId="77777777" w:rsidR="006122D3" w:rsidRPr="008A512A" w:rsidRDefault="00000000">
      <w:pPr>
        <w:spacing w:line="360" w:lineRule="auto"/>
        <w:jc w:val="both"/>
        <w:rPr>
          <w:rFonts w:eastAsia="Times New Roman"/>
        </w:rPr>
      </w:pPr>
      <w:r w:rsidRPr="008A512A">
        <w:rPr>
          <w:rFonts w:eastAsia="Times New Roman"/>
        </w:rPr>
        <w:t xml:space="preserve">Rude Health is a UK-based company that operates within the natural and organic food industry. The organisation specialises in producing drink and food products which are of high quality and cater to the increasing needs for sustainable and healthy options. The organisation has effectively positioned the brand as a premium organisation within the health food sector providing a range of food products to the health conscious customers. Some of the product lines of the business are beverage breakfast cereal snacks and plant-based alternatives dairy. Every product is built with a focus on commitment to transparency, quality and sustainability that also resonates with the needs and values of the customers. The organisation emphasises the utilisation of organic ingredients which are free from artificial preservatives and additives which has contributed the business to maintaining a competitive edge (Rude Health, 2024). The business is highly dedicated to its ethical and sustainable sourcing and strives to lower the harm to the environment by incorporating ethical sourcing and utilising recyclable packaging. </w:t>
      </w:r>
    </w:p>
    <w:p w14:paraId="0000001F" w14:textId="00F2B2B4" w:rsidR="006122D3" w:rsidRPr="008A512A" w:rsidRDefault="00000000">
      <w:pPr>
        <w:spacing w:line="360" w:lineRule="auto"/>
        <w:jc w:val="both"/>
        <w:rPr>
          <w:rFonts w:eastAsia="Times New Roman"/>
        </w:rPr>
      </w:pPr>
      <w:r w:rsidRPr="008A512A">
        <w:rPr>
          <w:rFonts w:eastAsia="Times New Roman"/>
        </w:rPr>
        <w:t xml:space="preserve">The business also incorporates ethical practices in terms of fair trade principles, environmentally friendly farming methods and fair treatment for suppliers, workers and other stakeholders. All this contributes the business to improving brand loyalty further it also aligns with the customer segment that values sustainability. The marketing strategy of the organisation is corporate with influencer partnership </w:t>
      </w:r>
      <w:r w:rsidR="00B859EF" w:rsidRPr="008A512A">
        <w:rPr>
          <w:rFonts w:eastAsia="Times New Roman"/>
        </w:rPr>
        <w:t>communities’</w:t>
      </w:r>
      <w:r w:rsidRPr="008A512A">
        <w:rPr>
          <w:rFonts w:eastAsia="Times New Roman"/>
        </w:rPr>
        <w:t xml:space="preserve"> engagement and social media to cultivate a loyal base of customers (Rude Health, 2024). Their branding is approachable and vibrant with a strong focus on fostering a healthy lifestyle. Rude Health also actively participates in wellness and health events providing product samples and ensuring to engage with the customer directly.</w:t>
      </w:r>
    </w:p>
    <w:p w14:paraId="00000020" w14:textId="77777777" w:rsidR="006122D3" w:rsidRPr="008A512A" w:rsidRDefault="00000000">
      <w:pPr>
        <w:pStyle w:val="Heading2"/>
        <w:rPr>
          <w:rFonts w:ascii="Arial" w:hAnsi="Arial" w:cs="Arial"/>
          <w:sz w:val="22"/>
          <w:szCs w:val="22"/>
        </w:rPr>
      </w:pPr>
      <w:bookmarkStart w:id="2" w:name="_Toc171328176"/>
      <w:r w:rsidRPr="008A512A">
        <w:rPr>
          <w:rFonts w:ascii="Arial" w:hAnsi="Arial" w:cs="Arial"/>
          <w:sz w:val="22"/>
          <w:szCs w:val="22"/>
        </w:rPr>
        <w:t>Critically appraise the organisation’s current strategic direction.</w:t>
      </w:r>
      <w:bookmarkEnd w:id="2"/>
    </w:p>
    <w:p w14:paraId="00000021" w14:textId="77777777" w:rsidR="006122D3" w:rsidRPr="008A512A" w:rsidRDefault="00000000">
      <w:pPr>
        <w:spacing w:line="360" w:lineRule="auto"/>
        <w:jc w:val="both"/>
        <w:rPr>
          <w:rFonts w:eastAsia="Times New Roman"/>
        </w:rPr>
      </w:pPr>
      <w:r w:rsidRPr="008A512A">
        <w:rPr>
          <w:rFonts w:eastAsia="Times New Roman"/>
        </w:rPr>
        <w:t xml:space="preserve">Rude Health's strong commitment to minimal and organic process products incorporates well with present customer trends that favour sustainability and health-conscious products. Further, the business also puts its major focus on natural ingredients and high-quality products without artificial additives which has contributed the business to maintaining its loyal base of customers which values integrity and transparency in food production. The organisation has also positioned itself successfully as a premium health brand within the food sector. The organisational clear messaging and vibrant branding incorporate the value of health-conscious customers. By providing a diverse range of products such as snacks, dairy alternatives and breakfast cereals the business ensures to meet dietary needs and preferences improving their market appeal (Rude Health, 2024). The strong dedication of the organisation to ethical and sustainable sourcing is </w:t>
      </w:r>
      <w:r w:rsidRPr="008A512A">
        <w:rPr>
          <w:rFonts w:eastAsia="Times New Roman"/>
        </w:rPr>
        <w:lastRenderedPageBreak/>
        <w:t>one of the major strengths of the business that attracts eco-conscious customers. Further, the effort of the organisation towards fair trade practice recyclable packaging improves their brand image and ensures to lower their environmental impact. However, the premium pricing strategy of the organisation can limit their reach to only higher-income customers restricting business growth and development. In addition, the sector is highlighted by its highly competitive nature. Further in order to maintain brand loyalty and differentiation in the competitive market they required a marketing investment and continuous investment (</w:t>
      </w:r>
      <w:proofErr w:type="spellStart"/>
      <w:r w:rsidRPr="008A512A">
        <w:rPr>
          <w:rFonts w:eastAsia="Times New Roman"/>
        </w:rPr>
        <w:t>Chanthes</w:t>
      </w:r>
      <w:proofErr w:type="spellEnd"/>
      <w:r w:rsidRPr="008A512A">
        <w:rPr>
          <w:rFonts w:eastAsia="Times New Roman"/>
        </w:rPr>
        <w:t xml:space="preserve"> </w:t>
      </w:r>
      <w:r w:rsidRPr="008A512A">
        <w:rPr>
          <w:rFonts w:eastAsia="Times New Roman"/>
          <w:i/>
        </w:rPr>
        <w:t xml:space="preserve">et al., </w:t>
      </w:r>
      <w:r w:rsidRPr="008A512A">
        <w:rPr>
          <w:rFonts w:eastAsia="Times New Roman"/>
        </w:rPr>
        <w:t>2023). In addition, the business has the opportunity to increase its reach by entering emerging markets and exploring other new lines of products to meet sustainable and healthy food demands for the customer. Digital marketing expansion and collaboration with a range of health influencers can also improve customer engagement and brand visibility. With all this presence the strategic direction of the organisation is robust, having a strong foundation to use ethical practices, quality and sustainability. However, in order to maintain competitiveness and growth the organisation needs to address market challenges by innovating its marketing strategies, improving its customer base and balancing premium marketing strategies to ensure long-term business success.</w:t>
      </w:r>
    </w:p>
    <w:p w14:paraId="00000022" w14:textId="77777777" w:rsidR="006122D3" w:rsidRPr="008A512A" w:rsidRDefault="00000000">
      <w:pPr>
        <w:pStyle w:val="Heading2"/>
        <w:rPr>
          <w:rFonts w:ascii="Arial" w:hAnsi="Arial" w:cs="Arial"/>
          <w:sz w:val="22"/>
          <w:szCs w:val="22"/>
        </w:rPr>
      </w:pPr>
      <w:bookmarkStart w:id="3" w:name="_Toc171328177"/>
      <w:r w:rsidRPr="008A512A">
        <w:rPr>
          <w:rFonts w:ascii="Arial" w:hAnsi="Arial" w:cs="Arial"/>
          <w:sz w:val="22"/>
          <w:szCs w:val="22"/>
        </w:rPr>
        <w:t>Environmental analysis</w:t>
      </w:r>
      <w:bookmarkEnd w:id="3"/>
    </w:p>
    <w:p w14:paraId="00000023" w14:textId="77777777" w:rsidR="006122D3" w:rsidRPr="008A512A" w:rsidRDefault="00000000">
      <w:pPr>
        <w:spacing w:before="240" w:after="240" w:line="360" w:lineRule="auto"/>
        <w:jc w:val="both"/>
        <w:rPr>
          <w:rFonts w:eastAsia="Times New Roman"/>
          <w:b/>
        </w:rPr>
      </w:pPr>
      <w:r w:rsidRPr="008A512A">
        <w:rPr>
          <w:rFonts w:eastAsia="Times New Roman"/>
          <w:b/>
        </w:rPr>
        <w:t>SWOT analysis</w:t>
      </w:r>
    </w:p>
    <w:p w14:paraId="00000024" w14:textId="77777777" w:rsidR="006122D3" w:rsidRPr="008A512A" w:rsidRDefault="00000000">
      <w:pPr>
        <w:spacing w:before="240" w:after="240" w:line="360" w:lineRule="auto"/>
        <w:jc w:val="both"/>
        <w:rPr>
          <w:rFonts w:eastAsia="Times New Roman"/>
        </w:rPr>
      </w:pPr>
      <w:r w:rsidRPr="008A512A">
        <w:rPr>
          <w:rFonts w:eastAsia="Times New Roman"/>
          <w:b/>
        </w:rPr>
        <w:t>Strength</w:t>
      </w:r>
      <w:r w:rsidRPr="008A512A">
        <w:rPr>
          <w:rFonts w:eastAsia="Times New Roman"/>
        </w:rPr>
        <w:t>:</w:t>
      </w:r>
    </w:p>
    <w:p w14:paraId="00000025" w14:textId="19574AE7" w:rsidR="006122D3" w:rsidRPr="008A512A" w:rsidRDefault="00000000">
      <w:pPr>
        <w:spacing w:before="240" w:line="360" w:lineRule="auto"/>
        <w:jc w:val="both"/>
        <w:rPr>
          <w:rFonts w:eastAsia="Times New Roman"/>
        </w:rPr>
      </w:pPr>
      <w:r w:rsidRPr="008A512A">
        <w:rPr>
          <w:rFonts w:eastAsia="Times New Roman"/>
          <w:b/>
        </w:rPr>
        <w:t>Brand image</w:t>
      </w:r>
      <w:r w:rsidR="00737C45" w:rsidRPr="008A512A">
        <w:rPr>
          <w:rFonts w:eastAsia="Times New Roman"/>
        </w:rPr>
        <w:t>-</w:t>
      </w:r>
      <w:r w:rsidRPr="008A512A">
        <w:rPr>
          <w:rFonts w:eastAsia="Times New Roman"/>
        </w:rPr>
        <w:t xml:space="preserve"> The establishment of the business holds a powerful image which is known for its quality, sustainability and commitment. These lead towards a positive brand image which enhances the customer's trust and loyalty on a repetitive purchase.</w:t>
      </w:r>
    </w:p>
    <w:p w14:paraId="00000026" w14:textId="77777777" w:rsidR="006122D3" w:rsidRPr="008A512A" w:rsidRDefault="00000000">
      <w:pPr>
        <w:spacing w:line="360" w:lineRule="auto"/>
        <w:jc w:val="both"/>
        <w:rPr>
          <w:rFonts w:eastAsia="Times New Roman"/>
          <w:b/>
        </w:rPr>
      </w:pPr>
      <w:r w:rsidRPr="008A512A">
        <w:rPr>
          <w:rFonts w:eastAsia="Times New Roman"/>
          <w:b/>
        </w:rPr>
        <w:t>Natural ingredients:</w:t>
      </w:r>
      <w:r w:rsidRPr="008A512A">
        <w:rPr>
          <w:rFonts w:eastAsia="Times New Roman"/>
        </w:rPr>
        <w:t xml:space="preserve"> The business also puts its major focus on natural ingredients and high-quality products without artificial additives which has contributed the business to maintaining its loyal base of customers which values integrity and transparency in food production. </w:t>
      </w:r>
    </w:p>
    <w:p w14:paraId="00000027" w14:textId="77777777" w:rsidR="006122D3" w:rsidRPr="008A512A" w:rsidRDefault="00000000">
      <w:pPr>
        <w:spacing w:after="240" w:line="360" w:lineRule="auto"/>
        <w:jc w:val="both"/>
        <w:rPr>
          <w:rFonts w:eastAsia="Times New Roman"/>
        </w:rPr>
      </w:pPr>
      <w:r w:rsidRPr="008A512A">
        <w:rPr>
          <w:rFonts w:eastAsia="Times New Roman"/>
          <w:b/>
        </w:rPr>
        <w:t xml:space="preserve">Diverse product range: </w:t>
      </w:r>
      <w:r w:rsidRPr="008A512A">
        <w:rPr>
          <w:rFonts w:eastAsia="Times New Roman"/>
        </w:rPr>
        <w:t xml:space="preserve"> By providing a diverse range of products such as snacks, dairy alternatives and breakfast cereals the business ensures to meet dietary needs and preferences improving their market appeal.</w:t>
      </w:r>
    </w:p>
    <w:p w14:paraId="378DC713" w14:textId="77777777" w:rsidR="00737C45" w:rsidRPr="008A512A" w:rsidRDefault="00737C45">
      <w:pPr>
        <w:spacing w:after="240" w:line="360" w:lineRule="auto"/>
        <w:jc w:val="both"/>
        <w:rPr>
          <w:rFonts w:eastAsia="Times New Roman"/>
        </w:rPr>
      </w:pPr>
    </w:p>
    <w:p w14:paraId="0637C2B3" w14:textId="77777777" w:rsidR="00737C45" w:rsidRPr="008A512A" w:rsidRDefault="00737C45">
      <w:pPr>
        <w:spacing w:after="240" w:line="360" w:lineRule="auto"/>
        <w:jc w:val="both"/>
        <w:rPr>
          <w:rFonts w:eastAsia="Times New Roman"/>
        </w:rPr>
      </w:pPr>
    </w:p>
    <w:p w14:paraId="22F648CB" w14:textId="77777777" w:rsidR="00737C45" w:rsidRPr="008A512A" w:rsidRDefault="00737C45">
      <w:pPr>
        <w:spacing w:after="240" w:line="360" w:lineRule="auto"/>
        <w:jc w:val="both"/>
        <w:rPr>
          <w:rFonts w:eastAsia="Times New Roman"/>
        </w:rPr>
      </w:pPr>
    </w:p>
    <w:p w14:paraId="00000028" w14:textId="77777777" w:rsidR="006122D3" w:rsidRPr="008A512A" w:rsidRDefault="00000000">
      <w:pPr>
        <w:spacing w:before="240" w:after="240" w:line="360" w:lineRule="auto"/>
        <w:jc w:val="both"/>
        <w:rPr>
          <w:rFonts w:eastAsia="Times New Roman"/>
          <w:b/>
        </w:rPr>
      </w:pPr>
      <w:r w:rsidRPr="008A512A">
        <w:rPr>
          <w:rFonts w:eastAsia="Times New Roman"/>
          <w:b/>
        </w:rPr>
        <w:lastRenderedPageBreak/>
        <w:t>Weaknesses:</w:t>
      </w:r>
    </w:p>
    <w:p w14:paraId="00000029" w14:textId="77777777" w:rsidR="006122D3" w:rsidRPr="008A512A" w:rsidRDefault="00000000">
      <w:pPr>
        <w:spacing w:before="240" w:line="360" w:lineRule="auto"/>
        <w:jc w:val="both"/>
        <w:rPr>
          <w:rFonts w:eastAsia="Times New Roman"/>
        </w:rPr>
      </w:pPr>
      <w:r w:rsidRPr="008A512A">
        <w:rPr>
          <w:rFonts w:eastAsia="Times New Roman"/>
          <w:b/>
        </w:rPr>
        <w:t xml:space="preserve">Premium Pricing- </w:t>
      </w:r>
      <w:r w:rsidRPr="008A512A">
        <w:rPr>
          <w:rFonts w:eastAsia="Times New Roman"/>
        </w:rPr>
        <w:t>Maintaining a powerful brand reputation by targeting environment-oriented customers, Rude Health also experiences different barriers to developing a brand portfolio worldwide based on the regions and sustainability as a core purchasing factor.</w:t>
      </w:r>
    </w:p>
    <w:p w14:paraId="0000002A" w14:textId="07066361" w:rsidR="006122D3" w:rsidRPr="008A512A" w:rsidRDefault="00000000">
      <w:pPr>
        <w:spacing w:after="240" w:line="360" w:lineRule="auto"/>
        <w:jc w:val="both"/>
        <w:rPr>
          <w:rFonts w:eastAsia="Times New Roman"/>
        </w:rPr>
      </w:pPr>
      <w:r w:rsidRPr="008A512A">
        <w:rPr>
          <w:rFonts w:eastAsia="Times New Roman"/>
          <w:b/>
        </w:rPr>
        <w:t xml:space="preserve">High competition: </w:t>
      </w:r>
      <w:r w:rsidRPr="008A512A">
        <w:rPr>
          <w:rFonts w:eastAsia="Times New Roman"/>
        </w:rPr>
        <w:t xml:space="preserve">The sector is highlighted by its highly competitive </w:t>
      </w:r>
      <w:r w:rsidR="00737C45" w:rsidRPr="008A512A">
        <w:rPr>
          <w:rFonts w:eastAsia="Times New Roman"/>
        </w:rPr>
        <w:t>nature;</w:t>
      </w:r>
      <w:r w:rsidRPr="008A512A">
        <w:rPr>
          <w:rFonts w:eastAsia="Times New Roman"/>
        </w:rPr>
        <w:t xml:space="preserve"> to maintain competitiveness and growth the organisation needs to address market challenges by innovating its marketing strategies, improving its customer base</w:t>
      </w:r>
      <w:r w:rsidR="00737C45" w:rsidRPr="008A512A">
        <w:rPr>
          <w:rFonts w:eastAsia="Times New Roman"/>
        </w:rPr>
        <w:t>.</w:t>
      </w:r>
    </w:p>
    <w:p w14:paraId="0000002B" w14:textId="77777777" w:rsidR="006122D3" w:rsidRPr="008A512A" w:rsidRDefault="00000000">
      <w:pPr>
        <w:spacing w:before="240" w:after="240" w:line="360" w:lineRule="auto"/>
        <w:jc w:val="both"/>
        <w:rPr>
          <w:rFonts w:eastAsia="Times New Roman"/>
        </w:rPr>
      </w:pPr>
      <w:r w:rsidRPr="008A512A">
        <w:rPr>
          <w:rFonts w:eastAsia="Times New Roman"/>
          <w:b/>
        </w:rPr>
        <w:t>Opportunities</w:t>
      </w:r>
      <w:r w:rsidRPr="008A512A">
        <w:rPr>
          <w:rFonts w:eastAsia="Times New Roman"/>
        </w:rPr>
        <w:t>:</w:t>
      </w:r>
    </w:p>
    <w:p w14:paraId="0000002C" w14:textId="77777777" w:rsidR="006122D3" w:rsidRPr="008A512A" w:rsidRDefault="00000000">
      <w:pPr>
        <w:spacing w:before="240" w:line="360" w:lineRule="auto"/>
        <w:jc w:val="both"/>
        <w:rPr>
          <w:rFonts w:eastAsia="Times New Roman"/>
        </w:rPr>
      </w:pPr>
      <w:r w:rsidRPr="008A512A">
        <w:rPr>
          <w:rFonts w:eastAsia="Times New Roman"/>
          <w:b/>
        </w:rPr>
        <w:t>Entering new markets</w:t>
      </w:r>
      <w:r w:rsidRPr="008A512A">
        <w:rPr>
          <w:rFonts w:eastAsia="Times New Roman"/>
        </w:rPr>
        <w:t>- As per geographic expansion regarding the alignment of market and presence of worldwide cities holds an opportunity to improve customer awareness regarding the product and sustainability (</w:t>
      </w:r>
      <w:proofErr w:type="spellStart"/>
      <w:r w:rsidRPr="008A512A">
        <w:rPr>
          <w:rFonts w:eastAsia="Times New Roman"/>
        </w:rPr>
        <w:t>Chanthes</w:t>
      </w:r>
      <w:proofErr w:type="spellEnd"/>
      <w:r w:rsidRPr="008A512A">
        <w:rPr>
          <w:rFonts w:eastAsia="Times New Roman"/>
        </w:rPr>
        <w:t xml:space="preserve"> </w:t>
      </w:r>
      <w:r w:rsidRPr="008A512A">
        <w:rPr>
          <w:rFonts w:eastAsia="Times New Roman"/>
          <w:i/>
        </w:rPr>
        <w:t xml:space="preserve">et al., </w:t>
      </w:r>
      <w:r w:rsidRPr="008A512A">
        <w:rPr>
          <w:rFonts w:eastAsia="Times New Roman"/>
        </w:rPr>
        <w:t>2023).</w:t>
      </w:r>
    </w:p>
    <w:p w14:paraId="0000002D" w14:textId="77777777" w:rsidR="006122D3" w:rsidRPr="008A512A" w:rsidRDefault="00000000">
      <w:pPr>
        <w:spacing w:after="240" w:line="360" w:lineRule="auto"/>
        <w:jc w:val="both"/>
        <w:rPr>
          <w:rFonts w:eastAsia="Times New Roman"/>
        </w:rPr>
      </w:pPr>
      <w:r w:rsidRPr="008A512A">
        <w:rPr>
          <w:rFonts w:eastAsia="Times New Roman"/>
          <w:b/>
        </w:rPr>
        <w:t xml:space="preserve">Collaboration and expansion:  </w:t>
      </w:r>
      <w:r w:rsidRPr="008A512A">
        <w:rPr>
          <w:rFonts w:eastAsia="Times New Roman"/>
        </w:rPr>
        <w:t>Digital marketing expansion and collaboration with a range of health influencers can also improve customer engagement and brand visibility.</w:t>
      </w:r>
      <w:r w:rsidRPr="008A512A">
        <w:rPr>
          <w:rFonts w:eastAsia="Times New Roman"/>
          <w:b/>
        </w:rPr>
        <w:t xml:space="preserve"> </w:t>
      </w:r>
      <w:r w:rsidRPr="008A512A">
        <w:rPr>
          <w:rFonts w:eastAsia="Times New Roman"/>
        </w:rPr>
        <w:t>Rude Health needs to provide a presence that provides a sustainable product to gain new customers' attention and encompass market share.</w:t>
      </w:r>
    </w:p>
    <w:p w14:paraId="0000002E" w14:textId="77777777" w:rsidR="006122D3" w:rsidRPr="008A512A" w:rsidRDefault="00000000">
      <w:pPr>
        <w:spacing w:before="240" w:after="240" w:line="360" w:lineRule="auto"/>
        <w:jc w:val="both"/>
        <w:rPr>
          <w:rFonts w:eastAsia="Times New Roman"/>
        </w:rPr>
      </w:pPr>
      <w:r w:rsidRPr="008A512A">
        <w:rPr>
          <w:rFonts w:eastAsia="Times New Roman"/>
          <w:b/>
        </w:rPr>
        <w:t>Threats</w:t>
      </w:r>
      <w:r w:rsidRPr="008A512A">
        <w:rPr>
          <w:rFonts w:eastAsia="Times New Roman"/>
        </w:rPr>
        <w:t>:</w:t>
      </w:r>
    </w:p>
    <w:p w14:paraId="0000002F" w14:textId="77777777" w:rsidR="006122D3" w:rsidRPr="008A512A" w:rsidRDefault="00000000">
      <w:pPr>
        <w:spacing w:before="240" w:after="240" w:line="360" w:lineRule="auto"/>
        <w:jc w:val="both"/>
        <w:rPr>
          <w:rFonts w:eastAsia="Times New Roman"/>
        </w:rPr>
      </w:pPr>
      <w:r w:rsidRPr="008A512A">
        <w:rPr>
          <w:rFonts w:eastAsia="Times New Roman"/>
          <w:b/>
        </w:rPr>
        <w:t>Barriers in the supply chain</w:t>
      </w:r>
      <w:r w:rsidRPr="008A512A">
        <w:rPr>
          <w:rFonts w:eastAsia="Times New Roman"/>
        </w:rPr>
        <w:t>- Dependency upon the suppliers based on the worldwide supply chain and materials of sustainability which holds barriers that expose Rude Health such as environmental changes, shortages of raw materials and delays in transportation (Rhew and Arendt, 2023).</w:t>
      </w:r>
    </w:p>
    <w:p w14:paraId="00000030" w14:textId="77777777" w:rsidR="006122D3" w:rsidRPr="008A512A" w:rsidRDefault="00000000">
      <w:pPr>
        <w:spacing w:after="240" w:line="360" w:lineRule="auto"/>
        <w:jc w:val="both"/>
        <w:rPr>
          <w:rFonts w:eastAsia="Times New Roman"/>
        </w:rPr>
      </w:pPr>
      <w:r w:rsidRPr="008A512A">
        <w:rPr>
          <w:rFonts w:eastAsia="Times New Roman"/>
          <w:b/>
        </w:rPr>
        <w:t>Excessive competition</w:t>
      </w:r>
      <w:r w:rsidRPr="008A512A">
        <w:rPr>
          <w:rFonts w:eastAsia="Times New Roman"/>
        </w:rPr>
        <w:t>- In the food sector there is huge competition with various new entrants and brands. The competitors might facilitate the same product at a cheap price or alternate budget in market extension.</w:t>
      </w:r>
    </w:p>
    <w:p w14:paraId="00000031" w14:textId="77777777" w:rsidR="006122D3" w:rsidRPr="008A512A" w:rsidRDefault="00000000">
      <w:pPr>
        <w:spacing w:before="240" w:after="240" w:line="360" w:lineRule="auto"/>
        <w:jc w:val="both"/>
        <w:rPr>
          <w:rFonts w:eastAsia="Times New Roman"/>
        </w:rPr>
      </w:pPr>
      <w:r w:rsidRPr="008A512A">
        <w:rPr>
          <w:rFonts w:eastAsia="Times New Roman"/>
        </w:rPr>
        <w:t>Rude Health experiences various opportunities by developing the consumer's demand for e-commerce platforms and sustainable products. Moreover, it also assists in analysing the issues regarding this disruption in the supply chain system. Mitigating those disruptions and implementing product variety assist in managing the brand image as a leader in the food sector.</w:t>
      </w:r>
    </w:p>
    <w:p w14:paraId="0F88CF57" w14:textId="77777777" w:rsidR="00737C45" w:rsidRPr="008A512A" w:rsidRDefault="00737C45">
      <w:pPr>
        <w:spacing w:before="240" w:after="240" w:line="360" w:lineRule="auto"/>
        <w:jc w:val="both"/>
        <w:rPr>
          <w:rFonts w:eastAsia="Times New Roman"/>
        </w:rPr>
      </w:pPr>
    </w:p>
    <w:p w14:paraId="00000032" w14:textId="77777777" w:rsidR="006122D3" w:rsidRPr="008A512A" w:rsidRDefault="00000000">
      <w:pPr>
        <w:spacing w:before="240" w:after="240" w:line="360" w:lineRule="auto"/>
        <w:jc w:val="both"/>
        <w:rPr>
          <w:rFonts w:eastAsia="Times New Roman"/>
          <w:b/>
        </w:rPr>
      </w:pPr>
      <w:r w:rsidRPr="008A512A">
        <w:rPr>
          <w:rFonts w:eastAsia="Times New Roman"/>
          <w:b/>
        </w:rPr>
        <w:lastRenderedPageBreak/>
        <w:t>VRIO analysis</w:t>
      </w:r>
    </w:p>
    <w:p w14:paraId="00000033" w14:textId="77777777" w:rsidR="006122D3" w:rsidRPr="008A512A" w:rsidRDefault="00000000">
      <w:pPr>
        <w:spacing w:before="240" w:after="240" w:line="360" w:lineRule="auto"/>
        <w:jc w:val="both"/>
        <w:rPr>
          <w:rFonts w:eastAsia="Times New Roman"/>
        </w:rPr>
      </w:pPr>
      <w:r w:rsidRPr="008A512A">
        <w:rPr>
          <w:rFonts w:eastAsia="Times New Roman"/>
          <w:b/>
        </w:rPr>
        <w:t>Value</w:t>
      </w:r>
      <w:r w:rsidRPr="008A512A">
        <w:rPr>
          <w:rFonts w:eastAsia="Times New Roman"/>
        </w:rPr>
        <w:t>- Rude Health creates an impact upon the values of strategic combinations based on following healthy dietary and commitment to sustainability. The rising market values the products of eco-friendly products while Rude Health ensures to meet the demand and product through ethical practices, quality and sustainability. (Juárez-</w:t>
      </w:r>
      <w:proofErr w:type="spellStart"/>
      <w:r w:rsidRPr="008A512A">
        <w:rPr>
          <w:rFonts w:eastAsia="Times New Roman"/>
        </w:rPr>
        <w:t>Varón</w:t>
      </w:r>
      <w:proofErr w:type="spellEnd"/>
      <w:r w:rsidRPr="008A512A">
        <w:rPr>
          <w:rFonts w:eastAsia="Times New Roman"/>
        </w:rPr>
        <w:t xml:space="preserve"> </w:t>
      </w:r>
      <w:r w:rsidRPr="008A512A">
        <w:rPr>
          <w:rFonts w:eastAsia="Times New Roman"/>
          <w:i/>
        </w:rPr>
        <w:t xml:space="preserve">et al., </w:t>
      </w:r>
      <w:r w:rsidRPr="008A512A">
        <w:rPr>
          <w:rFonts w:eastAsia="Times New Roman"/>
        </w:rPr>
        <w:t xml:space="preserve">2023). It enlarges sustainability to gain the attention of conscious consumers and create a positive impact on competitors in the industries. </w:t>
      </w:r>
    </w:p>
    <w:p w14:paraId="00000034" w14:textId="1428EA92" w:rsidR="006122D3" w:rsidRPr="008A512A" w:rsidRDefault="00000000">
      <w:pPr>
        <w:spacing w:before="240" w:after="240" w:line="360" w:lineRule="auto"/>
        <w:jc w:val="both"/>
        <w:rPr>
          <w:rFonts w:eastAsia="Times New Roman"/>
        </w:rPr>
      </w:pPr>
      <w:r w:rsidRPr="008A512A">
        <w:rPr>
          <w:rFonts w:eastAsia="Times New Roman"/>
          <w:b/>
        </w:rPr>
        <w:t>Rarity</w:t>
      </w:r>
      <w:r w:rsidRPr="008A512A">
        <w:rPr>
          <w:rFonts w:eastAsia="Times New Roman"/>
        </w:rPr>
        <w:t xml:space="preserve">- The sustainable materials and initiatives that are utilised by Rude Health are comparatively rare in the food industry. The other companies began with incorporations of Sustainable practices where Rude Health focused on broader initiatives on catering dietary needs to health-conscious customers. This particular rarity differentiates the brand image and environmental consciousness which provides eco-friendly and quality food products. The commitment </w:t>
      </w:r>
      <w:r w:rsidR="00B859EF" w:rsidRPr="008A512A">
        <w:rPr>
          <w:rFonts w:eastAsia="Times New Roman"/>
        </w:rPr>
        <w:t>to Rude</w:t>
      </w:r>
      <w:r w:rsidRPr="008A512A">
        <w:rPr>
          <w:rFonts w:eastAsia="Times New Roman"/>
        </w:rPr>
        <w:t xml:space="preserve"> Health regarding legal, transparency and manufacturing encompasses their rarity. The match of brand level regarding the procedure of production and sources leads towards different positions in the market.</w:t>
      </w:r>
    </w:p>
    <w:p w14:paraId="00000035" w14:textId="77777777" w:rsidR="006122D3" w:rsidRPr="008A512A" w:rsidRDefault="00000000">
      <w:pPr>
        <w:spacing w:before="240" w:after="240" w:line="360" w:lineRule="auto"/>
        <w:jc w:val="both"/>
        <w:rPr>
          <w:rFonts w:eastAsia="Times New Roman"/>
        </w:rPr>
      </w:pPr>
      <w:r w:rsidRPr="008A512A">
        <w:rPr>
          <w:rFonts w:eastAsia="Times New Roman"/>
          <w:b/>
        </w:rPr>
        <w:t>Imitability</w:t>
      </w:r>
      <w:r w:rsidRPr="008A512A">
        <w:rPr>
          <w:rFonts w:eastAsia="Times New Roman"/>
        </w:rPr>
        <w:t>- The sustainable approach regarding legal standards cultivated by Rude Health for imitating the barriers. Improving the system of supply chain management that prioritises eco-friendly materials and implements legal manufacturers on certain commitment, investment and expertise (</w:t>
      </w:r>
      <w:proofErr w:type="spellStart"/>
      <w:r w:rsidRPr="008A512A">
        <w:rPr>
          <w:rFonts w:eastAsia="Times New Roman"/>
        </w:rPr>
        <w:t>Chanthes</w:t>
      </w:r>
      <w:proofErr w:type="spellEnd"/>
      <w:r w:rsidRPr="008A512A">
        <w:rPr>
          <w:rFonts w:eastAsia="Times New Roman"/>
        </w:rPr>
        <w:t xml:space="preserve"> </w:t>
      </w:r>
      <w:r w:rsidRPr="008A512A">
        <w:rPr>
          <w:rFonts w:eastAsia="Times New Roman"/>
          <w:i/>
        </w:rPr>
        <w:t xml:space="preserve">et al., </w:t>
      </w:r>
      <w:r w:rsidRPr="008A512A">
        <w:rPr>
          <w:rFonts w:eastAsia="Times New Roman"/>
        </w:rPr>
        <w:t>2023). The activity is complete regarding the barrier towards competitors that copy the business model of Rude Health regarding the proposition of value. The establishment of the brand image regarding sustainability and quality as limitations immediately. Developing credibility and trust towards sustainable approach as consistency on the competitive edge.</w:t>
      </w:r>
    </w:p>
    <w:p w14:paraId="00000036" w14:textId="77777777" w:rsidR="006122D3" w:rsidRPr="008A512A" w:rsidRDefault="00000000">
      <w:pPr>
        <w:spacing w:before="240" w:after="240" w:line="360" w:lineRule="auto"/>
        <w:jc w:val="both"/>
        <w:rPr>
          <w:rFonts w:eastAsia="Times New Roman"/>
        </w:rPr>
      </w:pPr>
      <w:r w:rsidRPr="008A512A">
        <w:rPr>
          <w:rFonts w:eastAsia="Times New Roman"/>
          <w:b/>
        </w:rPr>
        <w:t>Organisation</w:t>
      </w:r>
      <w:r w:rsidRPr="008A512A">
        <w:rPr>
          <w:rFonts w:eastAsia="Times New Roman"/>
        </w:rPr>
        <w:t>- The efficiency of Rude Health, manages their ability and resources to increase the value for maintaining the competitive objectives. The leadership of the company reinforces the brand reputation, productivity, and sustainability in the market. The commitment to organisational sustainability is the key procedure of the decision-making system through developing the product in market tactics (Rhew and Arendt, 2023). Investment in Rude Health holds the culture of sustainability and productivity industry organisation. The ability of the organisation allows the business to develop the procedures and products to remain competitive in the broader industry.</w:t>
      </w:r>
    </w:p>
    <w:p w14:paraId="69B2476E" w14:textId="77777777" w:rsidR="00737C45" w:rsidRPr="008A512A" w:rsidRDefault="00737C45">
      <w:pPr>
        <w:spacing w:before="240" w:after="240" w:line="360" w:lineRule="auto"/>
        <w:jc w:val="both"/>
        <w:rPr>
          <w:rFonts w:eastAsia="Times New Roman"/>
        </w:rPr>
      </w:pPr>
    </w:p>
    <w:p w14:paraId="00000037" w14:textId="77777777" w:rsidR="006122D3" w:rsidRPr="008A512A" w:rsidRDefault="00000000">
      <w:pPr>
        <w:spacing w:before="240" w:after="240" w:line="360" w:lineRule="auto"/>
        <w:jc w:val="both"/>
        <w:rPr>
          <w:rFonts w:eastAsia="Times New Roman"/>
          <w:b/>
        </w:rPr>
      </w:pPr>
      <w:r w:rsidRPr="008A512A">
        <w:rPr>
          <w:rFonts w:eastAsia="Times New Roman"/>
          <w:b/>
        </w:rPr>
        <w:lastRenderedPageBreak/>
        <w:t>PESTLE analysis</w:t>
      </w:r>
    </w:p>
    <w:p w14:paraId="00000038" w14:textId="77777777" w:rsidR="006122D3" w:rsidRPr="008A512A" w:rsidRDefault="00000000">
      <w:pPr>
        <w:spacing w:before="240" w:after="240" w:line="360" w:lineRule="auto"/>
        <w:jc w:val="both"/>
        <w:rPr>
          <w:rFonts w:eastAsia="Times New Roman"/>
        </w:rPr>
      </w:pPr>
      <w:r w:rsidRPr="008A512A">
        <w:rPr>
          <w:rFonts w:eastAsia="Times New Roman"/>
          <w:b/>
        </w:rPr>
        <w:t>Political</w:t>
      </w:r>
      <w:r w:rsidRPr="008A512A">
        <w:rPr>
          <w:rFonts w:eastAsia="Times New Roman"/>
        </w:rPr>
        <w:t>- There are various political factors that create an influential impact upon Rude Health regarding policies and regulations that merge with the trade agreements and environmental standards. The government focuses on environmental policies and sustainability and implements strong regulations regarding the products, materials and procedures of manufacturing. The Rude Health focuses on assisting the regulations which assures proper compliance and managing the commitment through a sustainable approach and food standards (</w:t>
      </w:r>
      <w:proofErr w:type="spellStart"/>
      <w:r w:rsidRPr="008A512A">
        <w:rPr>
          <w:rFonts w:eastAsia="Times New Roman"/>
        </w:rPr>
        <w:t>Dalirazar</w:t>
      </w:r>
      <w:proofErr w:type="spellEnd"/>
      <w:r w:rsidRPr="008A512A">
        <w:rPr>
          <w:rFonts w:eastAsia="Times New Roman"/>
        </w:rPr>
        <w:t xml:space="preserve"> and Sabzi, 2023). The changes in the tariffs and policies of trade create an impact on the availability and cost of raw materials that affect the supply chain system and production.</w:t>
      </w:r>
    </w:p>
    <w:p w14:paraId="00000039" w14:textId="77777777" w:rsidR="006122D3" w:rsidRPr="008A512A" w:rsidRDefault="00000000">
      <w:pPr>
        <w:spacing w:before="240" w:after="240" w:line="360" w:lineRule="auto"/>
        <w:jc w:val="both"/>
        <w:rPr>
          <w:rFonts w:eastAsia="Times New Roman"/>
        </w:rPr>
      </w:pPr>
      <w:r w:rsidRPr="008A512A">
        <w:rPr>
          <w:rFonts w:eastAsia="Times New Roman"/>
          <w:b/>
        </w:rPr>
        <w:t>Economic</w:t>
      </w:r>
      <w:r w:rsidRPr="008A512A">
        <w:rPr>
          <w:rFonts w:eastAsia="Times New Roman"/>
        </w:rPr>
        <w:t>- The effect of economic factors upon Rude Health based on discounts and conditions regarding exchange rate, spending of customers and inflation rate. Moreover, recessions and economic downfall lead to consumer preferences and disposal outcomes as the changes of behaviour in food products. During economic downfall, consumers prioritise types of products of high quality and sustainability that are beneficial for Rude Health. Changes in exchange rates create an impact on finishing goods and importing the cost of materials which affects the entire pricing tactics and profitability.</w:t>
      </w:r>
    </w:p>
    <w:p w14:paraId="0000003A" w14:textId="77777777" w:rsidR="006122D3" w:rsidRPr="008A512A" w:rsidRDefault="00000000">
      <w:pPr>
        <w:spacing w:before="240" w:after="240" w:line="360" w:lineRule="auto"/>
        <w:jc w:val="both"/>
        <w:rPr>
          <w:rFonts w:eastAsia="Times New Roman"/>
        </w:rPr>
      </w:pPr>
      <w:r w:rsidRPr="008A512A">
        <w:rPr>
          <w:rFonts w:eastAsia="Times New Roman"/>
          <w:b/>
        </w:rPr>
        <w:t>Social</w:t>
      </w:r>
      <w:r w:rsidRPr="008A512A">
        <w:rPr>
          <w:rFonts w:eastAsia="Times New Roman"/>
        </w:rPr>
        <w:t>- Social factors play an important role in analysing and managing customer preferences regarding sustainability. The rising concern and awareness of consumers' demand through environmental barriers such as pollution and climatic changes (</w:t>
      </w:r>
      <w:proofErr w:type="spellStart"/>
      <w:r w:rsidRPr="008A512A">
        <w:rPr>
          <w:rFonts w:eastAsia="Times New Roman"/>
        </w:rPr>
        <w:t>Kansonguee</w:t>
      </w:r>
      <w:proofErr w:type="spellEnd"/>
      <w:r w:rsidRPr="008A512A">
        <w:rPr>
          <w:rFonts w:eastAsia="Times New Roman"/>
        </w:rPr>
        <w:t xml:space="preserve"> </w:t>
      </w:r>
      <w:r w:rsidRPr="008A512A">
        <w:rPr>
          <w:rFonts w:eastAsia="Times New Roman"/>
          <w:i/>
        </w:rPr>
        <w:t>et al.,</w:t>
      </w:r>
      <w:r w:rsidRPr="008A512A">
        <w:rPr>
          <w:rFonts w:eastAsia="Times New Roman"/>
        </w:rPr>
        <w:t xml:space="preserve"> 2023). The drives of the trend focus on demanding the products of eco-friendly materials of sustainable practices of manufacture. The changes in food trends and the impact of the influences through customers' preferences create marketing practices and product development.</w:t>
      </w:r>
    </w:p>
    <w:p w14:paraId="0000003B" w14:textId="77777777" w:rsidR="006122D3" w:rsidRPr="008A512A" w:rsidRDefault="00000000">
      <w:pPr>
        <w:spacing w:before="240" w:after="240" w:line="360" w:lineRule="auto"/>
        <w:jc w:val="both"/>
        <w:rPr>
          <w:rFonts w:eastAsia="Times New Roman"/>
        </w:rPr>
      </w:pPr>
      <w:r w:rsidRPr="008A512A">
        <w:rPr>
          <w:rFonts w:eastAsia="Times New Roman"/>
          <w:b/>
        </w:rPr>
        <w:t>Technology</w:t>
      </w:r>
      <w:r w:rsidRPr="008A512A">
        <w:rPr>
          <w:rFonts w:eastAsia="Times New Roman"/>
        </w:rPr>
        <w:t>- The technological upgradation creates an impact upon Rude Health step in various ways specifically on the ability of e-commerce and procedures of manufacture. The productivity of sustainable materials and technology factors enables the Rude Health which enlarges the product efficacy and quality on minimising the environmental impact (Rhew and Arendt, 2023). Advancement of digital marketing and platforms of e-commerce allow the business to expand and reach worldwide consumers which encompass the shopping experience and customer engagement.</w:t>
      </w:r>
    </w:p>
    <w:p w14:paraId="0000003C" w14:textId="77777777" w:rsidR="006122D3" w:rsidRPr="008A512A" w:rsidRDefault="00000000">
      <w:pPr>
        <w:spacing w:before="240" w:after="240" w:line="360" w:lineRule="auto"/>
        <w:jc w:val="both"/>
        <w:rPr>
          <w:rFonts w:eastAsia="Times New Roman"/>
        </w:rPr>
      </w:pPr>
      <w:r w:rsidRPr="008A512A">
        <w:rPr>
          <w:rFonts w:eastAsia="Times New Roman"/>
          <w:b/>
        </w:rPr>
        <w:t>Environment</w:t>
      </w:r>
      <w:r w:rsidRPr="008A512A">
        <w:rPr>
          <w:rFonts w:eastAsia="Times New Roman"/>
        </w:rPr>
        <w:t xml:space="preserve">- The environmental factor assists the business model of Rude Health to reduce the carbon and ecological footprint. The scarcity of resources, changes in environmental regulations </w:t>
      </w:r>
      <w:r w:rsidRPr="008A512A">
        <w:rPr>
          <w:rFonts w:eastAsia="Times New Roman"/>
        </w:rPr>
        <w:lastRenderedPageBreak/>
        <w:t>and climatic change management increase the cost of sustainable materials that are utilised in the production of food sector products (</w:t>
      </w:r>
      <w:proofErr w:type="spellStart"/>
      <w:r w:rsidRPr="008A512A">
        <w:rPr>
          <w:rFonts w:eastAsia="Times New Roman"/>
        </w:rPr>
        <w:t>Dalirazar</w:t>
      </w:r>
      <w:proofErr w:type="spellEnd"/>
      <w:r w:rsidRPr="008A512A">
        <w:rPr>
          <w:rFonts w:eastAsia="Times New Roman"/>
        </w:rPr>
        <w:t xml:space="preserve"> and Sabzi, 2023). The commitment of Rude Health towards decreasing carbon emissions and recycling materials merges the attention of eco-conscious consumers and environmental regulation which enlarges market competitiveness and brand image.</w:t>
      </w:r>
    </w:p>
    <w:p w14:paraId="0000003D" w14:textId="77777777" w:rsidR="006122D3" w:rsidRPr="008A512A" w:rsidRDefault="00000000">
      <w:pPr>
        <w:spacing w:before="240" w:after="240" w:line="360" w:lineRule="auto"/>
        <w:jc w:val="both"/>
        <w:rPr>
          <w:rFonts w:eastAsia="Times New Roman"/>
        </w:rPr>
      </w:pPr>
      <w:r w:rsidRPr="008A512A">
        <w:rPr>
          <w:rFonts w:eastAsia="Times New Roman"/>
          <w:b/>
        </w:rPr>
        <w:t>Legal</w:t>
      </w:r>
      <w:r w:rsidRPr="008A512A">
        <w:rPr>
          <w:rFonts w:eastAsia="Times New Roman"/>
        </w:rPr>
        <w:t>- The legal factor enlarges various regulations that are aligned with the laws of consumer protection, labour rights and practice property rights. It assured compliance with legal treatment among the workers regarding the management of supply chain strings and reinforced the CSR activity (</w:t>
      </w:r>
      <w:proofErr w:type="spellStart"/>
      <w:r w:rsidRPr="008A512A">
        <w:rPr>
          <w:rFonts w:eastAsia="Times New Roman"/>
        </w:rPr>
        <w:t>Kansonguee</w:t>
      </w:r>
      <w:proofErr w:type="spellEnd"/>
      <w:r w:rsidRPr="008A512A">
        <w:rPr>
          <w:rFonts w:eastAsia="Times New Roman"/>
        </w:rPr>
        <w:t xml:space="preserve"> </w:t>
      </w:r>
      <w:r w:rsidRPr="008A512A">
        <w:rPr>
          <w:rFonts w:eastAsia="Times New Roman"/>
          <w:i/>
        </w:rPr>
        <w:t>et al.,</w:t>
      </w:r>
      <w:r w:rsidRPr="008A512A">
        <w:rPr>
          <w:rFonts w:eastAsia="Times New Roman"/>
        </w:rPr>
        <w:t xml:space="preserve"> 2023). Maintaining the safeguards through brand technologies and design regarding the changes in consumer protection regulation and law that create an impact on product labelling and marketing tactics. Rude Health cultivates and assure transparency regarding their communication with the consumers.</w:t>
      </w:r>
    </w:p>
    <w:p w14:paraId="0000003E" w14:textId="77777777" w:rsidR="006122D3" w:rsidRPr="008A512A" w:rsidRDefault="00000000">
      <w:pPr>
        <w:spacing w:before="240" w:after="240" w:line="360" w:lineRule="auto"/>
        <w:jc w:val="both"/>
        <w:rPr>
          <w:rFonts w:eastAsia="Times New Roman"/>
          <w:b/>
        </w:rPr>
      </w:pPr>
      <w:r w:rsidRPr="008A512A">
        <w:rPr>
          <w:rFonts w:eastAsia="Times New Roman"/>
          <w:b/>
        </w:rPr>
        <w:t>Porter's five forces</w:t>
      </w:r>
    </w:p>
    <w:p w14:paraId="0000003F" w14:textId="77777777" w:rsidR="006122D3" w:rsidRPr="008A512A" w:rsidRDefault="00000000">
      <w:pPr>
        <w:spacing w:before="240" w:after="240" w:line="360" w:lineRule="auto"/>
        <w:jc w:val="both"/>
        <w:rPr>
          <w:rFonts w:eastAsia="Times New Roman"/>
        </w:rPr>
      </w:pPr>
      <w:r w:rsidRPr="008A512A">
        <w:rPr>
          <w:rFonts w:eastAsia="Times New Roman"/>
          <w:b/>
        </w:rPr>
        <w:t xml:space="preserve">The threat of new entrance: </w:t>
      </w:r>
      <w:r w:rsidRPr="008A512A">
        <w:rPr>
          <w:rFonts w:eastAsia="Times New Roman"/>
        </w:rPr>
        <w:t>The threat of new entrants in the food industry is moderate for Rude Health. The limitation of entering is less based on accessing suppliers setting facilities of manufacturer development image throughout the commitment of quality and sustainability which need time and investment. The brand with economy sometimes experiences the issue.</w:t>
      </w:r>
    </w:p>
    <w:p w14:paraId="00000040" w14:textId="77777777" w:rsidR="006122D3" w:rsidRPr="008A512A" w:rsidRDefault="00000000">
      <w:pPr>
        <w:spacing w:before="240" w:after="240" w:line="360" w:lineRule="auto"/>
        <w:jc w:val="both"/>
        <w:rPr>
          <w:rFonts w:eastAsia="Times New Roman"/>
        </w:rPr>
      </w:pPr>
      <w:r w:rsidRPr="008A512A">
        <w:rPr>
          <w:rFonts w:eastAsia="Times New Roman"/>
          <w:b/>
        </w:rPr>
        <w:t>Bargaining power of suppliers</w:t>
      </w:r>
      <w:r w:rsidRPr="008A512A">
        <w:rPr>
          <w:rFonts w:eastAsia="Times New Roman"/>
        </w:rPr>
        <w:t>: Rude Health experiences moderate bargaining power of suppliers. These suppliers are related towards sustainable materials and ethically sourced products that provide quality food products (Rhew and Arendt, 2023). A Rude Health that can address this by connecting with different supply bases and maintaining powerful relationships to ensure consistency in supply chain management.</w:t>
      </w:r>
    </w:p>
    <w:p w14:paraId="00000041" w14:textId="77777777" w:rsidR="006122D3" w:rsidRPr="008A512A" w:rsidRDefault="00000000">
      <w:pPr>
        <w:spacing w:before="240" w:after="240" w:line="360" w:lineRule="auto"/>
        <w:jc w:val="both"/>
        <w:rPr>
          <w:rFonts w:eastAsia="Times New Roman"/>
        </w:rPr>
      </w:pPr>
      <w:r w:rsidRPr="008A512A">
        <w:rPr>
          <w:rFonts w:eastAsia="Times New Roman"/>
          <w:b/>
        </w:rPr>
        <w:t xml:space="preserve">Bargaining power of buyer- </w:t>
      </w:r>
      <w:r w:rsidRPr="008A512A">
        <w:rPr>
          <w:rFonts w:eastAsia="Times New Roman"/>
        </w:rPr>
        <w:t>The bargaining power of the buyer is relatively high. The consumers hold other food sector companies in the market with a range of sustainable brands and budget-friendly systems. Differentiation of product and sensitivity of price are important factors regarding the decisions that influence buyers. Rude Health requests ongoing differentiations and innovations to manage the customer's trust.</w:t>
      </w:r>
    </w:p>
    <w:p w14:paraId="00000042" w14:textId="77777777" w:rsidR="006122D3" w:rsidRPr="008A512A" w:rsidRDefault="00000000">
      <w:pPr>
        <w:spacing w:before="240" w:after="240" w:line="360" w:lineRule="auto"/>
        <w:jc w:val="both"/>
        <w:rPr>
          <w:rFonts w:eastAsia="Times New Roman"/>
        </w:rPr>
      </w:pPr>
      <w:r w:rsidRPr="008A512A">
        <w:rPr>
          <w:rFonts w:eastAsia="Times New Roman"/>
          <w:b/>
        </w:rPr>
        <w:t>Industrial rivalry</w:t>
      </w:r>
      <w:r w:rsidRPr="008A512A">
        <w:rPr>
          <w:rFonts w:eastAsia="Times New Roman"/>
        </w:rPr>
        <w:t xml:space="preserve">- Industrial rivalry is intense among the food industry. The competitors hold a broader range from worldwide leaders to distributor networks then focus on sustainability </w:t>
      </w:r>
      <w:r w:rsidRPr="008A512A">
        <w:rPr>
          <w:rFonts w:eastAsia="Times New Roman"/>
        </w:rPr>
        <w:lastRenderedPageBreak/>
        <w:t>(</w:t>
      </w:r>
      <w:proofErr w:type="spellStart"/>
      <w:r w:rsidRPr="008A512A">
        <w:rPr>
          <w:rFonts w:eastAsia="Times New Roman"/>
        </w:rPr>
        <w:t>Kansonguee</w:t>
      </w:r>
      <w:proofErr w:type="spellEnd"/>
      <w:r w:rsidRPr="008A512A">
        <w:rPr>
          <w:rFonts w:eastAsia="Times New Roman"/>
        </w:rPr>
        <w:t xml:space="preserve"> </w:t>
      </w:r>
      <w:r w:rsidRPr="008A512A">
        <w:rPr>
          <w:rFonts w:eastAsia="Times New Roman"/>
          <w:i/>
        </w:rPr>
        <w:t>et al.,</w:t>
      </w:r>
      <w:r w:rsidRPr="008A512A">
        <w:rPr>
          <w:rFonts w:eastAsia="Times New Roman"/>
        </w:rPr>
        <w:t xml:space="preserve"> 2023). It is very important for Rude Health to handle the pressure and maintain their share in the market.</w:t>
      </w:r>
    </w:p>
    <w:p w14:paraId="00000043" w14:textId="77777777" w:rsidR="006122D3" w:rsidRPr="008A512A" w:rsidRDefault="00000000">
      <w:pPr>
        <w:pStyle w:val="Heading2"/>
        <w:rPr>
          <w:rFonts w:ascii="Arial" w:hAnsi="Arial" w:cs="Arial"/>
          <w:sz w:val="22"/>
          <w:szCs w:val="22"/>
        </w:rPr>
      </w:pPr>
      <w:bookmarkStart w:id="4" w:name="_Toc171328178"/>
      <w:r w:rsidRPr="008A512A">
        <w:rPr>
          <w:rFonts w:ascii="Arial" w:hAnsi="Arial" w:cs="Arial"/>
          <w:sz w:val="22"/>
          <w:szCs w:val="22"/>
        </w:rPr>
        <w:t>Stakeholder analysis</w:t>
      </w:r>
      <w:bookmarkEnd w:id="4"/>
    </w:p>
    <w:p w14:paraId="00000044" w14:textId="77777777" w:rsidR="006122D3" w:rsidRPr="008A512A" w:rsidRDefault="00000000">
      <w:pPr>
        <w:spacing w:before="240" w:after="240" w:line="360" w:lineRule="auto"/>
        <w:jc w:val="both"/>
        <w:rPr>
          <w:rFonts w:eastAsia="Times New Roman"/>
        </w:rPr>
      </w:pPr>
      <w:r w:rsidRPr="008A512A">
        <w:rPr>
          <w:rFonts w:eastAsia="Times New Roman"/>
        </w:rPr>
        <w:t>The Mendelow Matrix is an effective tool that supports prioritising different stakeholders on the basis of interest and power level (Turek-</w:t>
      </w:r>
      <w:proofErr w:type="spellStart"/>
      <w:r w:rsidRPr="008A512A">
        <w:rPr>
          <w:rFonts w:eastAsia="Times New Roman"/>
        </w:rPr>
        <w:t>Prahoveanu</w:t>
      </w:r>
      <w:proofErr w:type="spellEnd"/>
      <w:r w:rsidRPr="008A512A">
        <w:rPr>
          <w:rFonts w:eastAsia="Times New Roman"/>
        </w:rPr>
        <w:t xml:space="preserve"> and Pascal, 2023). These tools give the organisation the capability to understand which stakeholders to focus on and how to handle their influence and expectations.</w:t>
      </w:r>
    </w:p>
    <w:p w14:paraId="00000045" w14:textId="16B78BA4" w:rsidR="006122D3" w:rsidRPr="008A512A" w:rsidRDefault="00B859EF">
      <w:pPr>
        <w:spacing w:before="240" w:after="240" w:line="360" w:lineRule="auto"/>
        <w:jc w:val="both"/>
        <w:rPr>
          <w:rFonts w:eastAsia="Times New Roman"/>
          <w:b/>
        </w:rPr>
      </w:pPr>
      <w:r w:rsidRPr="008A512A">
        <w:rPr>
          <w:rFonts w:eastAsia="Times New Roman"/>
          <w:b/>
        </w:rPr>
        <w:t>Stakeholders’</w:t>
      </w:r>
      <w:r w:rsidR="00000000" w:rsidRPr="008A512A">
        <w:rPr>
          <w:rFonts w:eastAsia="Times New Roman"/>
          <w:b/>
        </w:rPr>
        <w:t xml:space="preserve"> categories</w:t>
      </w:r>
    </w:p>
    <w:p w14:paraId="00000046" w14:textId="77777777" w:rsidR="006122D3" w:rsidRPr="008A512A" w:rsidRDefault="00000000">
      <w:pPr>
        <w:spacing w:before="240" w:after="240" w:line="360" w:lineRule="auto"/>
        <w:jc w:val="both"/>
        <w:rPr>
          <w:rFonts w:eastAsia="Times New Roman"/>
        </w:rPr>
      </w:pPr>
      <w:r w:rsidRPr="008A512A">
        <w:rPr>
          <w:rFonts w:eastAsia="Times New Roman"/>
          <w:b/>
        </w:rPr>
        <w:t>High-interest high power (managed closely)</w:t>
      </w:r>
      <w:r w:rsidRPr="008A512A">
        <w:rPr>
          <w:rFonts w:eastAsia="Times New Roman"/>
        </w:rPr>
        <w:t>: This stakeholder group has a significant level of interest and impact on the success of the organisation there for their requirement and expectations need to be handled and focused more carefully. They are investors, customers, executives and founders which can influence the organisation's strategic decisions and can also impact high interest and company direction in its success.</w:t>
      </w:r>
    </w:p>
    <w:p w14:paraId="00000047" w14:textId="77777777" w:rsidR="006122D3" w:rsidRPr="008A512A" w:rsidRDefault="00000000">
      <w:pPr>
        <w:spacing w:before="240" w:after="240" w:line="360" w:lineRule="auto"/>
        <w:jc w:val="both"/>
        <w:rPr>
          <w:rFonts w:eastAsia="Times New Roman"/>
        </w:rPr>
      </w:pPr>
      <w:r w:rsidRPr="008A512A">
        <w:rPr>
          <w:rFonts w:eastAsia="Times New Roman"/>
          <w:b/>
        </w:rPr>
        <w:t>Low-interest high power (keep satisfied)</w:t>
      </w:r>
      <w:r w:rsidRPr="008A512A">
        <w:rPr>
          <w:rFonts w:eastAsia="Times New Roman"/>
        </w:rPr>
        <w:t>: These stakeholder groups have a significant impact on the organisation however less everyday interest in the business how they are required to keep satisfied and also need to ensure that this stakeholder remains supportive (Rhew and Arendt, 2023). They are regulatory bodies and suppliers, regulatory bodies have the capability to enforce compliance there to keep them satisfied, ensure smooth operation and avoid legal issues. While maintaining a good relationship with the suppliers, she was to promote a reliable supply chain.</w:t>
      </w:r>
    </w:p>
    <w:p w14:paraId="00000048" w14:textId="77777777" w:rsidR="006122D3" w:rsidRPr="008A512A" w:rsidRDefault="00000000">
      <w:pPr>
        <w:spacing w:before="240" w:after="240" w:line="360" w:lineRule="auto"/>
        <w:jc w:val="both"/>
        <w:rPr>
          <w:rFonts w:eastAsia="Times New Roman"/>
        </w:rPr>
      </w:pPr>
      <w:r w:rsidRPr="008A512A">
        <w:rPr>
          <w:rFonts w:eastAsia="Times New Roman"/>
          <w:b/>
        </w:rPr>
        <w:t>High-interest low power (keep informed)</w:t>
      </w:r>
      <w:r w:rsidRPr="008A512A">
        <w:rPr>
          <w:rFonts w:eastAsia="Times New Roman"/>
        </w:rPr>
        <w:t>: These are the stakeholder groups who are invested in the activities of the business and have ever had limited influence. They need to be informed in order to maintain their engagement and support. These are NGO communities and employees whose innovation productivity and influence can contribute to supporting the brand and promoting a positive brand image.</w:t>
      </w:r>
    </w:p>
    <w:p w14:paraId="00000049" w14:textId="77777777" w:rsidR="006122D3" w:rsidRPr="008A512A" w:rsidRDefault="00000000">
      <w:pPr>
        <w:spacing w:before="240" w:after="240" w:line="360" w:lineRule="auto"/>
        <w:jc w:val="both"/>
        <w:rPr>
          <w:rFonts w:eastAsia="Times New Roman"/>
        </w:rPr>
      </w:pPr>
      <w:r w:rsidRPr="008A512A">
        <w:rPr>
          <w:rFonts w:eastAsia="Times New Roman"/>
          <w:b/>
        </w:rPr>
        <w:t>Low-interest low power (monitor)</w:t>
      </w:r>
      <w:r w:rsidRPr="008A512A">
        <w:rPr>
          <w:rFonts w:eastAsia="Times New Roman"/>
        </w:rPr>
        <w:t>: These stakeholder groups have no impact and no interest in being organised. They also need less effort however they need to be monitored continuously in order to ensure no challenges arise (Aithal and Aithal, 2023). They are the competitors of the Business who can have less direct impact and interest however monitoring them can ensure maintaining competitive advantage.</w:t>
      </w:r>
    </w:p>
    <w:p w14:paraId="0000004A" w14:textId="77777777" w:rsidR="006122D3" w:rsidRPr="008A512A" w:rsidRDefault="00000000">
      <w:pPr>
        <w:pStyle w:val="Heading2"/>
        <w:rPr>
          <w:rFonts w:ascii="Arial" w:hAnsi="Arial" w:cs="Arial"/>
          <w:sz w:val="22"/>
          <w:szCs w:val="22"/>
        </w:rPr>
      </w:pPr>
      <w:bookmarkStart w:id="5" w:name="_Toc171328179"/>
      <w:r w:rsidRPr="008A512A">
        <w:rPr>
          <w:rFonts w:ascii="Arial" w:hAnsi="Arial" w:cs="Arial"/>
          <w:sz w:val="22"/>
          <w:szCs w:val="22"/>
        </w:rPr>
        <w:lastRenderedPageBreak/>
        <w:t>Evaluate the strategic growth options available for your business – Ansoff Matrix, Porter's generic strategies</w:t>
      </w:r>
      <w:bookmarkEnd w:id="5"/>
    </w:p>
    <w:p w14:paraId="0000004B" w14:textId="77777777" w:rsidR="006122D3" w:rsidRPr="008A512A" w:rsidRDefault="00000000">
      <w:pPr>
        <w:spacing w:before="240" w:after="240" w:line="360" w:lineRule="auto"/>
        <w:jc w:val="both"/>
        <w:rPr>
          <w:rFonts w:eastAsia="Times New Roman"/>
        </w:rPr>
      </w:pPr>
      <w:r w:rsidRPr="008A512A">
        <w:rPr>
          <w:rFonts w:eastAsia="Times New Roman"/>
        </w:rPr>
        <w:t>The Ansoff matrix is understood as the strategic tool that offers a framework to evaluate growth strategies on the basis of market dimension and product dimensions. This tool has four main group strategies including diversification, market penetration, product development and market development.</w:t>
      </w:r>
    </w:p>
    <w:p w14:paraId="0000004C" w14:textId="77777777" w:rsidR="006122D3" w:rsidRPr="008A512A" w:rsidRDefault="00000000">
      <w:pPr>
        <w:spacing w:before="240" w:after="240" w:line="360" w:lineRule="auto"/>
        <w:jc w:val="both"/>
        <w:rPr>
          <w:rFonts w:eastAsia="Times New Roman"/>
        </w:rPr>
      </w:pPr>
      <w:r w:rsidRPr="008A512A">
        <w:rPr>
          <w:rFonts w:eastAsia="Times New Roman"/>
          <w:b/>
        </w:rPr>
        <w:t>Market penetration</w:t>
      </w:r>
      <w:r w:rsidRPr="008A512A">
        <w:rPr>
          <w:rFonts w:eastAsia="Times New Roman"/>
        </w:rPr>
        <w:t>: Rude Health can incorporate this growth strategy to increase market share by using the current product in the existing market. This can include investing in social media engagement, promotional discounts and advertising campaigns to attract more customers and boost brand visibility (Rhew and Arendt, 2023). In addition, this can include implementing customer loyalty programs to encourage repeat purchases and retain existing customers. Further partnerships with physical stores and online retailers can increase accessibility and expand distribution channels. This can also provide low-level risk in terms of product and market while this supports increased sales volume and market share.</w:t>
      </w:r>
    </w:p>
    <w:p w14:paraId="0000004D" w14:textId="38AE46F8" w:rsidR="006122D3" w:rsidRPr="008A512A" w:rsidRDefault="00000000">
      <w:pPr>
        <w:spacing w:before="240" w:after="240" w:line="360" w:lineRule="auto"/>
        <w:jc w:val="both"/>
        <w:rPr>
          <w:rFonts w:eastAsia="Times New Roman"/>
        </w:rPr>
      </w:pPr>
      <w:r w:rsidRPr="008A512A">
        <w:rPr>
          <w:rFonts w:eastAsia="Times New Roman"/>
          <w:b/>
        </w:rPr>
        <w:t xml:space="preserve">Market development: </w:t>
      </w:r>
      <w:r w:rsidRPr="008A512A">
        <w:rPr>
          <w:rFonts w:eastAsia="Times New Roman"/>
        </w:rPr>
        <w:t xml:space="preserve">In this step, the organisation can expand its business in the </w:t>
      </w:r>
      <w:r w:rsidR="00972DCC" w:rsidRPr="008A512A">
        <w:rPr>
          <w:rFonts w:eastAsia="Times New Roman"/>
        </w:rPr>
        <w:t>n</w:t>
      </w:r>
      <w:r w:rsidRPr="008A512A">
        <w:rPr>
          <w:rFonts w:eastAsia="Times New Roman"/>
        </w:rPr>
        <w:t xml:space="preserve">ew </w:t>
      </w:r>
      <w:r w:rsidR="00972DCC" w:rsidRPr="008A512A">
        <w:rPr>
          <w:rFonts w:eastAsia="Times New Roman"/>
        </w:rPr>
        <w:t>m</w:t>
      </w:r>
      <w:r w:rsidRPr="008A512A">
        <w:rPr>
          <w:rFonts w:eastAsia="Times New Roman"/>
        </w:rPr>
        <w:t>arket by carrying out existing products and services. This can include entering international markets or new geographical regions where demand for the ergonomic and sustainable food sector is high. This can also include targeting a diverse segment of customers including the low to medium incomes families and individuals. This can provide spreading risk in various segments and reasons and explore untapped markets.</w:t>
      </w:r>
    </w:p>
    <w:p w14:paraId="0000004E" w14:textId="77777777" w:rsidR="006122D3" w:rsidRPr="008A512A" w:rsidRDefault="00000000">
      <w:pPr>
        <w:spacing w:before="240" w:after="240" w:line="360" w:lineRule="auto"/>
        <w:jc w:val="both"/>
        <w:rPr>
          <w:rFonts w:eastAsia="Times New Roman"/>
        </w:rPr>
      </w:pPr>
      <w:r w:rsidRPr="008A512A">
        <w:rPr>
          <w:rFonts w:eastAsia="Times New Roman"/>
          <w:b/>
        </w:rPr>
        <w:t xml:space="preserve">Product development: </w:t>
      </w:r>
      <w:r w:rsidRPr="008A512A">
        <w:rPr>
          <w:rFonts w:eastAsia="Times New Roman"/>
        </w:rPr>
        <w:t>This includes the introduction of new products with different components into existing markets where Rude Health can cultivate new kinds of shoes which can be office wear, running shoes and other variety shows which are environmentally friendly. By utilising technology (Turek-</w:t>
      </w:r>
      <w:proofErr w:type="spellStart"/>
      <w:r w:rsidRPr="008A512A">
        <w:rPr>
          <w:rFonts w:eastAsia="Times New Roman"/>
        </w:rPr>
        <w:t>Rahoveanu</w:t>
      </w:r>
      <w:proofErr w:type="spellEnd"/>
      <w:r w:rsidRPr="008A512A">
        <w:rPr>
          <w:rFonts w:eastAsia="Times New Roman"/>
        </w:rPr>
        <w:t xml:space="preserve"> and Pascal, 2023). This can provide a range of benefits in terms of leveraging the existing presence of the market to introduce an innovative range of products and meet the evolving requirements of customers.</w:t>
      </w:r>
    </w:p>
    <w:p w14:paraId="0000004F" w14:textId="77777777" w:rsidR="006122D3" w:rsidRPr="008A512A" w:rsidRDefault="00000000">
      <w:pPr>
        <w:spacing w:before="240" w:after="240" w:line="360" w:lineRule="auto"/>
        <w:jc w:val="both"/>
        <w:rPr>
          <w:rFonts w:eastAsia="Times New Roman"/>
        </w:rPr>
      </w:pPr>
      <w:r w:rsidRPr="008A512A">
        <w:rPr>
          <w:rFonts w:eastAsia="Times New Roman"/>
          <w:b/>
        </w:rPr>
        <w:t xml:space="preserve">Diversification: </w:t>
      </w:r>
      <w:r w:rsidRPr="008A512A">
        <w:rPr>
          <w:rFonts w:eastAsia="Times New Roman"/>
        </w:rPr>
        <w:t xml:space="preserve">This includes entering with new products to the new market. This can also include expanding the business products in areas of complementary health products for babies. </w:t>
      </w:r>
    </w:p>
    <w:p w14:paraId="4BF7BF04" w14:textId="77777777" w:rsidR="00972DCC" w:rsidRPr="008A512A" w:rsidRDefault="00972DCC">
      <w:pPr>
        <w:spacing w:before="240" w:after="240" w:line="360" w:lineRule="auto"/>
        <w:jc w:val="both"/>
        <w:rPr>
          <w:rFonts w:eastAsia="Times New Roman"/>
        </w:rPr>
      </w:pPr>
    </w:p>
    <w:p w14:paraId="7BE294EF" w14:textId="77777777" w:rsidR="00972DCC" w:rsidRPr="008A512A" w:rsidRDefault="00972DCC">
      <w:pPr>
        <w:spacing w:before="240" w:after="240" w:line="360" w:lineRule="auto"/>
        <w:jc w:val="both"/>
        <w:rPr>
          <w:rFonts w:eastAsia="Times New Roman"/>
        </w:rPr>
      </w:pPr>
    </w:p>
    <w:p w14:paraId="00000050" w14:textId="77777777" w:rsidR="006122D3" w:rsidRPr="008A512A" w:rsidRDefault="00000000">
      <w:pPr>
        <w:spacing w:before="240" w:after="240" w:line="360" w:lineRule="auto"/>
        <w:jc w:val="both"/>
        <w:rPr>
          <w:rFonts w:eastAsia="Times New Roman"/>
          <w:b/>
        </w:rPr>
      </w:pPr>
      <w:r w:rsidRPr="008A512A">
        <w:rPr>
          <w:rFonts w:eastAsia="Times New Roman"/>
          <w:b/>
        </w:rPr>
        <w:lastRenderedPageBreak/>
        <w:t>Porter Generic strategies</w:t>
      </w:r>
    </w:p>
    <w:p w14:paraId="00000051" w14:textId="77777777" w:rsidR="006122D3" w:rsidRPr="008A512A" w:rsidRDefault="00000000">
      <w:pPr>
        <w:spacing w:before="240" w:after="240" w:line="360" w:lineRule="auto"/>
        <w:jc w:val="both"/>
        <w:rPr>
          <w:rFonts w:eastAsia="Times New Roman"/>
        </w:rPr>
      </w:pPr>
      <w:r w:rsidRPr="008A512A">
        <w:rPr>
          <w:rFonts w:eastAsia="Times New Roman"/>
        </w:rPr>
        <w:t>This theory highlights three fundamental ways to obtain a competitive edge namely focus, cost leadership and differentiation.</w:t>
      </w:r>
    </w:p>
    <w:p w14:paraId="00000052" w14:textId="77777777" w:rsidR="006122D3" w:rsidRPr="008A512A" w:rsidRDefault="00000000">
      <w:pPr>
        <w:spacing w:before="240" w:after="240" w:line="360" w:lineRule="auto"/>
        <w:jc w:val="both"/>
        <w:rPr>
          <w:rFonts w:eastAsia="Times New Roman"/>
        </w:rPr>
      </w:pPr>
      <w:r w:rsidRPr="008A512A">
        <w:rPr>
          <w:rFonts w:eastAsia="Times New Roman"/>
          <w:b/>
        </w:rPr>
        <w:t xml:space="preserve">Cost leadership: </w:t>
      </w:r>
      <w:r w:rsidRPr="008A512A">
        <w:rPr>
          <w:rFonts w:eastAsia="Times New Roman"/>
        </w:rPr>
        <w:t>This strategy includes becoming the lowest-cost producer for providing specific products or services within the industry. This can include optimising the logistics and supply chain and sourcing the raw materials at low cost (Dixit, 2023). This can also include increasing the production of the product to lower the cost of the product per unit.</w:t>
      </w:r>
    </w:p>
    <w:p w14:paraId="00000053" w14:textId="77777777" w:rsidR="006122D3" w:rsidRPr="008A512A" w:rsidRDefault="00000000">
      <w:pPr>
        <w:spacing w:before="240" w:after="240" w:line="360" w:lineRule="auto"/>
        <w:jc w:val="both"/>
        <w:rPr>
          <w:rFonts w:eastAsia="Times New Roman"/>
        </w:rPr>
      </w:pPr>
      <w:r w:rsidRPr="008A512A">
        <w:rPr>
          <w:rFonts w:eastAsia="Times New Roman"/>
          <w:b/>
        </w:rPr>
        <w:t>Differentiation</w:t>
      </w:r>
      <w:r w:rsidRPr="008A512A">
        <w:rPr>
          <w:rFonts w:eastAsia="Times New Roman"/>
        </w:rPr>
        <w:t>: This can include providing unique products which have innovative designs, stylish attire and emphasise sustainable practices and eco-friendly materials (</w:t>
      </w:r>
      <w:proofErr w:type="spellStart"/>
      <w:r w:rsidRPr="008A512A">
        <w:rPr>
          <w:rFonts w:eastAsia="Times New Roman"/>
        </w:rPr>
        <w:t>Imbwaga</w:t>
      </w:r>
      <w:proofErr w:type="spellEnd"/>
      <w:r w:rsidRPr="008A512A">
        <w:rPr>
          <w:rFonts w:eastAsia="Times New Roman"/>
        </w:rPr>
        <w:t>, 2023). This can allow the business to incorporate other pricing and create brand loyalty as the business focuses on the sustainable and unique food sector.</w:t>
      </w:r>
    </w:p>
    <w:p w14:paraId="00000054" w14:textId="77777777" w:rsidR="006122D3" w:rsidRPr="008A512A" w:rsidRDefault="00000000">
      <w:pPr>
        <w:spacing w:before="240" w:after="240" w:line="360" w:lineRule="auto"/>
        <w:jc w:val="both"/>
        <w:rPr>
          <w:rFonts w:eastAsia="Times New Roman"/>
        </w:rPr>
      </w:pPr>
      <w:r w:rsidRPr="008A512A">
        <w:rPr>
          <w:rFonts w:eastAsia="Times New Roman"/>
          <w:b/>
        </w:rPr>
        <w:t xml:space="preserve">Focus: </w:t>
      </w:r>
      <w:r w:rsidRPr="008A512A">
        <w:rPr>
          <w:rFonts w:eastAsia="Times New Roman"/>
        </w:rPr>
        <w:t>This includes targeting particular niche markets with appropriate strategies for example providing tailored solutions or focusing on particular customer segments.</w:t>
      </w:r>
    </w:p>
    <w:p w14:paraId="00000055" w14:textId="77777777" w:rsidR="006122D3" w:rsidRPr="008A512A" w:rsidRDefault="00000000">
      <w:pPr>
        <w:pStyle w:val="Heading2"/>
        <w:rPr>
          <w:rFonts w:ascii="Arial" w:hAnsi="Arial" w:cs="Arial"/>
          <w:sz w:val="22"/>
          <w:szCs w:val="22"/>
        </w:rPr>
      </w:pPr>
      <w:bookmarkStart w:id="6" w:name="_Toc171328180"/>
      <w:r w:rsidRPr="008A512A">
        <w:rPr>
          <w:rFonts w:ascii="Arial" w:hAnsi="Arial" w:cs="Arial"/>
          <w:sz w:val="22"/>
          <w:szCs w:val="22"/>
        </w:rPr>
        <w:t>Select and justify the best-fit strategy</w:t>
      </w:r>
      <w:bookmarkEnd w:id="6"/>
    </w:p>
    <w:p w14:paraId="00000056" w14:textId="77777777" w:rsidR="006122D3" w:rsidRPr="008A512A" w:rsidRDefault="00000000">
      <w:pPr>
        <w:spacing w:before="240" w:after="240" w:line="360" w:lineRule="auto"/>
        <w:jc w:val="both"/>
        <w:rPr>
          <w:rFonts w:eastAsia="Times New Roman"/>
          <w:b/>
        </w:rPr>
      </w:pPr>
      <w:r w:rsidRPr="008A512A">
        <w:rPr>
          <w:rFonts w:eastAsia="Times New Roman"/>
          <w:b/>
        </w:rPr>
        <w:t>Strategic recommendation</w:t>
      </w:r>
    </w:p>
    <w:p w14:paraId="00000057" w14:textId="77777777" w:rsidR="006122D3" w:rsidRPr="008A512A" w:rsidRDefault="00000000">
      <w:pPr>
        <w:spacing w:before="240" w:after="240" w:line="360" w:lineRule="auto"/>
        <w:jc w:val="both"/>
        <w:rPr>
          <w:rFonts w:eastAsia="Times New Roman"/>
        </w:rPr>
      </w:pPr>
      <w:r w:rsidRPr="008A512A">
        <w:rPr>
          <w:rFonts w:eastAsia="Times New Roman"/>
          <w:b/>
        </w:rPr>
        <w:t xml:space="preserve">Product development: </w:t>
      </w:r>
      <w:r w:rsidRPr="008A512A">
        <w:rPr>
          <w:rFonts w:eastAsia="Times New Roman"/>
        </w:rPr>
        <w:t>This includes continuously enhancing products and launching new product lines. This can support the organisation to keep the portfolio of the product fresh and appealing to attract new customers. This strategy can allow the organisation to stay innovative while operating in a dynamic and ever-changing industry with evolving customer preferences and market trends (</w:t>
      </w:r>
      <w:proofErr w:type="spellStart"/>
      <w:r w:rsidRPr="008A512A">
        <w:rPr>
          <w:rFonts w:eastAsia="Times New Roman"/>
        </w:rPr>
        <w:t>Imbwaga</w:t>
      </w:r>
      <w:proofErr w:type="spellEnd"/>
      <w:r w:rsidRPr="008A512A">
        <w:rPr>
          <w:rFonts w:eastAsia="Times New Roman"/>
        </w:rPr>
        <w:t>, 2023). Product development strategy can allow the organisation to be relevant and innovative towards its product portfolio to meet the changing requirements and demands of the customers. In addition, introducing new lines of products and specialised food diets and smart food filled with nutrition can contribute to the organisation to attract a diverse segment of customers and further increase the market share. Innovative and new products can also drive profitability and high sales which can promote long-term and sustainable business growth and development.</w:t>
      </w:r>
    </w:p>
    <w:p w14:paraId="00000058" w14:textId="77777777" w:rsidR="006122D3" w:rsidRPr="008A512A" w:rsidRDefault="00000000">
      <w:pPr>
        <w:spacing w:before="240" w:after="240" w:line="360" w:lineRule="auto"/>
        <w:jc w:val="both"/>
        <w:rPr>
          <w:rFonts w:eastAsia="Times New Roman"/>
        </w:rPr>
      </w:pPr>
      <w:r w:rsidRPr="008A512A">
        <w:rPr>
          <w:rFonts w:eastAsia="Times New Roman"/>
          <w:b/>
        </w:rPr>
        <w:t xml:space="preserve">Differentiation: </w:t>
      </w:r>
      <w:r w:rsidRPr="008A512A">
        <w:rPr>
          <w:rFonts w:eastAsia="Times New Roman"/>
        </w:rPr>
        <w:t xml:space="preserve">This includes emphasising sustainable and unique designs to maintain a competitive edge which attracts various customers. Further in the growing market where customers are healthier and environmentally focused these strategies enable the organisation to </w:t>
      </w:r>
      <w:r w:rsidRPr="008A512A">
        <w:rPr>
          <w:rFonts w:eastAsia="Times New Roman"/>
        </w:rPr>
        <w:lastRenderedPageBreak/>
        <w:t>cattle specific customers who are willing to pay more for ethical and high-quality products. For that, providing exceptional customer experience and unique products can enhance brand loyalty which is important for ensuring the long-term success and development of the organisation (Dixit, 2023).</w:t>
      </w:r>
    </w:p>
    <w:p w14:paraId="00000059" w14:textId="77777777" w:rsidR="006122D3" w:rsidRPr="008A512A" w:rsidRDefault="00000000">
      <w:pPr>
        <w:pStyle w:val="Heading2"/>
        <w:rPr>
          <w:rFonts w:ascii="Arial" w:hAnsi="Arial" w:cs="Arial"/>
          <w:sz w:val="22"/>
          <w:szCs w:val="22"/>
        </w:rPr>
      </w:pPr>
      <w:bookmarkStart w:id="7" w:name="_Toc171328181"/>
      <w:r w:rsidRPr="008A512A">
        <w:rPr>
          <w:rFonts w:ascii="Arial" w:hAnsi="Arial" w:cs="Arial"/>
          <w:sz w:val="22"/>
          <w:szCs w:val="22"/>
        </w:rPr>
        <w:t>Discuss key strategic recommendations for the organisation for future developments and implementation, considering the challenges SMEs encounter in implementing strategic direction.</w:t>
      </w:r>
      <w:bookmarkEnd w:id="7"/>
    </w:p>
    <w:p w14:paraId="0000005A" w14:textId="77777777" w:rsidR="006122D3" w:rsidRPr="008A512A" w:rsidRDefault="00000000">
      <w:pPr>
        <w:spacing w:before="240" w:after="240" w:line="360" w:lineRule="auto"/>
        <w:jc w:val="both"/>
        <w:rPr>
          <w:rFonts w:eastAsia="Times New Roman"/>
          <w:b/>
        </w:rPr>
      </w:pPr>
      <w:r w:rsidRPr="008A512A">
        <w:rPr>
          <w:rFonts w:eastAsia="Times New Roman"/>
          <w:b/>
        </w:rPr>
        <w:t>Differentiation strategy</w:t>
      </w:r>
    </w:p>
    <w:p w14:paraId="0000005B" w14:textId="77777777" w:rsidR="006122D3" w:rsidRPr="008A512A" w:rsidRDefault="00000000">
      <w:pPr>
        <w:spacing w:before="240" w:after="240" w:line="360" w:lineRule="auto"/>
        <w:jc w:val="both"/>
        <w:rPr>
          <w:rFonts w:eastAsia="Times New Roman"/>
        </w:rPr>
      </w:pPr>
      <w:r w:rsidRPr="008A512A">
        <w:rPr>
          <w:rFonts w:eastAsia="Times New Roman"/>
          <w:b/>
        </w:rPr>
        <w:t xml:space="preserve">Actions steps: </w:t>
      </w:r>
      <w:r w:rsidRPr="008A512A">
        <w:rPr>
          <w:rFonts w:eastAsia="Times New Roman"/>
        </w:rPr>
        <w:t>Rude Health can conduct an involvement in market research to navigate references of customers and identify market trends in the food sector. This can also include investing towards research and development to cultivate technology as new materials that improve the sustainability and performance of organisations (Turek-</w:t>
      </w:r>
      <w:proofErr w:type="spellStart"/>
      <w:r w:rsidRPr="008A512A">
        <w:rPr>
          <w:rFonts w:eastAsia="Times New Roman"/>
        </w:rPr>
        <w:t>Rahoveanu</w:t>
      </w:r>
      <w:proofErr w:type="spellEnd"/>
      <w:r w:rsidRPr="008A512A">
        <w:rPr>
          <w:rFonts w:eastAsia="Times New Roman"/>
        </w:rPr>
        <w:t xml:space="preserve"> and Pascal, 2023). Further, the organisation can partner with health institutions and influencers to cultivate unique food options in this sector. The strategy also includes implementing robust control measures for maintaining quality ensuring excellent consistency and offerings of the product.</w:t>
      </w:r>
    </w:p>
    <w:p w14:paraId="0000005C" w14:textId="77777777" w:rsidR="006122D3" w:rsidRPr="008A512A" w:rsidRDefault="00000000">
      <w:pPr>
        <w:spacing w:before="240" w:after="240" w:line="360" w:lineRule="auto"/>
        <w:jc w:val="both"/>
        <w:rPr>
          <w:rFonts w:eastAsia="Times New Roman"/>
          <w:b/>
        </w:rPr>
      </w:pPr>
      <w:r w:rsidRPr="008A512A">
        <w:rPr>
          <w:rFonts w:eastAsia="Times New Roman"/>
          <w:b/>
        </w:rPr>
        <w:t>Product development strategy</w:t>
      </w:r>
    </w:p>
    <w:p w14:paraId="0000005D" w14:textId="495B9F35" w:rsidR="006122D3" w:rsidRPr="008A512A" w:rsidRDefault="00000000">
      <w:pPr>
        <w:spacing w:before="240" w:after="240" w:line="360" w:lineRule="auto"/>
        <w:jc w:val="both"/>
        <w:rPr>
          <w:rFonts w:eastAsia="Times New Roman"/>
        </w:rPr>
      </w:pPr>
      <w:r w:rsidRPr="008A512A">
        <w:rPr>
          <w:rFonts w:eastAsia="Times New Roman"/>
          <w:b/>
        </w:rPr>
        <w:t xml:space="preserve">Action steps: </w:t>
      </w:r>
      <w:r w:rsidRPr="008A512A">
        <w:rPr>
          <w:rFonts w:eastAsia="Times New Roman"/>
        </w:rPr>
        <w:t xml:space="preserve">This includes building a team of product development comprising production experts, research and development and marketing experts. This also includes setting clear milestones, testing, ideation and prototyping testing (van de Ven </w:t>
      </w:r>
      <w:r w:rsidRPr="008A512A">
        <w:rPr>
          <w:rFonts w:eastAsia="Times New Roman"/>
          <w:i/>
        </w:rPr>
        <w:t xml:space="preserve">et al., </w:t>
      </w:r>
      <w:r w:rsidRPr="008A512A">
        <w:rPr>
          <w:rFonts w:eastAsia="Times New Roman"/>
        </w:rPr>
        <w:t>2023)</w:t>
      </w:r>
      <w:r w:rsidR="00972DCC" w:rsidRPr="008A512A">
        <w:rPr>
          <w:rFonts w:eastAsia="Times New Roman"/>
        </w:rPr>
        <w:t xml:space="preserve">, </w:t>
      </w:r>
      <w:r w:rsidRPr="008A512A">
        <w:rPr>
          <w:rFonts w:eastAsia="Times New Roman"/>
        </w:rPr>
        <w:t>leveraging market analytics and customer feedback to improve and iterate products continuously</w:t>
      </w:r>
      <w:r w:rsidR="00972DCC" w:rsidRPr="008A512A">
        <w:rPr>
          <w:rFonts w:eastAsia="Times New Roman"/>
        </w:rPr>
        <w:t xml:space="preserve">, </w:t>
      </w:r>
      <w:r w:rsidRPr="008A512A">
        <w:rPr>
          <w:rFonts w:eastAsia="Times New Roman"/>
        </w:rPr>
        <w:t xml:space="preserve">conducting feedback sessions regularly with beta testers and </w:t>
      </w:r>
      <w:r w:rsidR="00972DCC" w:rsidRPr="008A512A">
        <w:rPr>
          <w:rFonts w:eastAsia="Times New Roman"/>
        </w:rPr>
        <w:t>f</w:t>
      </w:r>
      <w:r w:rsidRPr="008A512A">
        <w:rPr>
          <w:rFonts w:eastAsia="Times New Roman"/>
        </w:rPr>
        <w:t>ocus groups to refine functionalities and features. Further setting clear milestones and timelines can also support achieving product development strategy.</w:t>
      </w:r>
    </w:p>
    <w:p w14:paraId="0000005E" w14:textId="77777777" w:rsidR="006122D3" w:rsidRPr="008A512A" w:rsidRDefault="00000000">
      <w:pPr>
        <w:spacing w:before="240" w:after="240" w:line="360" w:lineRule="auto"/>
        <w:jc w:val="both"/>
        <w:rPr>
          <w:rFonts w:eastAsia="Times New Roman"/>
          <w:b/>
        </w:rPr>
      </w:pPr>
      <w:r w:rsidRPr="008A512A">
        <w:rPr>
          <w:rFonts w:eastAsia="Times New Roman"/>
          <w:b/>
        </w:rPr>
        <w:t>Monitoring techniques</w:t>
      </w:r>
    </w:p>
    <w:p w14:paraId="0000005F" w14:textId="77777777" w:rsidR="006122D3" w:rsidRPr="008A512A" w:rsidRDefault="00000000">
      <w:pPr>
        <w:spacing w:before="240" w:after="240" w:line="360" w:lineRule="auto"/>
        <w:jc w:val="both"/>
        <w:rPr>
          <w:rFonts w:eastAsia="Times New Roman"/>
        </w:rPr>
      </w:pPr>
      <w:r w:rsidRPr="008A512A">
        <w:rPr>
          <w:rFonts w:eastAsia="Times New Roman"/>
          <w:b/>
        </w:rPr>
        <w:t xml:space="preserve">KPI: </w:t>
      </w:r>
      <w:r w:rsidRPr="008A512A">
        <w:rPr>
          <w:rFonts w:eastAsia="Times New Roman"/>
        </w:rPr>
        <w:t>Product innovation rate is the percentage which is generated from the revenue from the launched product within the past 12 months. Regular service can be conducted to gather data on customer satisfaction regarding sustainability features product quality and design. Further return on investment for research and development can also be an effective KPI (Aithal and Aithal, 2023). On the other hand, the organisation can monitor market share growth by comparing it to other competitors in food sector segments.</w:t>
      </w:r>
    </w:p>
    <w:p w14:paraId="00000060" w14:textId="77777777" w:rsidR="006122D3" w:rsidRPr="008A512A" w:rsidRDefault="00000000">
      <w:pPr>
        <w:spacing w:before="240" w:after="240" w:line="360" w:lineRule="auto"/>
        <w:jc w:val="both"/>
        <w:rPr>
          <w:rFonts w:eastAsia="Times New Roman"/>
          <w:b/>
        </w:rPr>
      </w:pPr>
      <w:r w:rsidRPr="008A512A">
        <w:rPr>
          <w:rFonts w:eastAsia="Times New Roman"/>
          <w:b/>
        </w:rPr>
        <w:lastRenderedPageBreak/>
        <w:t>Balanced scorecard approach</w:t>
      </w:r>
    </w:p>
    <w:p w14:paraId="00000061" w14:textId="77777777" w:rsidR="006122D3" w:rsidRPr="008A512A" w:rsidRDefault="00000000">
      <w:pPr>
        <w:spacing w:before="240" w:after="240" w:line="360" w:lineRule="auto"/>
        <w:jc w:val="both"/>
        <w:rPr>
          <w:rFonts w:eastAsia="Times New Roman"/>
        </w:rPr>
      </w:pPr>
      <w:r w:rsidRPr="008A512A">
        <w:rPr>
          <w:rFonts w:eastAsia="Times New Roman"/>
          <w:b/>
        </w:rPr>
        <w:t xml:space="preserve">Financial perspective: </w:t>
      </w:r>
      <w:r w:rsidRPr="008A512A">
        <w:rPr>
          <w:rFonts w:eastAsia="Times New Roman"/>
        </w:rPr>
        <w:t>This includes monitoring the growth of revenue and ROI from investment.</w:t>
      </w:r>
    </w:p>
    <w:p w14:paraId="00000062" w14:textId="77777777" w:rsidR="006122D3" w:rsidRPr="008A512A" w:rsidRDefault="00000000">
      <w:pPr>
        <w:spacing w:before="240" w:after="240" w:line="360" w:lineRule="auto"/>
        <w:jc w:val="both"/>
        <w:rPr>
          <w:rFonts w:eastAsia="Times New Roman"/>
        </w:rPr>
      </w:pPr>
      <w:r w:rsidRPr="008A512A">
        <w:rPr>
          <w:rFonts w:eastAsia="Times New Roman"/>
          <w:b/>
        </w:rPr>
        <w:t xml:space="preserve">Customer perspective: </w:t>
      </w:r>
      <w:r w:rsidRPr="008A512A">
        <w:rPr>
          <w:rFonts w:eastAsia="Times New Roman"/>
        </w:rPr>
        <w:t>This includes tracking repeat purchase rates and customer satisfaction scores.</w:t>
      </w:r>
    </w:p>
    <w:p w14:paraId="00000063" w14:textId="77777777" w:rsidR="006122D3" w:rsidRPr="008A512A" w:rsidRDefault="00000000">
      <w:pPr>
        <w:spacing w:before="240" w:after="240" w:line="360" w:lineRule="auto"/>
        <w:jc w:val="both"/>
        <w:rPr>
          <w:rFonts w:eastAsia="Times New Roman"/>
        </w:rPr>
      </w:pPr>
      <w:r w:rsidRPr="008A512A">
        <w:rPr>
          <w:rFonts w:eastAsia="Times New Roman"/>
          <w:b/>
        </w:rPr>
        <w:t xml:space="preserve">Internal business process: </w:t>
      </w:r>
      <w:r w:rsidRPr="008A512A">
        <w:rPr>
          <w:rFonts w:eastAsia="Times New Roman"/>
        </w:rPr>
        <w:t>This includes assessing the product development timeline efficiency and quality process control.</w:t>
      </w:r>
    </w:p>
    <w:p w14:paraId="00000064" w14:textId="77777777" w:rsidR="006122D3" w:rsidRPr="008A512A" w:rsidRDefault="00000000">
      <w:pPr>
        <w:spacing w:before="240" w:after="240" w:line="360" w:lineRule="auto"/>
        <w:jc w:val="both"/>
        <w:rPr>
          <w:rFonts w:eastAsia="Times New Roman"/>
        </w:rPr>
      </w:pPr>
      <w:r w:rsidRPr="008A512A">
        <w:rPr>
          <w:rFonts w:eastAsia="Times New Roman"/>
          <w:b/>
        </w:rPr>
        <w:t xml:space="preserve">Growth and learning perspective: </w:t>
      </w:r>
      <w:r w:rsidRPr="008A512A">
        <w:rPr>
          <w:rFonts w:eastAsia="Times New Roman"/>
        </w:rPr>
        <w:t xml:space="preserve">Measuring capability and employee satisfaction in sustainability and innovation practice (van de Ven </w:t>
      </w:r>
      <w:r w:rsidRPr="008A512A">
        <w:rPr>
          <w:rFonts w:eastAsia="Times New Roman"/>
          <w:i/>
        </w:rPr>
        <w:t xml:space="preserve">et al., </w:t>
      </w:r>
      <w:r w:rsidRPr="008A512A">
        <w:rPr>
          <w:rFonts w:eastAsia="Times New Roman"/>
        </w:rPr>
        <w:t>2023).</w:t>
      </w:r>
    </w:p>
    <w:p w14:paraId="00000065" w14:textId="77777777" w:rsidR="006122D3" w:rsidRPr="008A512A" w:rsidRDefault="00000000">
      <w:pPr>
        <w:spacing w:before="240" w:after="240" w:line="360" w:lineRule="auto"/>
        <w:jc w:val="both"/>
        <w:rPr>
          <w:rFonts w:eastAsia="Times New Roman"/>
          <w:b/>
        </w:rPr>
      </w:pPr>
      <w:r w:rsidRPr="008A512A">
        <w:rPr>
          <w:rFonts w:eastAsia="Times New Roman"/>
          <w:b/>
        </w:rPr>
        <w:t>Implementation Timeline</w:t>
      </w:r>
    </w:p>
    <w:p w14:paraId="00000066" w14:textId="77777777" w:rsidR="006122D3" w:rsidRPr="008A512A" w:rsidRDefault="00000000">
      <w:pPr>
        <w:spacing w:before="240" w:after="240" w:line="360" w:lineRule="auto"/>
        <w:jc w:val="both"/>
        <w:rPr>
          <w:rFonts w:eastAsia="Times New Roman"/>
        </w:rPr>
      </w:pPr>
      <w:r w:rsidRPr="008A512A">
        <w:rPr>
          <w:rFonts w:eastAsia="Times New Roman"/>
          <w:b/>
        </w:rPr>
        <w:t xml:space="preserve">Phase 1: </w:t>
      </w:r>
      <w:r w:rsidRPr="008A512A">
        <w:rPr>
          <w:rFonts w:eastAsia="Times New Roman"/>
        </w:rPr>
        <w:t>In the initial 3 months the business will build a product development team and execute initial market research.</w:t>
      </w:r>
    </w:p>
    <w:p w14:paraId="00000067" w14:textId="77777777" w:rsidR="006122D3" w:rsidRPr="008A512A" w:rsidRDefault="00000000">
      <w:pPr>
        <w:spacing w:before="240" w:after="240" w:line="360" w:lineRule="auto"/>
        <w:jc w:val="both"/>
        <w:rPr>
          <w:rFonts w:eastAsia="Times New Roman"/>
        </w:rPr>
      </w:pPr>
      <w:r w:rsidRPr="008A512A">
        <w:rPr>
          <w:rFonts w:eastAsia="Times New Roman"/>
          <w:b/>
        </w:rPr>
        <w:t xml:space="preserve">Phase 2: </w:t>
      </w:r>
      <w:r w:rsidRPr="008A512A">
        <w:rPr>
          <w:rFonts w:eastAsia="Times New Roman"/>
        </w:rPr>
        <w:t>After the three months of product launch the organisation will be involved in prototype development and resource and development efforts on the basis of market insights (Aithal and Aithal, 2023).</w:t>
      </w:r>
    </w:p>
    <w:p w14:paraId="00000068" w14:textId="77777777" w:rsidR="006122D3" w:rsidRPr="008A512A" w:rsidRDefault="00000000">
      <w:pPr>
        <w:spacing w:before="240" w:after="240" w:line="360" w:lineRule="auto"/>
        <w:jc w:val="both"/>
        <w:rPr>
          <w:rFonts w:eastAsia="Times New Roman"/>
        </w:rPr>
      </w:pPr>
      <w:r w:rsidRPr="008A512A">
        <w:rPr>
          <w:rFonts w:eastAsia="Times New Roman"/>
          <w:b/>
        </w:rPr>
        <w:t xml:space="preserve">Phase 3: </w:t>
      </w:r>
      <w:r w:rsidRPr="008A512A">
        <w:rPr>
          <w:rFonts w:eastAsia="Times New Roman"/>
        </w:rPr>
        <w:t>This includes testing prototypes with refined design and focus groups on the basis of reviews and feedback collected.</w:t>
      </w:r>
    </w:p>
    <w:p w14:paraId="00000069" w14:textId="77777777" w:rsidR="006122D3" w:rsidRPr="008A512A" w:rsidRDefault="00000000">
      <w:pPr>
        <w:spacing w:before="240" w:after="240" w:line="360" w:lineRule="auto"/>
        <w:jc w:val="both"/>
        <w:rPr>
          <w:rFonts w:eastAsia="Times New Roman"/>
        </w:rPr>
      </w:pPr>
      <w:r w:rsidRPr="008A512A">
        <w:rPr>
          <w:rFonts w:eastAsia="Times New Roman"/>
          <w:b/>
        </w:rPr>
        <w:t xml:space="preserve">Phase 4: </w:t>
      </w:r>
      <w:r w:rsidRPr="008A512A">
        <w:rPr>
          <w:rFonts w:eastAsia="Times New Roman"/>
        </w:rPr>
        <w:t>This will include launching new products after initial post-launch feedback collection and monitoring into the market.</w:t>
      </w:r>
    </w:p>
    <w:p w14:paraId="2F4450AB" w14:textId="77777777" w:rsidR="00972DCC" w:rsidRPr="008A512A" w:rsidRDefault="00972DCC">
      <w:pPr>
        <w:spacing w:before="240" w:after="240" w:line="360" w:lineRule="auto"/>
        <w:jc w:val="both"/>
        <w:rPr>
          <w:rFonts w:eastAsia="Times New Roman"/>
        </w:rPr>
      </w:pPr>
    </w:p>
    <w:p w14:paraId="0000006A" w14:textId="77777777" w:rsidR="006122D3" w:rsidRPr="008A512A" w:rsidRDefault="00000000">
      <w:pPr>
        <w:pStyle w:val="Heading2"/>
        <w:rPr>
          <w:rFonts w:ascii="Arial" w:hAnsi="Arial" w:cs="Arial"/>
          <w:sz w:val="22"/>
          <w:szCs w:val="22"/>
        </w:rPr>
      </w:pPr>
      <w:bookmarkStart w:id="8" w:name="_Toc171328182"/>
      <w:r w:rsidRPr="008A512A">
        <w:rPr>
          <w:rFonts w:ascii="Arial" w:hAnsi="Arial" w:cs="Arial"/>
          <w:sz w:val="22"/>
          <w:szCs w:val="22"/>
        </w:rPr>
        <w:t>Conclusion</w:t>
      </w:r>
      <w:bookmarkEnd w:id="8"/>
    </w:p>
    <w:p w14:paraId="0000006B" w14:textId="77777777" w:rsidR="006122D3" w:rsidRPr="008A512A" w:rsidRDefault="00000000">
      <w:pPr>
        <w:spacing w:before="240" w:after="240" w:line="360" w:lineRule="auto"/>
        <w:jc w:val="both"/>
        <w:rPr>
          <w:rFonts w:eastAsia="Times New Roman"/>
        </w:rPr>
      </w:pPr>
      <w:r w:rsidRPr="008A512A">
        <w:rPr>
          <w:rFonts w:eastAsia="Times New Roman"/>
        </w:rPr>
        <w:t>The study has presented the business of the food business, where different frameworks and models have contributed to showcase the requirement of adjustment which allows the business to tailor their products and services while operating in the competitive business landscape.</w:t>
      </w:r>
    </w:p>
    <w:p w14:paraId="0000006C" w14:textId="77777777" w:rsidR="006122D3" w:rsidRPr="008A512A" w:rsidRDefault="00000000">
      <w:pPr>
        <w:pStyle w:val="Heading1"/>
        <w:rPr>
          <w:rFonts w:ascii="Arial" w:hAnsi="Arial" w:cs="Arial"/>
          <w:sz w:val="22"/>
          <w:szCs w:val="22"/>
        </w:rPr>
      </w:pPr>
      <w:bookmarkStart w:id="9" w:name="_heading=h.3rdcrjn" w:colFirst="0" w:colLast="0"/>
      <w:bookmarkEnd w:id="9"/>
      <w:r w:rsidRPr="008A512A">
        <w:rPr>
          <w:rFonts w:ascii="Arial" w:hAnsi="Arial" w:cs="Arial"/>
          <w:sz w:val="22"/>
          <w:szCs w:val="22"/>
        </w:rPr>
        <w:br w:type="page"/>
      </w:r>
    </w:p>
    <w:p w14:paraId="0000006D" w14:textId="77777777" w:rsidR="006122D3" w:rsidRPr="008A512A" w:rsidRDefault="00000000">
      <w:pPr>
        <w:pStyle w:val="Heading1"/>
        <w:rPr>
          <w:rFonts w:ascii="Arial" w:hAnsi="Arial" w:cs="Arial"/>
          <w:sz w:val="22"/>
          <w:szCs w:val="22"/>
        </w:rPr>
      </w:pPr>
      <w:bookmarkStart w:id="10" w:name="_Toc171328183"/>
      <w:r w:rsidRPr="008A512A">
        <w:rPr>
          <w:rFonts w:ascii="Arial" w:hAnsi="Arial" w:cs="Arial"/>
          <w:sz w:val="22"/>
          <w:szCs w:val="22"/>
        </w:rPr>
        <w:lastRenderedPageBreak/>
        <w:t>References</w:t>
      </w:r>
      <w:bookmarkEnd w:id="10"/>
    </w:p>
    <w:p w14:paraId="0000006E" w14:textId="77777777" w:rsidR="006122D3" w:rsidRPr="008A512A" w:rsidRDefault="00000000">
      <w:pPr>
        <w:spacing w:line="360" w:lineRule="auto"/>
        <w:jc w:val="both"/>
        <w:rPr>
          <w:rFonts w:eastAsia="Times New Roman"/>
          <w:highlight w:val="white"/>
        </w:rPr>
      </w:pPr>
      <w:r w:rsidRPr="008A512A">
        <w:rPr>
          <w:rFonts w:eastAsia="Times New Roman"/>
          <w:highlight w:val="white"/>
        </w:rPr>
        <w:t xml:space="preserve">Aithal, P.S. and Aithal, S., (2023). Key Performance Indicators (KPI) for Researchers at Different Levels &amp; Strategies to Achieve it. </w:t>
      </w:r>
      <w:r w:rsidRPr="008A512A">
        <w:rPr>
          <w:rFonts w:eastAsia="Times New Roman"/>
          <w:i/>
          <w:highlight w:val="white"/>
        </w:rPr>
        <w:t>International Journal of Management, Technology, and Social Sciences (IJMTS)</w:t>
      </w:r>
      <w:r w:rsidRPr="008A512A">
        <w:rPr>
          <w:rFonts w:eastAsia="Times New Roman"/>
          <w:highlight w:val="white"/>
        </w:rPr>
        <w:t xml:space="preserve">, </w:t>
      </w:r>
      <w:r w:rsidRPr="008A512A">
        <w:rPr>
          <w:rFonts w:eastAsia="Times New Roman"/>
          <w:i/>
          <w:highlight w:val="white"/>
        </w:rPr>
        <w:t>8</w:t>
      </w:r>
      <w:r w:rsidRPr="008A512A">
        <w:rPr>
          <w:rFonts w:eastAsia="Times New Roman"/>
          <w:highlight w:val="white"/>
        </w:rPr>
        <w:t>(3), pp.294-325.</w:t>
      </w:r>
    </w:p>
    <w:p w14:paraId="0000006F" w14:textId="77777777" w:rsidR="006122D3" w:rsidRPr="008A512A" w:rsidRDefault="00000000">
      <w:pPr>
        <w:spacing w:line="360" w:lineRule="auto"/>
        <w:jc w:val="both"/>
        <w:rPr>
          <w:rFonts w:eastAsia="Times New Roman"/>
          <w:highlight w:val="white"/>
        </w:rPr>
      </w:pPr>
      <w:proofErr w:type="spellStart"/>
      <w:r w:rsidRPr="008A512A">
        <w:rPr>
          <w:rFonts w:eastAsia="Times New Roman"/>
          <w:highlight w:val="white"/>
        </w:rPr>
        <w:t>Chanthes</w:t>
      </w:r>
      <w:proofErr w:type="spellEnd"/>
      <w:r w:rsidRPr="008A512A">
        <w:rPr>
          <w:rFonts w:eastAsia="Times New Roman"/>
          <w:highlight w:val="white"/>
        </w:rPr>
        <w:t xml:space="preserve">, S., </w:t>
      </w:r>
      <w:proofErr w:type="spellStart"/>
      <w:r w:rsidRPr="008A512A">
        <w:rPr>
          <w:rFonts w:eastAsia="Times New Roman"/>
          <w:highlight w:val="white"/>
        </w:rPr>
        <w:t>Sawangloke</w:t>
      </w:r>
      <w:proofErr w:type="spellEnd"/>
      <w:r w:rsidRPr="008A512A">
        <w:rPr>
          <w:rFonts w:eastAsia="Times New Roman"/>
          <w:highlight w:val="white"/>
        </w:rPr>
        <w:t xml:space="preserve">, W., </w:t>
      </w:r>
      <w:proofErr w:type="spellStart"/>
      <w:r w:rsidRPr="008A512A">
        <w:rPr>
          <w:rFonts w:eastAsia="Times New Roman"/>
          <w:highlight w:val="white"/>
        </w:rPr>
        <w:t>Pattiya</w:t>
      </w:r>
      <w:proofErr w:type="spellEnd"/>
      <w:r w:rsidRPr="008A512A">
        <w:rPr>
          <w:rFonts w:eastAsia="Times New Roman"/>
          <w:highlight w:val="white"/>
        </w:rPr>
        <w:t xml:space="preserve">, A. and </w:t>
      </w:r>
      <w:proofErr w:type="spellStart"/>
      <w:r w:rsidRPr="008A512A">
        <w:rPr>
          <w:rFonts w:eastAsia="Times New Roman"/>
          <w:highlight w:val="white"/>
        </w:rPr>
        <w:t>Srithep</w:t>
      </w:r>
      <w:proofErr w:type="spellEnd"/>
      <w:r w:rsidRPr="008A512A">
        <w:rPr>
          <w:rFonts w:eastAsia="Times New Roman"/>
          <w:highlight w:val="white"/>
        </w:rPr>
        <w:t xml:space="preserve">, Y., (2023). Towards Sustainable Downstream Production: Upstream Innovation and Business Model Development for Low-Graded Ribbed Smoked Sheet Natural Rubber in Thailand. </w:t>
      </w:r>
      <w:r w:rsidRPr="008A512A">
        <w:rPr>
          <w:rFonts w:eastAsia="Times New Roman"/>
          <w:i/>
          <w:highlight w:val="white"/>
        </w:rPr>
        <w:t>Journal of Law and Sustainable Development</w:t>
      </w:r>
      <w:r w:rsidRPr="008A512A">
        <w:rPr>
          <w:rFonts w:eastAsia="Times New Roman"/>
          <w:highlight w:val="white"/>
        </w:rPr>
        <w:t xml:space="preserve">, </w:t>
      </w:r>
      <w:r w:rsidRPr="008A512A">
        <w:rPr>
          <w:rFonts w:eastAsia="Times New Roman"/>
          <w:i/>
          <w:highlight w:val="white"/>
        </w:rPr>
        <w:t>11</w:t>
      </w:r>
      <w:r w:rsidRPr="008A512A">
        <w:rPr>
          <w:rFonts w:eastAsia="Times New Roman"/>
          <w:highlight w:val="white"/>
        </w:rPr>
        <w:t xml:space="preserve">(7), </w:t>
      </w:r>
      <w:proofErr w:type="gramStart"/>
      <w:r w:rsidRPr="008A512A">
        <w:rPr>
          <w:rFonts w:eastAsia="Times New Roman"/>
          <w:highlight w:val="white"/>
        </w:rPr>
        <w:t>pp.e</w:t>
      </w:r>
      <w:proofErr w:type="gramEnd"/>
      <w:r w:rsidRPr="008A512A">
        <w:rPr>
          <w:rFonts w:eastAsia="Times New Roman"/>
          <w:highlight w:val="white"/>
        </w:rPr>
        <w:t>907-e907.</w:t>
      </w:r>
    </w:p>
    <w:p w14:paraId="00000070" w14:textId="77777777" w:rsidR="006122D3" w:rsidRPr="008A512A" w:rsidRDefault="00000000">
      <w:pPr>
        <w:spacing w:line="360" w:lineRule="auto"/>
        <w:jc w:val="both"/>
        <w:rPr>
          <w:rFonts w:eastAsia="Times New Roman"/>
          <w:highlight w:val="white"/>
        </w:rPr>
      </w:pPr>
      <w:proofErr w:type="spellStart"/>
      <w:r w:rsidRPr="008A512A">
        <w:rPr>
          <w:rFonts w:eastAsia="Times New Roman"/>
          <w:highlight w:val="white"/>
        </w:rPr>
        <w:t>Dalirazar</w:t>
      </w:r>
      <w:proofErr w:type="spellEnd"/>
      <w:r w:rsidRPr="008A512A">
        <w:rPr>
          <w:rFonts w:eastAsia="Times New Roman"/>
          <w:highlight w:val="white"/>
        </w:rPr>
        <w:t xml:space="preserve">, S. and Sabzi, Z., (2023). Strategic analysis of barriers and solutions to development of sustainable buildings using PESTLE technique. </w:t>
      </w:r>
      <w:r w:rsidRPr="008A512A">
        <w:rPr>
          <w:rFonts w:eastAsia="Times New Roman"/>
          <w:i/>
          <w:highlight w:val="white"/>
        </w:rPr>
        <w:t>International Journal of Construction Management</w:t>
      </w:r>
      <w:r w:rsidRPr="008A512A">
        <w:rPr>
          <w:rFonts w:eastAsia="Times New Roman"/>
          <w:highlight w:val="white"/>
        </w:rPr>
        <w:t xml:space="preserve">, </w:t>
      </w:r>
      <w:r w:rsidRPr="008A512A">
        <w:rPr>
          <w:rFonts w:eastAsia="Times New Roman"/>
          <w:i/>
          <w:highlight w:val="white"/>
        </w:rPr>
        <w:t>23</w:t>
      </w:r>
      <w:r w:rsidRPr="008A512A">
        <w:rPr>
          <w:rFonts w:eastAsia="Times New Roman"/>
          <w:highlight w:val="white"/>
        </w:rPr>
        <w:t>(1), pp.167-181.</w:t>
      </w:r>
    </w:p>
    <w:p w14:paraId="00000071" w14:textId="77777777" w:rsidR="006122D3" w:rsidRPr="008A512A" w:rsidRDefault="00000000">
      <w:pPr>
        <w:spacing w:line="360" w:lineRule="auto"/>
        <w:jc w:val="both"/>
        <w:rPr>
          <w:rFonts w:eastAsia="Times New Roman"/>
          <w:highlight w:val="white"/>
        </w:rPr>
      </w:pPr>
      <w:r w:rsidRPr="008A512A">
        <w:rPr>
          <w:rFonts w:eastAsia="Times New Roman"/>
          <w:highlight w:val="white"/>
        </w:rPr>
        <w:t xml:space="preserve">Dixit, A.S., (2023). Exploring HR practitioner’s perspective on linking of employer branding and porter’s generic strategies: an alignment of business and HR strategy. </w:t>
      </w:r>
      <w:r w:rsidRPr="008A512A">
        <w:rPr>
          <w:rFonts w:eastAsia="Times New Roman"/>
          <w:i/>
          <w:highlight w:val="white"/>
        </w:rPr>
        <w:t>International Journal of Organizational Analysis</w:t>
      </w:r>
      <w:r w:rsidRPr="008A512A">
        <w:rPr>
          <w:rFonts w:eastAsia="Times New Roman"/>
          <w:highlight w:val="white"/>
        </w:rPr>
        <w:t>.</w:t>
      </w:r>
    </w:p>
    <w:p w14:paraId="00000072" w14:textId="77777777" w:rsidR="006122D3" w:rsidRPr="008A512A" w:rsidRDefault="00000000">
      <w:pPr>
        <w:spacing w:line="360" w:lineRule="auto"/>
        <w:jc w:val="both"/>
        <w:rPr>
          <w:rFonts w:eastAsia="Times New Roman"/>
          <w:highlight w:val="white"/>
        </w:rPr>
      </w:pPr>
      <w:proofErr w:type="spellStart"/>
      <w:r w:rsidRPr="008A512A">
        <w:rPr>
          <w:rFonts w:eastAsia="Times New Roman"/>
          <w:highlight w:val="white"/>
        </w:rPr>
        <w:t>Imbwaga</w:t>
      </w:r>
      <w:proofErr w:type="spellEnd"/>
      <w:r w:rsidRPr="008A512A">
        <w:rPr>
          <w:rFonts w:eastAsia="Times New Roman"/>
          <w:highlight w:val="white"/>
        </w:rPr>
        <w:t xml:space="preserve">, E., (2023). Effect of Porter's Generic Strategies on Firm Performance of Tyre Dealers in Nairobi County, Kenya. </w:t>
      </w:r>
      <w:proofErr w:type="spellStart"/>
      <w:r w:rsidRPr="008A512A">
        <w:rPr>
          <w:rFonts w:eastAsia="Times New Roman"/>
          <w:i/>
          <w:highlight w:val="white"/>
        </w:rPr>
        <w:t>Kabarak</w:t>
      </w:r>
      <w:proofErr w:type="spellEnd"/>
      <w:r w:rsidRPr="008A512A">
        <w:rPr>
          <w:rFonts w:eastAsia="Times New Roman"/>
          <w:i/>
          <w:highlight w:val="white"/>
        </w:rPr>
        <w:t xml:space="preserve"> Journal of Research &amp; Innovation</w:t>
      </w:r>
      <w:r w:rsidRPr="008A512A">
        <w:rPr>
          <w:rFonts w:eastAsia="Times New Roman"/>
          <w:highlight w:val="white"/>
        </w:rPr>
        <w:t xml:space="preserve">, </w:t>
      </w:r>
      <w:r w:rsidRPr="008A512A">
        <w:rPr>
          <w:rFonts w:eastAsia="Times New Roman"/>
          <w:i/>
          <w:highlight w:val="white"/>
        </w:rPr>
        <w:t>13</w:t>
      </w:r>
      <w:r w:rsidRPr="008A512A">
        <w:rPr>
          <w:rFonts w:eastAsia="Times New Roman"/>
          <w:highlight w:val="white"/>
        </w:rPr>
        <w:t>(4), pp.1-14.</w:t>
      </w:r>
    </w:p>
    <w:p w14:paraId="00000073" w14:textId="77777777" w:rsidR="006122D3" w:rsidRPr="008A512A" w:rsidRDefault="00000000">
      <w:pPr>
        <w:spacing w:line="360" w:lineRule="auto"/>
        <w:jc w:val="both"/>
        <w:rPr>
          <w:rFonts w:eastAsia="Times New Roman"/>
          <w:highlight w:val="white"/>
        </w:rPr>
      </w:pPr>
      <w:r w:rsidRPr="008A512A">
        <w:rPr>
          <w:rFonts w:eastAsia="Times New Roman"/>
          <w:highlight w:val="white"/>
        </w:rPr>
        <w:t>Juárez-</w:t>
      </w:r>
      <w:proofErr w:type="spellStart"/>
      <w:r w:rsidRPr="008A512A">
        <w:rPr>
          <w:rFonts w:eastAsia="Times New Roman"/>
          <w:highlight w:val="white"/>
        </w:rPr>
        <w:t>Varón</w:t>
      </w:r>
      <w:proofErr w:type="spellEnd"/>
      <w:r w:rsidRPr="008A512A">
        <w:rPr>
          <w:rFonts w:eastAsia="Times New Roman"/>
          <w:highlight w:val="white"/>
        </w:rPr>
        <w:t xml:space="preserve">, D., </w:t>
      </w:r>
      <w:proofErr w:type="spellStart"/>
      <w:r w:rsidRPr="008A512A">
        <w:rPr>
          <w:rFonts w:eastAsia="Times New Roman"/>
          <w:highlight w:val="white"/>
        </w:rPr>
        <w:t>Mengual-Recuerda</w:t>
      </w:r>
      <w:proofErr w:type="spellEnd"/>
      <w:r w:rsidRPr="008A512A">
        <w:rPr>
          <w:rFonts w:eastAsia="Times New Roman"/>
          <w:highlight w:val="white"/>
        </w:rPr>
        <w:t xml:space="preserve">, A., Capatina, A. and </w:t>
      </w:r>
      <w:proofErr w:type="spellStart"/>
      <w:r w:rsidRPr="008A512A">
        <w:rPr>
          <w:rFonts w:eastAsia="Times New Roman"/>
          <w:highlight w:val="white"/>
        </w:rPr>
        <w:t>Cansado</w:t>
      </w:r>
      <w:proofErr w:type="spellEnd"/>
      <w:r w:rsidRPr="008A512A">
        <w:rPr>
          <w:rFonts w:eastAsia="Times New Roman"/>
          <w:highlight w:val="white"/>
        </w:rPr>
        <w:t xml:space="preserve">, M.N., (2023). food sector consumer </w:t>
      </w:r>
      <w:proofErr w:type="spellStart"/>
      <w:r w:rsidRPr="008A512A">
        <w:rPr>
          <w:rFonts w:eastAsia="Times New Roman"/>
          <w:highlight w:val="white"/>
        </w:rPr>
        <w:t>behavior</w:t>
      </w:r>
      <w:proofErr w:type="spellEnd"/>
      <w:r w:rsidRPr="008A512A">
        <w:rPr>
          <w:rFonts w:eastAsia="Times New Roman"/>
          <w:highlight w:val="white"/>
        </w:rPr>
        <w:t xml:space="preserve">: The influence of stimuli on emotions and decision making. </w:t>
      </w:r>
      <w:r w:rsidRPr="008A512A">
        <w:rPr>
          <w:rFonts w:eastAsia="Times New Roman"/>
          <w:i/>
          <w:highlight w:val="white"/>
        </w:rPr>
        <w:t>Journal of Business Research</w:t>
      </w:r>
      <w:r w:rsidRPr="008A512A">
        <w:rPr>
          <w:rFonts w:eastAsia="Times New Roman"/>
          <w:highlight w:val="white"/>
        </w:rPr>
        <w:t xml:space="preserve">, </w:t>
      </w:r>
      <w:r w:rsidRPr="008A512A">
        <w:rPr>
          <w:rFonts w:eastAsia="Times New Roman"/>
          <w:i/>
          <w:highlight w:val="white"/>
        </w:rPr>
        <w:t>164</w:t>
      </w:r>
      <w:r w:rsidRPr="008A512A">
        <w:rPr>
          <w:rFonts w:eastAsia="Times New Roman"/>
          <w:highlight w:val="white"/>
        </w:rPr>
        <w:t>, p.114016.</w:t>
      </w:r>
    </w:p>
    <w:p w14:paraId="00000074" w14:textId="77777777" w:rsidR="006122D3" w:rsidRPr="008A512A" w:rsidRDefault="00000000">
      <w:pPr>
        <w:spacing w:line="360" w:lineRule="auto"/>
        <w:jc w:val="both"/>
        <w:rPr>
          <w:rFonts w:eastAsia="Times New Roman"/>
          <w:highlight w:val="white"/>
        </w:rPr>
      </w:pPr>
      <w:proofErr w:type="spellStart"/>
      <w:r w:rsidRPr="008A512A">
        <w:rPr>
          <w:rFonts w:eastAsia="Times New Roman"/>
          <w:highlight w:val="white"/>
        </w:rPr>
        <w:t>Kansongue</w:t>
      </w:r>
      <w:proofErr w:type="spellEnd"/>
      <w:r w:rsidRPr="008A512A">
        <w:rPr>
          <w:rFonts w:eastAsia="Times New Roman"/>
          <w:highlight w:val="white"/>
        </w:rPr>
        <w:t xml:space="preserve">, N., Njuguna, J. and </w:t>
      </w:r>
      <w:proofErr w:type="spellStart"/>
      <w:r w:rsidRPr="008A512A">
        <w:rPr>
          <w:rFonts w:eastAsia="Times New Roman"/>
          <w:highlight w:val="white"/>
        </w:rPr>
        <w:t>Vertigans</w:t>
      </w:r>
      <w:proofErr w:type="spellEnd"/>
      <w:r w:rsidRPr="008A512A">
        <w:rPr>
          <w:rFonts w:eastAsia="Times New Roman"/>
          <w:highlight w:val="white"/>
        </w:rPr>
        <w:t xml:space="preserve">, S., (2023). A PESTEL and SWOT impact analysis on renewable energy development in Togo. </w:t>
      </w:r>
      <w:r w:rsidRPr="008A512A">
        <w:rPr>
          <w:rFonts w:eastAsia="Times New Roman"/>
          <w:i/>
          <w:highlight w:val="white"/>
        </w:rPr>
        <w:t>Frontiers in Sustainability</w:t>
      </w:r>
      <w:r w:rsidRPr="008A512A">
        <w:rPr>
          <w:rFonts w:eastAsia="Times New Roman"/>
          <w:highlight w:val="white"/>
        </w:rPr>
        <w:t xml:space="preserve">, </w:t>
      </w:r>
      <w:r w:rsidRPr="008A512A">
        <w:rPr>
          <w:rFonts w:eastAsia="Times New Roman"/>
          <w:i/>
          <w:highlight w:val="white"/>
        </w:rPr>
        <w:t>3</w:t>
      </w:r>
      <w:r w:rsidRPr="008A512A">
        <w:rPr>
          <w:rFonts w:eastAsia="Times New Roman"/>
          <w:highlight w:val="white"/>
        </w:rPr>
        <w:t>, p.990173.</w:t>
      </w:r>
    </w:p>
    <w:p w14:paraId="00000075" w14:textId="77777777" w:rsidR="006122D3" w:rsidRPr="008A512A" w:rsidRDefault="00000000">
      <w:pPr>
        <w:spacing w:line="360" w:lineRule="auto"/>
        <w:jc w:val="both"/>
        <w:rPr>
          <w:rFonts w:eastAsia="Times New Roman"/>
          <w:highlight w:val="white"/>
        </w:rPr>
      </w:pPr>
      <w:r w:rsidRPr="008A512A">
        <w:rPr>
          <w:rFonts w:eastAsia="Times New Roman"/>
          <w:highlight w:val="white"/>
        </w:rPr>
        <w:t xml:space="preserve">Rhew, N.D. and Arendt, L.A., (2023). Lessons on the resource-based view and generic competitive strategies from kinky boots: The musical. </w:t>
      </w:r>
      <w:r w:rsidRPr="008A512A">
        <w:rPr>
          <w:rFonts w:eastAsia="Times New Roman"/>
          <w:i/>
          <w:highlight w:val="white"/>
        </w:rPr>
        <w:t>Management Teaching Review</w:t>
      </w:r>
      <w:r w:rsidRPr="008A512A">
        <w:rPr>
          <w:rFonts w:eastAsia="Times New Roman"/>
          <w:highlight w:val="white"/>
        </w:rPr>
        <w:t xml:space="preserve">, </w:t>
      </w:r>
      <w:r w:rsidRPr="008A512A">
        <w:rPr>
          <w:rFonts w:eastAsia="Times New Roman"/>
          <w:i/>
          <w:highlight w:val="white"/>
        </w:rPr>
        <w:t>8</w:t>
      </w:r>
      <w:r w:rsidRPr="008A512A">
        <w:rPr>
          <w:rFonts w:eastAsia="Times New Roman"/>
          <w:highlight w:val="white"/>
        </w:rPr>
        <w:t>(1), pp.91-101.</w:t>
      </w:r>
    </w:p>
    <w:p w14:paraId="00000076" w14:textId="05CF130A" w:rsidR="006122D3" w:rsidRPr="008A512A" w:rsidRDefault="00000000">
      <w:pPr>
        <w:spacing w:line="360" w:lineRule="auto"/>
        <w:jc w:val="both"/>
        <w:rPr>
          <w:rFonts w:eastAsia="Times New Roman"/>
          <w:highlight w:val="white"/>
        </w:rPr>
      </w:pPr>
      <w:r w:rsidRPr="008A512A">
        <w:rPr>
          <w:rFonts w:eastAsia="Times New Roman"/>
          <w:highlight w:val="white"/>
        </w:rPr>
        <w:t>Rude Health., (2024).</w:t>
      </w:r>
      <w:r w:rsidRPr="008A512A">
        <w:rPr>
          <w:rFonts w:eastAsia="Times New Roman"/>
          <w:i/>
          <w:highlight w:val="white"/>
        </w:rPr>
        <w:t xml:space="preserve"> Organic Dairy Free Milk Alternatives, Cereals &amp; Recipes.</w:t>
      </w:r>
      <w:r w:rsidRPr="008A512A">
        <w:rPr>
          <w:rFonts w:eastAsia="Times New Roman"/>
          <w:highlight w:val="white"/>
        </w:rPr>
        <w:t xml:space="preserve"> [Online]. Available at: https://rudehealth.com/ [Accessed on: </w:t>
      </w:r>
      <w:r w:rsidR="003650B2" w:rsidRPr="008A512A">
        <w:rPr>
          <w:rFonts w:eastAsia="Times New Roman"/>
          <w:highlight w:val="white"/>
        </w:rPr>
        <w:t>1</w:t>
      </w:r>
      <w:r w:rsidRPr="008A512A">
        <w:rPr>
          <w:rFonts w:eastAsia="Times New Roman"/>
          <w:highlight w:val="white"/>
        </w:rPr>
        <w:t xml:space="preserve"> July 2024].</w:t>
      </w:r>
    </w:p>
    <w:p w14:paraId="00000077" w14:textId="77777777" w:rsidR="006122D3" w:rsidRPr="008A512A" w:rsidRDefault="00000000">
      <w:pPr>
        <w:spacing w:line="360" w:lineRule="auto"/>
        <w:jc w:val="both"/>
        <w:rPr>
          <w:rFonts w:eastAsia="Times New Roman"/>
          <w:highlight w:val="white"/>
        </w:rPr>
      </w:pPr>
      <w:r w:rsidRPr="008A512A">
        <w:rPr>
          <w:rFonts w:eastAsia="Times New Roman"/>
          <w:highlight w:val="white"/>
        </w:rPr>
        <w:t>Turek-</w:t>
      </w:r>
      <w:proofErr w:type="spellStart"/>
      <w:r w:rsidRPr="008A512A">
        <w:rPr>
          <w:rFonts w:eastAsia="Times New Roman"/>
          <w:highlight w:val="white"/>
        </w:rPr>
        <w:t>Rahoveanu</w:t>
      </w:r>
      <w:proofErr w:type="spellEnd"/>
      <w:r w:rsidRPr="008A512A">
        <w:rPr>
          <w:rFonts w:eastAsia="Times New Roman"/>
          <w:highlight w:val="white"/>
        </w:rPr>
        <w:t>, A. and Pascal, M.L., (2023). Strategic tools in assessing the business environment of a pan-European distributed research infrastructure.</w:t>
      </w:r>
    </w:p>
    <w:p w14:paraId="00000078" w14:textId="77777777" w:rsidR="006122D3" w:rsidRPr="008A512A" w:rsidRDefault="00000000">
      <w:pPr>
        <w:spacing w:line="360" w:lineRule="auto"/>
        <w:jc w:val="both"/>
        <w:rPr>
          <w:rFonts w:eastAsia="Times New Roman"/>
          <w:highlight w:val="white"/>
        </w:rPr>
      </w:pPr>
      <w:r w:rsidRPr="008A512A">
        <w:rPr>
          <w:rFonts w:eastAsia="Times New Roman"/>
          <w:highlight w:val="white"/>
        </w:rPr>
        <w:t xml:space="preserve">van de Ven, M., Lara Machado, P., Athanasopoulou, A., </w:t>
      </w:r>
      <w:proofErr w:type="spellStart"/>
      <w:r w:rsidRPr="008A512A">
        <w:rPr>
          <w:rFonts w:eastAsia="Times New Roman"/>
          <w:highlight w:val="white"/>
        </w:rPr>
        <w:t>Aysolmaz</w:t>
      </w:r>
      <w:proofErr w:type="spellEnd"/>
      <w:r w:rsidRPr="008A512A">
        <w:rPr>
          <w:rFonts w:eastAsia="Times New Roman"/>
          <w:highlight w:val="white"/>
        </w:rPr>
        <w:t xml:space="preserve">, B. and </w:t>
      </w:r>
      <w:proofErr w:type="spellStart"/>
      <w:r w:rsidRPr="008A512A">
        <w:rPr>
          <w:rFonts w:eastAsia="Times New Roman"/>
          <w:highlight w:val="white"/>
        </w:rPr>
        <w:t>Turetken</w:t>
      </w:r>
      <w:proofErr w:type="spellEnd"/>
      <w:r w:rsidRPr="008A512A">
        <w:rPr>
          <w:rFonts w:eastAsia="Times New Roman"/>
          <w:highlight w:val="white"/>
        </w:rPr>
        <w:t xml:space="preserve">, O., (2023). Key performance indicators for business models: a systematic review and </w:t>
      </w:r>
      <w:proofErr w:type="spellStart"/>
      <w:r w:rsidRPr="008A512A">
        <w:rPr>
          <w:rFonts w:eastAsia="Times New Roman"/>
          <w:highlight w:val="white"/>
        </w:rPr>
        <w:t>catalog</w:t>
      </w:r>
      <w:proofErr w:type="spellEnd"/>
      <w:r w:rsidRPr="008A512A">
        <w:rPr>
          <w:rFonts w:eastAsia="Times New Roman"/>
          <w:highlight w:val="white"/>
        </w:rPr>
        <w:t xml:space="preserve">. </w:t>
      </w:r>
      <w:r w:rsidRPr="008A512A">
        <w:rPr>
          <w:rFonts w:eastAsia="Times New Roman"/>
          <w:i/>
          <w:highlight w:val="white"/>
        </w:rPr>
        <w:t>Information Systems and e-Business Management</w:t>
      </w:r>
      <w:r w:rsidRPr="008A512A">
        <w:rPr>
          <w:rFonts w:eastAsia="Times New Roman"/>
          <w:highlight w:val="white"/>
        </w:rPr>
        <w:t xml:space="preserve">, </w:t>
      </w:r>
      <w:r w:rsidRPr="008A512A">
        <w:rPr>
          <w:rFonts w:eastAsia="Times New Roman"/>
          <w:i/>
          <w:highlight w:val="white"/>
        </w:rPr>
        <w:t>21</w:t>
      </w:r>
      <w:r w:rsidRPr="008A512A">
        <w:rPr>
          <w:rFonts w:eastAsia="Times New Roman"/>
          <w:highlight w:val="white"/>
        </w:rPr>
        <w:t>(3), pp.753-794.</w:t>
      </w:r>
    </w:p>
    <w:p w14:paraId="00000082" w14:textId="77777777" w:rsidR="006122D3" w:rsidRPr="008A512A" w:rsidRDefault="006122D3">
      <w:pPr>
        <w:spacing w:before="240" w:after="240" w:line="360" w:lineRule="auto"/>
        <w:jc w:val="both"/>
        <w:rPr>
          <w:rFonts w:eastAsia="Times New Roman"/>
        </w:rPr>
      </w:pPr>
    </w:p>
    <w:sectPr w:rsidR="006122D3" w:rsidRPr="008A512A">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8B5743" w14:textId="77777777" w:rsidR="00B46FC1" w:rsidRDefault="00B46FC1">
      <w:pPr>
        <w:spacing w:line="240" w:lineRule="auto"/>
      </w:pPr>
      <w:r>
        <w:separator/>
      </w:r>
    </w:p>
  </w:endnote>
  <w:endnote w:type="continuationSeparator" w:id="0">
    <w:p w14:paraId="732DD1F8" w14:textId="77777777" w:rsidR="00B46FC1" w:rsidRDefault="00B46F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83" w14:textId="6E90B3B7" w:rsidR="006122D3"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B859EF">
      <w:rPr>
        <w:noProof/>
        <w:color w:val="000000"/>
      </w:rPr>
      <w:t>1</w:t>
    </w:r>
    <w:r>
      <w:rPr>
        <w:color w:val="000000"/>
      </w:rPr>
      <w:fldChar w:fldCharType="end"/>
    </w:r>
  </w:p>
  <w:p w14:paraId="00000084" w14:textId="77777777" w:rsidR="006122D3" w:rsidRDefault="006122D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5F86C6" w14:textId="77777777" w:rsidR="00B46FC1" w:rsidRDefault="00B46FC1">
      <w:pPr>
        <w:spacing w:line="240" w:lineRule="auto"/>
      </w:pPr>
      <w:r>
        <w:separator/>
      </w:r>
    </w:p>
  </w:footnote>
  <w:footnote w:type="continuationSeparator" w:id="0">
    <w:p w14:paraId="69A01F6B" w14:textId="77777777" w:rsidR="00B46FC1" w:rsidRDefault="00B46FC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22D3"/>
    <w:rsid w:val="003650B2"/>
    <w:rsid w:val="006122D3"/>
    <w:rsid w:val="00737C45"/>
    <w:rsid w:val="008A512A"/>
    <w:rsid w:val="00972DCC"/>
    <w:rsid w:val="00A5373A"/>
    <w:rsid w:val="00B46FC1"/>
    <w:rsid w:val="00B859EF"/>
    <w:rsid w:val="00CB5310"/>
    <w:rsid w:val="00E5701F"/>
    <w:rsid w:val="00E730E3"/>
    <w:rsid w:val="00F84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FEA72"/>
  <w15:docId w15:val="{CC0FFC2C-0D78-44CD-8197-216FE6BE7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240" w:after="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E878C5"/>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878C5"/>
    <w:pPr>
      <w:spacing w:after="100"/>
    </w:pPr>
  </w:style>
  <w:style w:type="paragraph" w:styleId="TOC2">
    <w:name w:val="toc 2"/>
    <w:basedOn w:val="Normal"/>
    <w:next w:val="Normal"/>
    <w:autoRedefine/>
    <w:uiPriority w:val="39"/>
    <w:unhideWhenUsed/>
    <w:rsid w:val="00E878C5"/>
    <w:pPr>
      <w:spacing w:after="100"/>
      <w:ind w:left="220"/>
    </w:pPr>
  </w:style>
  <w:style w:type="character" w:styleId="Hyperlink">
    <w:name w:val="Hyperlink"/>
    <w:basedOn w:val="DefaultParagraphFont"/>
    <w:uiPriority w:val="99"/>
    <w:unhideWhenUsed/>
    <w:rsid w:val="00E878C5"/>
    <w:rPr>
      <w:color w:val="0000FF" w:themeColor="hyperlink"/>
      <w:u w:val="single"/>
    </w:rPr>
  </w:style>
  <w:style w:type="paragraph" w:styleId="Header">
    <w:name w:val="header"/>
    <w:basedOn w:val="Normal"/>
    <w:link w:val="HeaderChar"/>
    <w:uiPriority w:val="99"/>
    <w:unhideWhenUsed/>
    <w:rsid w:val="00E878C5"/>
    <w:pPr>
      <w:tabs>
        <w:tab w:val="center" w:pos="4513"/>
        <w:tab w:val="right" w:pos="9026"/>
      </w:tabs>
      <w:spacing w:line="240" w:lineRule="auto"/>
    </w:pPr>
  </w:style>
  <w:style w:type="character" w:customStyle="1" w:styleId="HeaderChar">
    <w:name w:val="Header Char"/>
    <w:basedOn w:val="DefaultParagraphFont"/>
    <w:link w:val="Header"/>
    <w:uiPriority w:val="99"/>
    <w:rsid w:val="00E878C5"/>
  </w:style>
  <w:style w:type="paragraph" w:styleId="Footer">
    <w:name w:val="footer"/>
    <w:basedOn w:val="Normal"/>
    <w:link w:val="FooterChar"/>
    <w:uiPriority w:val="99"/>
    <w:unhideWhenUsed/>
    <w:rsid w:val="00E878C5"/>
    <w:pPr>
      <w:tabs>
        <w:tab w:val="center" w:pos="4513"/>
        <w:tab w:val="right" w:pos="9026"/>
      </w:tabs>
      <w:spacing w:line="240" w:lineRule="auto"/>
    </w:pPr>
  </w:style>
  <w:style w:type="character" w:customStyle="1" w:styleId="FooterChar">
    <w:name w:val="Footer Char"/>
    <w:basedOn w:val="DefaultParagraphFont"/>
    <w:link w:val="Footer"/>
    <w:uiPriority w:val="99"/>
    <w:rsid w:val="00E878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jxJxIfYRnA9247MGMxwv5CsArg==">CgMxLjAyCGguZ2pkZ3hzMgloLjMwajB6bGwyCWguMWZvYjl0ZTIJaC4zem55c2g3MgloLjJldDkycDAyCGgudHlqY3d0MgloLjNkeTZ2a20yCWguMXQzaDVzZjIJaC40ZDM0b2c4MgloLjJzOGV5bzEyCWguMTdkcDh2dTIJaC4zcmRjcmpuMgloLjI2aW4xcmcyCGgubG54Yno5Mg5oLmNqOTNhemg3b2ludTIOaC5kZHU3dnVuN25jN2oyDWguc3U2Z3p5bm4yM3o4AHIhMWtTVVEteTJVSVpKQVQ2M2gwbnlQaXdhcGhjWlAwVmt3</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14</Pages>
  <Words>4330</Words>
  <Characters>24683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Ana-Maria Bundea</dc:creator>
  <cp:lastModifiedBy>Ana Maria Bundea (2021299)</cp:lastModifiedBy>
  <cp:revision>9</cp:revision>
  <dcterms:created xsi:type="dcterms:W3CDTF">2024-06-23T20:49:00Z</dcterms:created>
  <dcterms:modified xsi:type="dcterms:W3CDTF">2024-07-08T07:52:00Z</dcterms:modified>
</cp:coreProperties>
</file>