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HPAH5087</w:t>
            </w:r>
          </w:p>
        </w:tc>
      </w:tr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The World of Han China (206 BCE to 220 CE)</w:t>
            </w:r>
          </w:p>
        </w:tc>
      </w:tr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543185404"/>
            <w:placeholder>
              <w:docPart w:val="CBE319B4E5ED463C91EB3ED32D23954E"/>
            </w:placeholder>
            <w:date w:fullDate="2023-02-13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F70342" w:rsidRPr="00F70342" w:rsidRDefault="00F70342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F70342">
                  <w:rPr>
                    <w:rFonts w:cs="Arial"/>
                    <w:szCs w:val="22"/>
                  </w:rPr>
                  <w:t>13/02/2023</w:t>
                </w:r>
              </w:p>
            </w:tc>
          </w:sdtContent>
        </w:sdt>
      </w:tr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1935167524"/>
            <w:placeholder>
              <w:docPart w:val="887EF74CC64541A6959D7562771BEF2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F70342" w:rsidRPr="00F70342" w:rsidRDefault="00F70342" w:rsidP="00B80AB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F70342">
                  <w:rPr>
                    <w:rFonts w:cs="Arial"/>
                    <w:szCs w:val="22"/>
                  </w:rPr>
                  <w:t>5</w:t>
                </w:r>
              </w:p>
            </w:tc>
          </w:sdtContent>
        </w:sdt>
      </w:tr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20</w:t>
            </w:r>
          </w:p>
        </w:tc>
      </w:tr>
      <w:tr w:rsidR="00F70342" w:rsidRPr="00F70342" w:rsidTr="00F70342">
        <w:tc>
          <w:tcPr>
            <w:tcW w:w="1838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F70342" w:rsidRPr="00F70342" w:rsidRDefault="00F70342" w:rsidP="00B80AB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None</w:t>
            </w:r>
          </w:p>
        </w:tc>
      </w:tr>
    </w:tbl>
    <w:p w:rsidR="00F70342" w:rsidRPr="00F70342" w:rsidRDefault="00F70342" w:rsidP="00F70342">
      <w:pPr>
        <w:pBdr>
          <w:bottom w:val="single" w:sz="6" w:space="1" w:color="auto"/>
        </w:pBdr>
        <w:rPr>
          <w:rFonts w:cs="Arial"/>
          <w:szCs w:val="22"/>
        </w:rPr>
      </w:pPr>
    </w:p>
    <w:p w:rsidR="00F70342" w:rsidRPr="00F70342" w:rsidRDefault="00F70342" w:rsidP="00F703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F70342">
        <w:rPr>
          <w:rFonts w:cs="Arial"/>
          <w:b/>
          <w:szCs w:val="22"/>
        </w:rPr>
        <w:t>AIM(S)</w:t>
      </w:r>
    </w:p>
    <w:p w:rsidR="00F70342" w:rsidRPr="00F70342" w:rsidRDefault="00F70342" w:rsidP="00F703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b/>
          <w:szCs w:val="22"/>
        </w:rPr>
      </w:pPr>
      <w:r w:rsidRPr="00F70342">
        <w:rPr>
          <w:rFonts w:cs="Arial"/>
          <w:szCs w:val="22"/>
        </w:rPr>
        <w:t>To develop an understanding of the political, historical and cultural manifestations of the early Chinese empire in a global context, especially in relation to the Roman empire.</w:t>
      </w:r>
    </w:p>
    <w:p w:rsidR="00F70342" w:rsidRPr="00F70342" w:rsidRDefault="00F70342" w:rsidP="00F703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F70342" w:rsidRPr="00F70342" w:rsidRDefault="00F70342" w:rsidP="00F703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F70342">
        <w:rPr>
          <w:rFonts w:cs="Arial"/>
          <w:b/>
          <w:szCs w:val="22"/>
        </w:rPr>
        <w:t>LEARNING OUTCOMES</w:t>
      </w:r>
    </w:p>
    <w:p w:rsidR="00F70342" w:rsidRPr="00F70342" w:rsidRDefault="00F70342" w:rsidP="00F70342">
      <w:pPr>
        <w:rPr>
          <w:rFonts w:cs="Arial"/>
          <w:b/>
          <w:szCs w:val="22"/>
        </w:rPr>
      </w:pPr>
    </w:p>
    <w:p w:rsidR="00F70342" w:rsidRPr="00F70342" w:rsidRDefault="00F70342" w:rsidP="00F70342">
      <w:pPr>
        <w:rPr>
          <w:rFonts w:cs="Arial"/>
          <w:szCs w:val="22"/>
        </w:rPr>
      </w:pPr>
      <w:r w:rsidRPr="00F70342">
        <w:rPr>
          <w:rFonts w:cs="Arial"/>
          <w:szCs w:val="22"/>
        </w:rPr>
        <w:t>Upon the successful completion of this module, the student should be able to:</w:t>
      </w:r>
    </w:p>
    <w:p w:rsidR="00F70342" w:rsidRPr="00F70342" w:rsidRDefault="00F70342" w:rsidP="00F703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F70342">
        <w:rPr>
          <w:rFonts w:cs="Arial"/>
          <w:szCs w:val="22"/>
        </w:rPr>
        <w:t>explain the significance of the Han empire in the context of both Chinese history and world history using a wide range of original sources in translation;</w:t>
      </w:r>
    </w:p>
    <w:p w:rsidR="00F70342" w:rsidRPr="00F70342" w:rsidRDefault="00F70342" w:rsidP="00F703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cs="Arial"/>
          <w:szCs w:val="22"/>
        </w:rPr>
      </w:pPr>
      <w:r w:rsidRPr="00F70342">
        <w:rPr>
          <w:rFonts w:cs="Arial"/>
          <w:szCs w:val="22"/>
        </w:rPr>
        <w:t>present information about Chinese history in various formats and genres in accordance with subject conventions while at the same time being accessible to non-specialist audiences.</w:t>
      </w: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pStyle w:val="fixed"/>
        <w:rPr>
          <w:rFonts w:cs="Arial"/>
          <w:szCs w:val="22"/>
        </w:rPr>
      </w:pPr>
      <w:r w:rsidRPr="00F70342">
        <w:rPr>
          <w:rFonts w:cs="Arial"/>
          <w:szCs w:val="22"/>
        </w:rPr>
        <w:t>INDICATIVE CONTENT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Emergence of the Chinese empire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Han expansion into Central Asia and intercontinental connections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Imperial historiography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Confucian Classics &amp; Han Confucianism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Spatial Dimensions of a unified world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Communication and imperial rhetoric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Rome and Chang’an as imperial cities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Han funerary culture</w:t>
      </w:r>
    </w:p>
    <w:p w:rsidR="00F70342" w:rsidRPr="00F70342" w:rsidRDefault="00F70342" w:rsidP="00F7034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F70342">
        <w:rPr>
          <w:rFonts w:ascii="Arial" w:hAnsi="Arial" w:cs="Arial"/>
        </w:rPr>
        <w:t>Han religion</w:t>
      </w: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rPr>
          <w:rFonts w:cs="Arial"/>
          <w:szCs w:val="22"/>
        </w:rPr>
      </w:pPr>
    </w:p>
    <w:p w:rsidR="00F70342" w:rsidRPr="00F70342" w:rsidRDefault="00F70342" w:rsidP="00F70342">
      <w:pPr>
        <w:pStyle w:val="fixed"/>
        <w:rPr>
          <w:rFonts w:cs="Arial"/>
          <w:szCs w:val="22"/>
        </w:rPr>
      </w:pPr>
      <w:r w:rsidRPr="00F70342">
        <w:rPr>
          <w:rFonts w:cs="Arial"/>
          <w:szCs w:val="22"/>
        </w:rPr>
        <w:t>Study Time Allocation</w:t>
      </w:r>
    </w:p>
    <w:p w:rsidR="00F70342" w:rsidRPr="00F70342" w:rsidRDefault="00F70342" w:rsidP="00F70342">
      <w:pPr>
        <w:pStyle w:val="fixed"/>
        <w:rPr>
          <w:rFonts w:cs="Arial"/>
          <w:szCs w:val="22"/>
        </w:rPr>
      </w:pPr>
    </w:p>
    <w:p w:rsidR="00F70342" w:rsidRPr="00F70342" w:rsidRDefault="00F70342" w:rsidP="00F70342">
      <w:pPr>
        <w:keepNext/>
        <w:rPr>
          <w:rFonts w:cs="Arial"/>
          <w:szCs w:val="22"/>
        </w:rPr>
      </w:pPr>
      <w:r w:rsidRPr="00F70342">
        <w:rPr>
          <w:rFonts w:cs="Arial"/>
          <w:szCs w:val="22"/>
        </w:rPr>
        <w:lastRenderedPageBreak/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70342" w:rsidRPr="00F70342" w:rsidTr="00F70342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Percentage</w:t>
            </w:r>
          </w:p>
        </w:tc>
      </w:tr>
      <w:tr w:rsidR="00F70342" w:rsidRPr="00F70342" w:rsidTr="00F70342">
        <w:tc>
          <w:tcPr>
            <w:tcW w:w="3969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36</w:t>
            </w:r>
          </w:p>
        </w:tc>
        <w:tc>
          <w:tcPr>
            <w:tcW w:w="1843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18%</w:t>
            </w:r>
          </w:p>
        </w:tc>
      </w:tr>
      <w:tr w:rsidR="00F70342" w:rsidRPr="00F70342" w:rsidTr="00F70342">
        <w:tc>
          <w:tcPr>
            <w:tcW w:w="3969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164</w:t>
            </w:r>
          </w:p>
        </w:tc>
        <w:tc>
          <w:tcPr>
            <w:tcW w:w="1843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82%</w:t>
            </w:r>
          </w:p>
        </w:tc>
      </w:tr>
      <w:tr w:rsidR="00F70342" w:rsidRPr="00F70342" w:rsidTr="00F70342">
        <w:tc>
          <w:tcPr>
            <w:tcW w:w="3969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F70342" w:rsidRPr="00F70342" w:rsidTr="00F70342">
        <w:tc>
          <w:tcPr>
            <w:tcW w:w="3969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100%</w:t>
            </w:r>
          </w:p>
        </w:tc>
      </w:tr>
    </w:tbl>
    <w:p w:rsidR="00F70342" w:rsidRPr="00F70342" w:rsidRDefault="00F70342" w:rsidP="00F70342">
      <w:pPr>
        <w:pStyle w:val="fixed"/>
        <w:ind w:left="0" w:firstLine="0"/>
        <w:rPr>
          <w:rFonts w:cs="Arial"/>
          <w:szCs w:val="22"/>
        </w:rPr>
      </w:pPr>
    </w:p>
    <w:p w:rsidR="00F70342" w:rsidRPr="00F70342" w:rsidRDefault="00F70342" w:rsidP="00F70342">
      <w:pPr>
        <w:pStyle w:val="fixed"/>
        <w:ind w:left="0" w:firstLine="0"/>
        <w:rPr>
          <w:rFonts w:cs="Arial"/>
          <w:szCs w:val="22"/>
        </w:rPr>
      </w:pPr>
      <w:r w:rsidRPr="00F70342">
        <w:rPr>
          <w:rFonts w:cs="Arial"/>
          <w:szCs w:val="22"/>
        </w:rPr>
        <w:t>ASSESSMENT</w:t>
      </w:r>
    </w:p>
    <w:p w:rsidR="00F70342" w:rsidRPr="00F70342" w:rsidRDefault="00F70342" w:rsidP="00F70342">
      <w:pPr>
        <w:pStyle w:val="fixed"/>
        <w:ind w:left="0"/>
        <w:rPr>
          <w:rFonts w:cs="Arial"/>
          <w:szCs w:val="22"/>
        </w:rPr>
      </w:pPr>
    </w:p>
    <w:p w:rsidR="00F70342" w:rsidRPr="00F70342" w:rsidRDefault="00F70342" w:rsidP="00F70342">
      <w:pPr>
        <w:rPr>
          <w:rFonts w:cs="Arial"/>
          <w:b/>
          <w:szCs w:val="22"/>
        </w:rPr>
      </w:pPr>
      <w:r w:rsidRPr="00F70342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F70342" w:rsidRPr="00F70342" w:rsidTr="00F70342">
        <w:sdt>
          <w:sdtPr>
            <w:rPr>
              <w:rFonts w:cs="Arial"/>
              <w:szCs w:val="22"/>
            </w:rPr>
            <w:id w:val="-84524795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F70342" w:rsidRPr="00F70342" w:rsidRDefault="00F70342" w:rsidP="00B80ABD">
                <w:pPr>
                  <w:rPr>
                    <w:rFonts w:cs="Arial"/>
                    <w:b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F70342" w:rsidRPr="00F70342" w:rsidRDefault="00F70342" w:rsidP="00B80ABD">
            <w:pPr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84607899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0342" w:rsidRPr="00F70342" w:rsidRDefault="00F70342" w:rsidP="00B80ABD">
                <w:pPr>
                  <w:rPr>
                    <w:rFonts w:cs="Arial"/>
                    <w:b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F70342" w:rsidRPr="00F70342" w:rsidRDefault="00F70342" w:rsidP="00B80ABD">
            <w:pPr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1558430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F70342" w:rsidRPr="00F70342" w:rsidRDefault="00F70342" w:rsidP="00B80ABD">
                <w:pPr>
                  <w:rPr>
                    <w:rFonts w:cs="Arial"/>
                    <w:b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F70342" w:rsidRPr="00F70342" w:rsidRDefault="00F70342" w:rsidP="00B80ABD">
            <w:pPr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F70342" w:rsidRPr="00F70342" w:rsidRDefault="00F70342" w:rsidP="00F70342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70342" w:rsidRPr="00F70342" w:rsidTr="00F70342">
        <w:tc>
          <w:tcPr>
            <w:tcW w:w="3256" w:type="dxa"/>
          </w:tcPr>
          <w:p w:rsidR="00F70342" w:rsidRPr="00F70342" w:rsidRDefault="00F70342" w:rsidP="00B80ABD">
            <w:pPr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F70342" w:rsidRPr="00F70342" w:rsidRDefault="00F70342" w:rsidP="00B80ABD">
            <w:pPr>
              <w:rPr>
                <w:rFonts w:cs="Arial"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F70342" w:rsidRPr="00F70342" w:rsidRDefault="00F70342" w:rsidP="00B80ABD">
            <w:pPr>
              <w:rPr>
                <w:rFonts w:cs="Arial"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Weighting</w:t>
            </w:r>
          </w:p>
        </w:tc>
      </w:tr>
      <w:tr w:rsidR="00F70342" w:rsidRPr="00F70342" w:rsidTr="00F70342">
        <w:tc>
          <w:tcPr>
            <w:tcW w:w="3256" w:type="dxa"/>
          </w:tcPr>
          <w:p w:rsidR="00F70342" w:rsidRPr="00F70342" w:rsidRDefault="00F70342" w:rsidP="00B80ABD">
            <w:pPr>
              <w:jc w:val="center"/>
              <w:rPr>
                <w:rFonts w:cs="Arial"/>
                <w:szCs w:val="22"/>
              </w:rPr>
            </w:pPr>
            <w:r w:rsidRPr="00F70342">
              <w:rPr>
                <w:rStyle w:val="normaltextrun"/>
                <w:rFonts w:cs="Arial"/>
                <w:szCs w:val="22"/>
              </w:rPr>
              <w:t>Portfolio </w:t>
            </w:r>
            <w:r w:rsidRPr="00F70342">
              <w:rPr>
                <w:rStyle w:val="eop"/>
                <w:rFonts w:cs="Arial"/>
                <w:szCs w:val="22"/>
              </w:rPr>
              <w:t> </w:t>
            </w:r>
          </w:p>
        </w:tc>
        <w:tc>
          <w:tcPr>
            <w:tcW w:w="3969" w:type="dxa"/>
          </w:tcPr>
          <w:p w:rsidR="00F70342" w:rsidRPr="00F70342" w:rsidRDefault="00F70342" w:rsidP="00B80ABD">
            <w:pPr>
              <w:rPr>
                <w:rFonts w:cs="Arial"/>
                <w:szCs w:val="22"/>
                <w:highlight w:val="yellow"/>
              </w:rPr>
            </w:pPr>
            <w:r w:rsidRPr="00F70342">
              <w:rPr>
                <w:rStyle w:val="normaltextrun"/>
                <w:rFonts w:cs="Arial"/>
                <w:szCs w:val="22"/>
              </w:rPr>
              <w:t>Maximum 6 elements, the equivalent of 5,000 words </w:t>
            </w:r>
            <w:r w:rsidRPr="00F70342">
              <w:rPr>
                <w:rStyle w:val="eop"/>
                <w:rFonts w:cs="Arial"/>
                <w:szCs w:val="22"/>
              </w:rPr>
              <w:t> </w:t>
            </w:r>
          </w:p>
        </w:tc>
        <w:tc>
          <w:tcPr>
            <w:tcW w:w="1559" w:type="dxa"/>
          </w:tcPr>
          <w:p w:rsidR="00F70342" w:rsidRPr="00F70342" w:rsidRDefault="00F70342" w:rsidP="00B80ABD">
            <w:pPr>
              <w:rPr>
                <w:rFonts w:cs="Arial"/>
                <w:szCs w:val="22"/>
              </w:rPr>
            </w:pPr>
            <w:r w:rsidRPr="00F70342">
              <w:rPr>
                <w:rStyle w:val="normaltextrun"/>
                <w:rFonts w:cs="Arial"/>
                <w:szCs w:val="22"/>
              </w:rPr>
              <w:t>100%</w:t>
            </w:r>
            <w:r w:rsidRPr="00F70342">
              <w:rPr>
                <w:rStyle w:val="eop"/>
                <w:rFonts w:cs="Arial"/>
                <w:szCs w:val="22"/>
              </w:rPr>
              <w:t> </w:t>
            </w:r>
          </w:p>
        </w:tc>
      </w:tr>
    </w:tbl>
    <w:p w:rsidR="00F70342" w:rsidRPr="00F70342" w:rsidRDefault="00F70342" w:rsidP="00F70342">
      <w:pPr>
        <w:rPr>
          <w:rFonts w:cs="Arial"/>
          <w:b/>
          <w:szCs w:val="22"/>
        </w:rPr>
      </w:pPr>
    </w:p>
    <w:p w:rsidR="00F70342" w:rsidRPr="00F70342" w:rsidRDefault="00F70342" w:rsidP="00F70342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F70342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70342" w:rsidRPr="00F70342" w:rsidTr="00F70342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Percentage</w:t>
            </w:r>
          </w:p>
        </w:tc>
      </w:tr>
      <w:tr w:rsidR="00F70342" w:rsidRPr="00F70342" w:rsidTr="00F70342">
        <w:tc>
          <w:tcPr>
            <w:tcW w:w="3261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F70342" w:rsidRPr="00F70342" w:rsidTr="00F70342">
        <w:tc>
          <w:tcPr>
            <w:tcW w:w="3261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100%</w:t>
            </w:r>
          </w:p>
        </w:tc>
      </w:tr>
      <w:tr w:rsidR="00F70342" w:rsidRPr="00F70342" w:rsidTr="00F70342">
        <w:tc>
          <w:tcPr>
            <w:tcW w:w="3261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F70342" w:rsidRPr="00F70342" w:rsidTr="00F70342">
        <w:tc>
          <w:tcPr>
            <w:tcW w:w="3261" w:type="dxa"/>
          </w:tcPr>
          <w:p w:rsidR="00F70342" w:rsidRPr="00F70342" w:rsidRDefault="00F70342" w:rsidP="00B80ABD">
            <w:pPr>
              <w:keepNext/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F70342" w:rsidRPr="00F70342" w:rsidRDefault="00F70342" w:rsidP="00B80AB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100%</w:t>
            </w:r>
          </w:p>
        </w:tc>
      </w:tr>
    </w:tbl>
    <w:p w:rsidR="00F70342" w:rsidRPr="00F70342" w:rsidRDefault="00F70342" w:rsidP="00F70342">
      <w:pPr>
        <w:rPr>
          <w:rFonts w:cs="Arial"/>
          <w:b/>
          <w:szCs w:val="22"/>
        </w:rPr>
      </w:pPr>
    </w:p>
    <w:p w:rsidR="00F70342" w:rsidRPr="00F70342" w:rsidRDefault="00F70342" w:rsidP="00F70342">
      <w:pPr>
        <w:rPr>
          <w:rFonts w:cs="Arial"/>
          <w:b/>
          <w:szCs w:val="22"/>
        </w:rPr>
      </w:pPr>
      <w:r w:rsidRPr="00F70342">
        <w:rPr>
          <w:rFonts w:cs="Arial"/>
          <w:b/>
          <w:szCs w:val="22"/>
        </w:rPr>
        <w:t>INDICATIVE 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70342" w:rsidRPr="00F70342" w:rsidTr="00F70342">
        <w:tc>
          <w:tcPr>
            <w:tcW w:w="1689" w:type="dxa"/>
            <w:shd w:val="clear" w:color="auto" w:fill="BFBFBF" w:themeFill="background1" w:themeFillShade="BF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HPAH5087</w:t>
            </w:r>
          </w:p>
        </w:tc>
      </w:tr>
      <w:tr w:rsidR="00F70342" w:rsidRPr="00F70342" w:rsidTr="00F70342">
        <w:tc>
          <w:tcPr>
            <w:tcW w:w="1689" w:type="dxa"/>
            <w:shd w:val="clear" w:color="auto" w:fill="BFBFBF" w:themeFill="background1" w:themeFillShade="BF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bCs/>
                <w:szCs w:val="22"/>
              </w:rPr>
            </w:pPr>
            <w:r w:rsidRPr="00F70342">
              <w:rPr>
                <w:rFonts w:cs="Arial"/>
                <w:b/>
                <w:bCs/>
                <w:szCs w:val="22"/>
              </w:rPr>
              <w:t>The World of Han China (206 BCE to 220 CE)</w:t>
            </w:r>
          </w:p>
        </w:tc>
      </w:tr>
      <w:tr w:rsidR="00F70342" w:rsidRPr="00F70342" w:rsidTr="00F70342">
        <w:tc>
          <w:tcPr>
            <w:tcW w:w="1689" w:type="dxa"/>
            <w:shd w:val="clear" w:color="auto" w:fill="BFBFBF" w:themeFill="background1" w:themeFillShade="BF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szCs w:val="22"/>
              </w:rPr>
            </w:pPr>
            <w:r w:rsidRPr="00F70342">
              <w:rPr>
                <w:rFonts w:cs="Arial"/>
                <w:b/>
                <w:szCs w:val="22"/>
              </w:rPr>
              <w:t>Electronic*</w:t>
            </w:r>
          </w:p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 xml:space="preserve">Lewis, Mark E. </w:t>
            </w:r>
            <w:r w:rsidRPr="00F70342">
              <w:rPr>
                <w:rFonts w:cs="Arial"/>
                <w:i/>
                <w:iCs/>
                <w:szCs w:val="22"/>
              </w:rPr>
              <w:t>The Early Chinese Empires: Qin and Han</w:t>
            </w:r>
            <w:r w:rsidRPr="00F70342">
              <w:rPr>
                <w:rFonts w:cs="Arial"/>
                <w:szCs w:val="22"/>
              </w:rPr>
              <w:t>. Cambridge, MA: Harvard University Press, 2010.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2153488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 xml:space="preserve">Marsili, Filippo. </w:t>
            </w:r>
            <w:r w:rsidRPr="00F70342">
              <w:rPr>
                <w:rFonts w:cs="Arial"/>
                <w:i/>
                <w:iCs/>
                <w:szCs w:val="22"/>
              </w:rPr>
              <w:t>Heaven is Empty: A Cross-Cultural Approach to “Religion” and Empire in Ancient China</w:t>
            </w:r>
            <w:r w:rsidRPr="00F70342">
              <w:rPr>
                <w:rFonts w:cs="Arial"/>
                <w:szCs w:val="22"/>
              </w:rPr>
              <w:t>. Albany: State University of New Press, 2018.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3832265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F70342">
              <w:rPr>
                <w:rFonts w:cs="Arial"/>
                <w:szCs w:val="22"/>
                <w:shd w:val="clear" w:color="auto" w:fill="FFFFFF"/>
                <w:lang w:val="de-DE"/>
              </w:rPr>
              <w:t xml:space="preserve">Mutschler, Fritz-Heiner and Achim Mittag. </w:t>
            </w:r>
            <w:r w:rsidRPr="00F70342">
              <w:rPr>
                <w:rFonts w:cs="Arial"/>
                <w:i/>
                <w:iCs/>
                <w:szCs w:val="22"/>
                <w:shd w:val="clear" w:color="auto" w:fill="FFFFFF"/>
              </w:rPr>
              <w:t>Conceiving the Empire: China and Rome Compared.</w:t>
            </w:r>
            <w:r w:rsidRPr="00F70342">
              <w:rPr>
                <w:rFonts w:cs="Arial"/>
                <w:szCs w:val="22"/>
                <w:shd w:val="clear" w:color="auto" w:fill="FFFFFF"/>
              </w:rPr>
              <w:t xml:space="preserve"> Oxford/New York: Oxford University Press, 2008.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7187358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Essential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  <w:shd w:val="clear" w:color="auto" w:fill="FFFFFF"/>
              </w:rPr>
              <w:t>Scheidel, Walter.</w:t>
            </w:r>
            <w:r w:rsidRPr="00F70342">
              <w:rPr>
                <w:rFonts w:cs="Arial"/>
                <w:i/>
                <w:iCs/>
                <w:szCs w:val="22"/>
                <w:shd w:val="clear" w:color="auto" w:fill="FFFFFF"/>
              </w:rPr>
              <w:t> State Power in Ancient China and Rome</w:t>
            </w:r>
            <w:r w:rsidRPr="00F70342">
              <w:rPr>
                <w:rFonts w:cs="Arial"/>
                <w:szCs w:val="22"/>
                <w:shd w:val="clear" w:color="auto" w:fill="FFFFFF"/>
              </w:rPr>
              <w:t>. Oxford: Oxford University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246647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Chin, Tamara T. "Defamiliarizing the Foreigner: Sima Qian's Ethnography and Han-Xiongnu Marriage Diplomacy." </w:t>
            </w:r>
            <w:r w:rsidRPr="00F70342">
              <w:rPr>
                <w:rFonts w:cs="Arial"/>
                <w:i/>
                <w:iCs/>
                <w:szCs w:val="22"/>
              </w:rPr>
              <w:t>Harvard Journal of Asiatic Studies</w:t>
            </w:r>
            <w:r w:rsidRPr="00F70342">
              <w:rPr>
                <w:rFonts w:cs="Arial"/>
                <w:szCs w:val="22"/>
              </w:rPr>
              <w:t> 70, no. 2 (2010): 311-354.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7294160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eastAsia="MS Gothic"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Di Cosmo, N., “Ancient Inner Asian Nomads: Their Economic Basis and Its Significance in Chinese History”, The Journal of Asian Studies Vol. 53 No. 4, 1994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663216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 xml:space="preserve">Di Cosmo, Nicola. </w:t>
            </w:r>
            <w:r w:rsidRPr="00F70342">
              <w:rPr>
                <w:rFonts w:cs="Arial"/>
                <w:i/>
                <w:iCs/>
                <w:szCs w:val="22"/>
              </w:rPr>
              <w:t>Ancient China and its Enemies: The Rise of Nomadic Power in East Asian History</w:t>
            </w:r>
            <w:r w:rsidRPr="00F70342">
              <w:rPr>
                <w:rFonts w:cs="Arial"/>
                <w:szCs w:val="22"/>
              </w:rPr>
              <w:t>. Cambridge: Cambridge University Press, 2002.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71843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 xml:space="preserve">Fan, Ye. </w:t>
            </w:r>
            <w:r w:rsidRPr="00F70342">
              <w:rPr>
                <w:rFonts w:cs="Arial"/>
                <w:i/>
                <w:iCs/>
                <w:szCs w:val="22"/>
              </w:rPr>
              <w:t>Through the Jade Gate to Rome : A Study of the Silk Routes during the Later Han Dynasty 1st to 2nd Centuries CE : An Annotated Translation of the Chronicle on the 'Western Regions' in the Hou Hanshu</w:t>
            </w:r>
            <w:r w:rsidRPr="00F70342">
              <w:rPr>
                <w:rFonts w:cs="Arial"/>
                <w:szCs w:val="22"/>
              </w:rPr>
              <w:t>, edited by John E. Hill. Charleston, South Carolina: Charleston, South Carolina : BookSurge Publishing, 2009.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513266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 xml:space="preserve">Lagerwey, John and Marc Kalinowski. </w:t>
            </w:r>
            <w:r w:rsidRPr="00F70342">
              <w:rPr>
                <w:rFonts w:cs="Arial"/>
                <w:i/>
                <w:iCs/>
                <w:szCs w:val="22"/>
              </w:rPr>
              <w:t>Early Chinese Religion : Shang through Han (1250 Bc-220 Ad)</w:t>
            </w:r>
            <w:r w:rsidRPr="00F70342">
              <w:rPr>
                <w:rFonts w:cs="Arial"/>
                <w:szCs w:val="22"/>
              </w:rPr>
              <w:t>. Early Chinese Religion Ser. 1st ed. Boston: BRILL, 2008.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3976676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F70342">
              <w:rPr>
                <w:rFonts w:ascii="Arial" w:hAnsi="Arial" w:cs="Arial"/>
                <w:sz w:val="22"/>
                <w:szCs w:val="22"/>
              </w:rPr>
              <w:t>Miller, Allison R.</w:t>
            </w:r>
            <w:r w:rsidRPr="00F70342">
              <w:rPr>
                <w:rFonts w:ascii="Arial" w:hAnsi="Arial" w:cs="Arial"/>
                <w:i/>
                <w:iCs/>
                <w:sz w:val="22"/>
                <w:szCs w:val="22"/>
              </w:rPr>
              <w:t> Kingly Splendor: Court Art and Materiality in Han China</w:t>
            </w:r>
            <w:r w:rsidRPr="00F70342">
              <w:rPr>
                <w:rFonts w:ascii="Arial" w:hAnsi="Arial" w:cs="Arial"/>
                <w:sz w:val="22"/>
                <w:szCs w:val="22"/>
              </w:rPr>
              <w:t>. New York: Columbia University Press, 2020.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3580118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Nienhauser, W. H., “Sima Qian and the Shiji”, in A. Feldherr and G. Hardy (eds.), The Oxford History of Historical Writing: Volume 1: Beginnings to AD 600, Oxford University Press, 2015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726385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  <w:shd w:val="clear" w:color="auto" w:fill="FFFFFF"/>
                <w:lang w:val="nl-NL"/>
              </w:rPr>
              <w:t>Nylan, Michael, Griet Vankeerberghen, and Michael Loewe.</w:t>
            </w:r>
            <w:r w:rsidRPr="00F70342">
              <w:rPr>
                <w:rFonts w:cs="Arial"/>
                <w:i/>
                <w:iCs/>
                <w:szCs w:val="22"/>
                <w:shd w:val="clear" w:color="auto" w:fill="FFFFFF"/>
                <w:lang w:val="nl-NL"/>
              </w:rPr>
              <w:t> </w:t>
            </w:r>
            <w:r w:rsidRPr="00F70342">
              <w:rPr>
                <w:rFonts w:cs="Arial"/>
                <w:i/>
                <w:iCs/>
                <w:szCs w:val="22"/>
                <w:shd w:val="clear" w:color="auto" w:fill="FFFFFF"/>
              </w:rPr>
              <w:t>Chang'an 26 BCE: An Augustan Age in China</w:t>
            </w:r>
            <w:r w:rsidRPr="00F70342">
              <w:rPr>
                <w:rFonts w:cs="Arial"/>
                <w:szCs w:val="22"/>
                <w:shd w:val="clear" w:color="auto" w:fill="FFFFFF"/>
              </w:rPr>
              <w:t>. Seattle: University of Washington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5168229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F70342">
              <w:rPr>
                <w:rFonts w:ascii="Arial" w:hAnsi="Arial" w:cs="Arial"/>
                <w:sz w:val="22"/>
                <w:szCs w:val="22"/>
              </w:rPr>
              <w:t>Nylan, Michael. "Sima Qian: A True Historian?" </w:t>
            </w:r>
            <w:r w:rsidRPr="00F70342">
              <w:rPr>
                <w:rFonts w:ascii="Arial" w:hAnsi="Arial" w:cs="Arial"/>
                <w:i/>
                <w:iCs/>
                <w:sz w:val="22"/>
                <w:szCs w:val="22"/>
              </w:rPr>
              <w:t>Early China; Early China</w:t>
            </w:r>
            <w:r w:rsidRPr="00F70342">
              <w:rPr>
                <w:rFonts w:ascii="Arial" w:hAnsi="Arial" w:cs="Arial"/>
                <w:sz w:val="22"/>
                <w:szCs w:val="22"/>
              </w:rPr>
              <w:t> 23, (1998): 203-246.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60341823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F70342">
              <w:rPr>
                <w:rFonts w:ascii="Arial" w:hAnsi="Arial" w:cs="Arial"/>
                <w:sz w:val="22"/>
                <w:szCs w:val="22"/>
              </w:rPr>
              <w:t>Rainey, Lee Dian.</w:t>
            </w:r>
            <w:r w:rsidRPr="00F70342">
              <w:rPr>
                <w:rFonts w:ascii="Arial" w:hAnsi="Arial" w:cs="Arial"/>
                <w:i/>
                <w:iCs/>
                <w:sz w:val="22"/>
                <w:szCs w:val="22"/>
              </w:rPr>
              <w:t> Confucius &amp; Confucianism: The Essentials</w:t>
            </w:r>
            <w:r w:rsidRPr="00F70342">
              <w:rPr>
                <w:rFonts w:ascii="Arial" w:hAnsi="Arial" w:cs="Arial"/>
                <w:sz w:val="22"/>
                <w:szCs w:val="22"/>
              </w:rPr>
              <w:t>. Oxford ; Malden, Mass.: Wiley-Blackwell, 2010.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2333625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F70342">
              <w:rPr>
                <w:rStyle w:val="Emphasis"/>
                <w:rFonts w:cs="Arial"/>
                <w:color w:val="333333"/>
                <w:szCs w:val="22"/>
              </w:rPr>
              <w:t>Sanft, Charles. Literate Community in Early Imperial China: The Northwest During Han Times.</w:t>
            </w:r>
            <w:r w:rsidRPr="00F70342">
              <w:rPr>
                <w:rStyle w:val="Emphasis"/>
                <w:rFonts w:cs="Arial"/>
                <w:szCs w:val="22"/>
              </w:rPr>
              <w:t xml:space="preserve"> </w:t>
            </w:r>
            <w:r w:rsidRPr="00F70342">
              <w:rPr>
                <w:rFonts w:cs="Arial"/>
                <w:color w:val="333333"/>
                <w:szCs w:val="22"/>
              </w:rPr>
              <w:t>Albany: State University of New York Press, 2019.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9987286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  <w:shd w:val="clear" w:color="auto" w:fill="FFFFFF"/>
              </w:rPr>
            </w:pPr>
            <w:r w:rsidRPr="00F70342">
              <w:rPr>
                <w:rStyle w:val="Emphasis"/>
                <w:rFonts w:cs="Arial"/>
                <w:color w:val="333333"/>
                <w:szCs w:val="22"/>
              </w:rPr>
              <w:t>Sanft, Charles. Communication and Cooperation in Early Imperial China.</w:t>
            </w:r>
            <w:r w:rsidRPr="00F70342">
              <w:rPr>
                <w:rStyle w:val="Emphasis"/>
                <w:rFonts w:cs="Arial"/>
                <w:szCs w:val="22"/>
              </w:rPr>
              <w:t xml:space="preserve"> </w:t>
            </w:r>
            <w:r w:rsidRPr="00F70342">
              <w:rPr>
                <w:rFonts w:cs="Arial"/>
                <w:color w:val="333333"/>
                <w:szCs w:val="22"/>
              </w:rPr>
              <w:t>Albany: State University of New York Press, 2014.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3491393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  <w:shd w:val="clear" w:color="auto" w:fill="FFFFFF"/>
              </w:rPr>
              <w:t>Stuurman, Siep. "Herodotus and Sima Qian: History and the Anthropological Turn in Ancient Greece and Han China." </w:t>
            </w:r>
            <w:r w:rsidRPr="00F70342">
              <w:rPr>
                <w:rFonts w:cs="Arial"/>
                <w:i/>
                <w:iCs/>
                <w:szCs w:val="22"/>
                <w:shd w:val="clear" w:color="auto" w:fill="FFFFFF"/>
              </w:rPr>
              <w:t>Journal of World History</w:t>
            </w:r>
            <w:r w:rsidRPr="00F70342">
              <w:rPr>
                <w:rFonts w:cs="Arial"/>
                <w:szCs w:val="22"/>
                <w:shd w:val="clear" w:color="auto" w:fill="FFFFFF"/>
              </w:rPr>
              <w:t> 19, no. 1 (2008): 1-40.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7454037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F70342" w:rsidRPr="00F70342" w:rsidTr="00F70342">
        <w:tc>
          <w:tcPr>
            <w:tcW w:w="1689" w:type="dxa"/>
          </w:tcPr>
          <w:p w:rsidR="00F70342" w:rsidRPr="00F70342" w:rsidRDefault="00F70342" w:rsidP="00B80AB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szCs w:val="22"/>
              </w:rPr>
            </w:pPr>
            <w:r w:rsidRPr="00F70342">
              <w:rPr>
                <w:rFonts w:cs="Arial"/>
                <w:szCs w:val="22"/>
              </w:rPr>
              <w:t>Further</w:t>
            </w:r>
          </w:p>
        </w:tc>
        <w:tc>
          <w:tcPr>
            <w:tcW w:w="5605" w:type="dxa"/>
          </w:tcPr>
          <w:p w:rsidR="00F70342" w:rsidRPr="00F70342" w:rsidRDefault="00F70342" w:rsidP="00B80ABD">
            <w:pPr>
              <w:pStyle w:val="NormalWeb"/>
              <w:shd w:val="clear" w:color="auto" w:fill="FFFFFF"/>
              <w:spacing w:before="0" w:beforeAutospacing="0" w:after="120" w:afterAutospacing="0"/>
              <w:rPr>
                <w:rFonts w:ascii="Arial" w:hAnsi="Arial" w:cs="Arial"/>
                <w:sz w:val="22"/>
                <w:szCs w:val="22"/>
              </w:rPr>
            </w:pPr>
            <w:r w:rsidRPr="00F70342">
              <w:rPr>
                <w:rFonts w:ascii="Arial" w:hAnsi="Arial" w:cs="Arial"/>
                <w:sz w:val="22"/>
                <w:szCs w:val="22"/>
              </w:rPr>
              <w:t>Zhao, Dingxin.</w:t>
            </w:r>
            <w:r w:rsidRPr="00F70342">
              <w:rPr>
                <w:rFonts w:ascii="Arial" w:hAnsi="Arial" w:cs="Arial"/>
                <w:i/>
                <w:iCs/>
                <w:sz w:val="22"/>
                <w:szCs w:val="22"/>
              </w:rPr>
              <w:t> The Confucian-Legalist State : A New Theory of Chinese History</w:t>
            </w:r>
            <w:r w:rsidRPr="00F70342">
              <w:rPr>
                <w:rFonts w:ascii="Arial" w:hAnsi="Arial" w:cs="Arial"/>
                <w:sz w:val="22"/>
                <w:szCs w:val="22"/>
              </w:rPr>
              <w:t>. Oxford: Oxford University Press, 2015.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6089323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F70342" w:rsidRPr="00F70342" w:rsidRDefault="00F70342" w:rsidP="00B80ABD">
                <w:pPr>
                  <w:spacing w:after="120"/>
                  <w:jc w:val="center"/>
                  <w:rPr>
                    <w:rFonts w:cs="Arial"/>
                    <w:szCs w:val="22"/>
                  </w:rPr>
                </w:pPr>
                <w:r w:rsidRPr="00F70342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:rsidR="00B3318C" w:rsidRPr="00F70342" w:rsidRDefault="00B3318C" w:rsidP="002E13CA">
      <w:pPr>
        <w:pStyle w:val="HTMLPreformatted"/>
        <w:rPr>
          <w:rFonts w:cs="Arial"/>
        </w:rPr>
      </w:pPr>
    </w:p>
    <w:sectPr w:rsidR="00B3318C" w:rsidRPr="00F70342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342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  <w:rsid w:val="00F70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F7E11F0-4761-4943-812B-737D6105D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qFormat/>
    <w:rsid w:val="00F70342"/>
    <w:rPr>
      <w:rFonts w:ascii="Arial" w:hAnsi="Arial"/>
      <w:sz w:val="22"/>
    </w:rPr>
  </w:style>
  <w:style w:type="character" w:customStyle="1" w:styleId="fixedChar">
    <w:name w:val="fixed Char"/>
    <w:link w:val="fixed"/>
    <w:qFormat/>
    <w:rsid w:val="00F70342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F70342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F70342"/>
    <w:rPr>
      <w:rFonts w:ascii="Calibri" w:eastAsia="Calibri" w:hAnsi="Calibri"/>
      <w:sz w:val="22"/>
      <w:szCs w:val="22"/>
      <w:lang w:val="en-US" w:eastAsia="en-US"/>
    </w:rPr>
  </w:style>
  <w:style w:type="paragraph" w:styleId="NormalWeb">
    <w:name w:val="Normal (Web)"/>
    <w:basedOn w:val="Normal"/>
    <w:uiPriority w:val="99"/>
    <w:rsid w:val="00F70342"/>
    <w:pPr>
      <w:overflowPunct/>
      <w:autoSpaceDE/>
      <w:autoSpaceDN/>
      <w:adjustRightInd/>
      <w:spacing w:before="100" w:beforeAutospacing="1" w:after="100" w:afterAutospacing="1" w:line="276" w:lineRule="auto"/>
      <w:jc w:val="left"/>
      <w:textAlignment w:val="auto"/>
    </w:pPr>
    <w:rPr>
      <w:rFonts w:ascii="Georgia" w:eastAsia="SimSun" w:hAnsi="Georgia"/>
      <w:color w:val="000000"/>
      <w:sz w:val="21"/>
      <w:szCs w:val="21"/>
      <w:lang w:eastAsia="zh-CN"/>
    </w:rPr>
  </w:style>
  <w:style w:type="table" w:styleId="TableGrid">
    <w:name w:val="Table Grid"/>
    <w:basedOn w:val="TableNormal"/>
    <w:uiPriority w:val="59"/>
    <w:rsid w:val="00F70342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uiPriority w:val="20"/>
    <w:qFormat/>
    <w:rsid w:val="00F70342"/>
    <w:rPr>
      <w:i/>
      <w:iCs/>
    </w:rPr>
  </w:style>
  <w:style w:type="character" w:customStyle="1" w:styleId="normaltextrun">
    <w:name w:val="normaltextrun"/>
    <w:basedOn w:val="DefaultParagraphFont"/>
    <w:rsid w:val="00F70342"/>
  </w:style>
  <w:style w:type="character" w:customStyle="1" w:styleId="eop">
    <w:name w:val="eop"/>
    <w:basedOn w:val="DefaultParagraphFont"/>
    <w:rsid w:val="00F70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BE319B4E5ED463C91EB3ED32D2395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D5C596-24EB-485D-BF23-452A553A7786}"/>
      </w:docPartPr>
      <w:docPartBody>
        <w:p w:rsidR="00000000" w:rsidRDefault="001905C2" w:rsidP="001905C2">
          <w:pPr>
            <w:pStyle w:val="CBE319B4E5ED463C91EB3ED32D23954E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887EF74CC64541A6959D7562771BEF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EE62AB-E4E9-4236-84C0-764D5DBF569C}"/>
      </w:docPartPr>
      <w:docPartBody>
        <w:p w:rsidR="00000000" w:rsidRDefault="001905C2" w:rsidP="001905C2">
          <w:pPr>
            <w:pStyle w:val="887EF74CC64541A6959D7562771BEF23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5C2"/>
    <w:rsid w:val="00190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905C2"/>
    <w:rPr>
      <w:color w:val="808080"/>
    </w:rPr>
  </w:style>
  <w:style w:type="paragraph" w:customStyle="1" w:styleId="CBE319B4E5ED463C91EB3ED32D23954E">
    <w:name w:val="CBE319B4E5ED463C91EB3ED32D23954E"/>
    <w:rsid w:val="001905C2"/>
  </w:style>
  <w:style w:type="paragraph" w:customStyle="1" w:styleId="887EF74CC64541A6959D7562771BEF23">
    <w:name w:val="887EF74CC64541A6959D7562771BEF23"/>
    <w:rsid w:val="001905C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685</Words>
  <Characters>3910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Shaunna Campbell-Cross</dc:creator>
  <cp:keywords/>
  <cp:lastModifiedBy>Shaunna Campbell-Cross</cp:lastModifiedBy>
  <cp:revision>1</cp:revision>
  <cp:lastPrinted>1900-01-01T00:00:00Z</cp:lastPrinted>
  <dcterms:created xsi:type="dcterms:W3CDTF">2023-03-30T10:04:00Z</dcterms:created>
  <dcterms:modified xsi:type="dcterms:W3CDTF">2023-03-30T10:04:00Z</dcterms:modified>
</cp:coreProperties>
</file>