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rFonts w:ascii="Times New Roman" w:cs="Times New Roman" w:eastAsia="Times New Roman" w:hAnsi="Times New Roman"/>
          <w:b w:val="1"/>
          <w:bCs w:val="1"/>
          <w:sz w:val="26"/>
          <w:szCs w:val="26"/>
          <w:rtl w:val="0"/>
        </w:rPr>
        <w:t xml:space="preserve">The Material Culture of Death</w:t>
      </w: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How does the material culture of TT99 illustrate the position Senneferi had in ancient Egyptian society?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Death was not understood by the ancient Egyptians as an end, but as a transition into a new status that required careful preparation in both ritual and material terms. The physical environments that were created for the dead, for example, tombs, burial goods, inscriptions and artwork, formed part of a broader material culture that expressed beliefs about the afterlife while at the same time reflecting the social identity and status of the deceased. They not only functioned as funerary spaces but also shows memory and status, constructed to preserve achievements and place within the social hierarchy. The Theban tomb TT99, located in Thebes provides a case study that examines the relationship between death, culture and social identity in ancient Egypt. The tomb belonged to Senneferi, ‘who had a number of priestly titles’ for example ‘overseer of seal-bearers’ and ‘chancellor’ </w:t>
      </w:r>
      <w:r w:rsidDel="00000000" w:rsidR="00000000" w:rsidRPr="00000000">
        <w:rPr>
          <w:rFonts w:ascii="Georgia" w:cs="Georgia" w:eastAsia="Georgia" w:hAnsi="Georgia"/>
          <w:sz w:val="24"/>
          <w:szCs w:val="24"/>
          <w:vertAlign w:val="superscript"/>
        </w:rPr>
        <w:footnoteReference w:customMarkFollows="0" w:id="0"/>
      </w:r>
      <w:r w:rsidDel="00000000" w:rsidR="00000000" w:rsidRPr="00000000">
        <w:rPr>
          <w:rFonts w:ascii="Georgia" w:cs="Georgia" w:eastAsia="Georgia" w:hAnsi="Georgia"/>
          <w:sz w:val="24"/>
          <w:szCs w:val="24"/>
          <w:rtl w:val="0"/>
        </w:rPr>
        <w:t xml:space="preserve">. TT99 has complex architectural planning with decorative items and displays designed to ensure the tomb owner, in this case Senneferi, a successful transition into the afterlife while also showing his status and achievements. </w:t>
      </w:r>
    </w:p>
    <w:p w:rsidR="00000000" w:rsidDel="00000000" w:rsidP="00000000" w:rsidRDefault="00000000" w:rsidRPr="00000000" w14:paraId="00000005">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This essay will examine how the material culture of TT99 reflects the social position of Sennefier within ancient Egyptian society. It will describe the architectural features of the tomb and analyse the decorations and artefacts associated with the tomb, considering how scenes, inscriptions and objects relate to the funerary beliefs and elite identity. The essay will also explore how these elements illustrate Sennefier’s administrative role, wealth and social standing, demonstrating how tombs functioned as a medium through which status and memory were expressed in ancient Egypt. </w:t>
      </w:r>
    </w:p>
    <w:p w:rsidR="00000000" w:rsidDel="00000000" w:rsidP="00000000" w:rsidRDefault="00000000" w:rsidRPr="00000000" w14:paraId="00000006">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7">
      <w:pPr>
        <w:rPr/>
      </w:pPr>
      <w:r w:rsidDel="00000000" w:rsidR="00000000" w:rsidRPr="00000000">
        <w:rPr>
          <w:rFonts w:ascii="Georgia" w:cs="Georgia" w:eastAsia="Georgia" w:hAnsi="Georgia"/>
          <w:sz w:val="24"/>
          <w:szCs w:val="24"/>
          <w:rtl w:val="0"/>
        </w:rPr>
        <w:t xml:space="preserve">The book, </w:t>
      </w:r>
      <w:r w:rsidDel="00000000" w:rsidR="00000000" w:rsidRPr="00000000">
        <w:rPr>
          <w:rFonts w:ascii="Georgia" w:cs="Georgia" w:eastAsia="Georgia" w:hAnsi="Georgia"/>
          <w:i w:val="1"/>
          <w:iCs w:val="1"/>
          <w:sz w:val="24"/>
          <w:szCs w:val="24"/>
          <w:rtl w:val="0"/>
        </w:rPr>
        <w:t xml:space="preserve">The Tomb of Pharoah’s Chancellor Senneferi at Thebes TT99, </w:t>
      </w:r>
      <w:r w:rsidDel="00000000" w:rsidR="00000000" w:rsidRPr="00000000">
        <w:rPr>
          <w:rFonts w:ascii="Georgia" w:cs="Georgia" w:eastAsia="Georgia" w:hAnsi="Georgia"/>
          <w:sz w:val="24"/>
          <w:szCs w:val="24"/>
          <w:rtl w:val="0"/>
        </w:rPr>
        <w:t xml:space="preserve">written in 2016 and edited by Nigel Strudwick, gives insight into Senneferi’s life and offers a detailed understanding of ancient Egyptian culture surrounding death. The book has different chapters surrounding the tomb, providing information about the architecture and decorations used. It highlights the role Senneferi played and the high status he held. This essay's description and analysis will be based on this book. ‘TT99 refers to a numbered private tomb in the Theban necropolis of ancient Egypt.. It forms part of an extensive group commonly known as the Tombs of the Nobles’</w:t>
      </w:r>
      <w:r w:rsidDel="00000000" w:rsidR="00000000" w:rsidRPr="00000000">
        <w:rPr>
          <w:rFonts w:ascii="Georgia" w:cs="Georgia" w:eastAsia="Georgia" w:hAnsi="Georgia"/>
          <w:sz w:val="24"/>
          <w:szCs w:val="24"/>
          <w:vertAlign w:val="superscript"/>
        </w:rPr>
        <w:footnoteReference w:customMarkFollows="0" w:id="1"/>
      </w:r>
      <w:r w:rsidDel="00000000" w:rsidR="00000000" w:rsidRPr="00000000">
        <w:rPr>
          <w:rFonts w:ascii="Georgia" w:cs="Georgia" w:eastAsia="Georgia" w:hAnsi="Georgia"/>
          <w:sz w:val="24"/>
          <w:szCs w:val="24"/>
          <w:rtl w:val="0"/>
        </w:rPr>
        <w:t xml:space="preserve">.</w:t>
      </w:r>
      <w:r w:rsidDel="00000000" w:rsidR="00000000" w:rsidRPr="00000000">
        <w:rPr>
          <w:rtl w:val="0"/>
        </w:rPr>
      </w:r>
    </w:p>
    <w:p w:rsidR="00000000" w:rsidDel="00000000" w:rsidP="00000000" w:rsidRDefault="00000000" w:rsidRPr="00000000" w14:paraId="00000008">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9">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Tomb known as TT99 belongs to Senneferi, a high official who served during the Eighteenth Dynasty of Egypt.</w:t>
      </w:r>
      <w:r w:rsidDel="00000000" w:rsidR="00000000" w:rsidRPr="00000000">
        <w:rPr>
          <w:rFonts w:ascii="Georgia" w:cs="Georgia" w:eastAsia="Georgia" w:hAnsi="Georgia"/>
          <w:sz w:val="24"/>
          <w:szCs w:val="24"/>
          <w:vertAlign w:val="superscript"/>
        </w:rPr>
        <w:footnoteReference w:customMarkFollows="0" w:id="2"/>
      </w:r>
      <w:r w:rsidDel="00000000" w:rsidR="00000000" w:rsidRPr="00000000">
        <w:rPr>
          <w:rFonts w:ascii="Georgia" w:cs="Georgia" w:eastAsia="Georgia" w:hAnsi="Georgia"/>
          <w:sz w:val="24"/>
          <w:szCs w:val="24"/>
          <w:rtl w:val="0"/>
        </w:rPr>
        <w:t xml:space="preserve"> Senneferi held many titles, however the title that is reported to appear most often is the “overseer of sealers’, an important administrative and economic office responsible for looking after the royal sealing system used to secure goods, storage facilities and official documents. Such a role placed him within the upper Egypt’s bureaucratic elites, closely connected to the palace and state economy. It indicates a ‘close relationship with the king’</w:t>
      </w:r>
      <w:r w:rsidDel="00000000" w:rsidR="00000000" w:rsidRPr="00000000">
        <w:rPr>
          <w:rFonts w:ascii="Georgia" w:cs="Georgia" w:eastAsia="Georgia" w:hAnsi="Georgia"/>
          <w:sz w:val="24"/>
          <w:szCs w:val="24"/>
          <w:vertAlign w:val="superscript"/>
        </w:rPr>
        <w:footnoteReference w:customMarkFollows="0" w:id="3"/>
      </w:r>
      <w:r w:rsidDel="00000000" w:rsidR="00000000" w:rsidRPr="00000000">
        <w:rPr>
          <w:rFonts w:ascii="Georgia" w:cs="Georgia" w:eastAsia="Georgia" w:hAnsi="Georgia"/>
          <w:sz w:val="24"/>
          <w:szCs w:val="24"/>
          <w:rtl w:val="0"/>
        </w:rPr>
        <w:t xml:space="preserve">. Furthermore for a time Senneferi was charged with the care and education of prince Siamun.</w:t>
      </w:r>
      <w:r w:rsidDel="00000000" w:rsidR="00000000" w:rsidRPr="00000000">
        <w:rPr>
          <w:rFonts w:ascii="Georgia" w:cs="Georgia" w:eastAsia="Georgia" w:hAnsi="Georgia"/>
          <w:sz w:val="24"/>
          <w:szCs w:val="24"/>
          <w:vertAlign w:val="superscript"/>
        </w:rPr>
        <w:footnoteReference w:customMarkFollows="0" w:id="4"/>
      </w:r>
      <w:r w:rsidDel="00000000" w:rsidR="00000000" w:rsidRPr="00000000">
        <w:rPr>
          <w:rFonts w:ascii="Georgia" w:cs="Georgia" w:eastAsia="Georgia" w:hAnsi="Georgia"/>
          <w:sz w:val="24"/>
          <w:szCs w:val="24"/>
          <w:rtl w:val="0"/>
        </w:rPr>
        <w:t xml:space="preserve"> His burial in the elite area of Thebes further reflects his status. Tombs built at Sheikh Abdel Qurna, the location of TT99, were monuments that expressed rank, identity and proximity to royal power. ‘At the time of construction, the tomb would have been a prominent landmark, commensurate with Senneferi’s importance and wealth.’</w:t>
      </w:r>
      <w:r w:rsidDel="00000000" w:rsidR="00000000" w:rsidRPr="00000000">
        <w:rPr>
          <w:rFonts w:ascii="Georgia" w:cs="Georgia" w:eastAsia="Georgia" w:hAnsi="Georgia"/>
          <w:sz w:val="24"/>
          <w:szCs w:val="24"/>
          <w:vertAlign w:val="superscript"/>
        </w:rPr>
        <w:footnoteReference w:customMarkFollows="0" w:id="5"/>
      </w:r>
      <w:r w:rsidDel="00000000" w:rsidR="00000000" w:rsidRPr="00000000">
        <w:rPr>
          <w:rtl w:val="0"/>
        </w:rPr>
      </w:r>
    </w:p>
    <w:p w:rsidR="00000000" w:rsidDel="00000000" w:rsidP="00000000" w:rsidRDefault="00000000" w:rsidRPr="00000000" w14:paraId="0000000A">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B">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architecture of TT99, reflects the design of elite non-royal tombs from this time. ‘The monument consists of four major distinct areas: a superstructure, an open courtyard, a chapel and underground apartments.’</w:t>
      </w:r>
      <w:r w:rsidDel="00000000" w:rsidR="00000000" w:rsidRPr="00000000">
        <w:rPr>
          <w:rFonts w:ascii="Georgia" w:cs="Georgia" w:eastAsia="Georgia" w:hAnsi="Georgia"/>
          <w:sz w:val="24"/>
          <w:szCs w:val="24"/>
          <w:vertAlign w:val="superscript"/>
        </w:rPr>
        <w:footnoteReference w:customMarkFollows="0" w:id="6"/>
      </w:r>
      <w:r w:rsidDel="00000000" w:rsidR="00000000" w:rsidRPr="00000000">
        <w:rPr>
          <w:rFonts w:ascii="Georgia" w:cs="Georgia" w:eastAsia="Georgia" w:hAnsi="Georgia"/>
          <w:sz w:val="24"/>
          <w:szCs w:val="24"/>
          <w:rtl w:val="0"/>
        </w:rPr>
        <w:t xml:space="preserve">  These spaces were intended for both ritual activity and eternal commemoration. The courtyard functioned as </w:t>
      </w:r>
      <w:r w:rsidDel="00000000" w:rsidR="00000000" w:rsidRPr="00000000">
        <w:rPr>
          <w:rFonts w:ascii="Georgia" w:cs="Georgia" w:eastAsia="Georgia" w:hAnsi="Georgia"/>
          <w:sz w:val="24"/>
          <w:szCs w:val="24"/>
          <w:rtl w:val="0"/>
        </w:rPr>
        <w:t xml:space="preserve">‘</w:t>
      </w:r>
      <w:r w:rsidDel="00000000" w:rsidR="00000000" w:rsidRPr="00000000">
        <w:rPr>
          <w:rFonts w:ascii="Georgia" w:cs="Georgia" w:eastAsia="Georgia" w:hAnsi="Georgia"/>
          <w:sz w:val="24"/>
          <w:szCs w:val="24"/>
          <w:rtl w:val="0"/>
        </w:rPr>
        <w:t xml:space="preserve">a transitional ritual space where funerary ceremonies associated with burial and commemorative cult practices could be performed.</w:t>
      </w:r>
      <w:r w:rsidDel="00000000" w:rsidR="00000000" w:rsidRPr="00000000">
        <w:rPr>
          <w:color w:val="444444"/>
          <w:sz w:val="26"/>
          <w:szCs w:val="26"/>
          <w:rtl w:val="0"/>
        </w:rPr>
        <w:t xml:space="preserve">’</w:t>
      </w:r>
      <w:r w:rsidDel="00000000" w:rsidR="00000000" w:rsidRPr="00000000">
        <w:rPr>
          <w:color w:val="444444"/>
          <w:sz w:val="26"/>
          <w:szCs w:val="26"/>
          <w:vertAlign w:val="superscript"/>
        </w:rPr>
        <w:footnoteReference w:customMarkFollows="0" w:id="7"/>
      </w:r>
      <w:r w:rsidDel="00000000" w:rsidR="00000000" w:rsidRPr="00000000">
        <w:rPr>
          <w:color w:val="444444"/>
          <w:sz w:val="26"/>
          <w:szCs w:val="26"/>
          <w:rtl w:val="0"/>
        </w:rPr>
        <w:t xml:space="preserve"> </w:t>
      </w:r>
      <w:r w:rsidDel="00000000" w:rsidR="00000000" w:rsidRPr="00000000">
        <w:rPr>
          <w:rFonts w:ascii="Georgia" w:cs="Georgia" w:eastAsia="Georgia" w:hAnsi="Georgia"/>
          <w:sz w:val="24"/>
          <w:szCs w:val="24"/>
          <w:rtl w:val="0"/>
        </w:rPr>
        <w:t xml:space="preserve">Highlighting Senneferi’s importance within the social and religious landscape. From the courtyard, there is an entrance that leads into the chapel that served as the ‘primary locus for offering rituals’ often conducted by family members or priests. The chapel follows an inverted t-shape which was very common among private tombs in the New Kingdom. The  walls display decorations and words, reinforcing his role and close association with the king. Beyond the chapel are the spaces intended for burial. ‘These spaces housed the coffin and funerary assemblage of the tomb owner and were physically separated from the cult chapel above.’</w:t>
      </w:r>
      <w:r w:rsidDel="00000000" w:rsidR="00000000" w:rsidRPr="00000000">
        <w:rPr>
          <w:rFonts w:ascii="Georgia" w:cs="Georgia" w:eastAsia="Georgia" w:hAnsi="Georgia"/>
          <w:sz w:val="24"/>
          <w:szCs w:val="24"/>
          <w:vertAlign w:val="superscript"/>
        </w:rPr>
        <w:footnoteReference w:customMarkFollows="0" w:id="8"/>
      </w:r>
      <w:r w:rsidDel="00000000" w:rsidR="00000000" w:rsidRPr="00000000">
        <w:rPr>
          <w:rFonts w:ascii="Georgia" w:cs="Georgia" w:eastAsia="Georgia" w:hAnsi="Georgia"/>
          <w:sz w:val="24"/>
          <w:szCs w:val="24"/>
          <w:rtl w:val="0"/>
        </w:rPr>
        <w:t xml:space="preserve"> The decorative programmes that are displayed in this area, for example imagery of Senneferi receiving royal commissions, reinforces his social status, ensuring his continued existence within the Egyptian concept of afterlife.</w:t>
      </w:r>
      <w:r w:rsidDel="00000000" w:rsidR="00000000" w:rsidRPr="00000000">
        <w:rPr>
          <w:rFonts w:ascii="Georgia" w:cs="Georgia" w:eastAsia="Georgia" w:hAnsi="Georgia"/>
          <w:sz w:val="24"/>
          <w:szCs w:val="24"/>
          <w:vertAlign w:val="superscript"/>
        </w:rPr>
        <w:footnoteReference w:customMarkFollows="0" w:id="9"/>
      </w:r>
      <w:r w:rsidDel="00000000" w:rsidR="00000000" w:rsidRPr="00000000">
        <w:rPr>
          <w:rtl w:val="0"/>
        </w:rPr>
      </w:r>
    </w:p>
    <w:p w:rsidR="00000000" w:rsidDel="00000000" w:rsidP="00000000" w:rsidRDefault="00000000" w:rsidRPr="00000000" w14:paraId="0000000C">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D">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decorative program of TT99 plays a crucial role in expressing both the social identity and the afterlife Senneferi hoped for. Like many elite tombs, the walls are covered with painted reliefs that combine scenes of daily life, funerary ritual and administrative activity.  ‘The Front room of TT99 presents a combination of the major achievements of the tomb owner and his relationship to the king’ </w:t>
      </w:r>
      <w:r w:rsidDel="00000000" w:rsidR="00000000" w:rsidRPr="00000000">
        <w:rPr>
          <w:rFonts w:ascii="Georgia" w:cs="Georgia" w:eastAsia="Georgia" w:hAnsi="Georgia"/>
          <w:sz w:val="24"/>
          <w:szCs w:val="24"/>
          <w:vertAlign w:val="superscript"/>
        </w:rPr>
        <w:footnoteReference w:customMarkFollows="0" w:id="10"/>
      </w:r>
      <w:r w:rsidDel="00000000" w:rsidR="00000000" w:rsidRPr="00000000">
        <w:rPr>
          <w:rFonts w:ascii="Georgia" w:cs="Georgia" w:eastAsia="Georgia" w:hAnsi="Georgia"/>
          <w:sz w:val="24"/>
          <w:szCs w:val="24"/>
          <w:rtl w:val="0"/>
        </w:rPr>
        <w:t xml:space="preserve">. Furthermore two of the principle offering locations reside in this room. The whole west wall presents scenes of him with the deities of the tomb known as Osiris and Anubis, while also containing a summary of his achievements and what is presumed to be his funeral scene. The paintings in Senneferi's tomb are often debated as colours and thickness in lines vary, even in the same hieroglyphs. Nigel Strudwick provides many comparisons, for example the signs in the rear room seem less delicately drawn than those in the outer chamber. Strudwick states ‘perhaps it was the work of an inferior/apprentice craftsman; or was it finished in hurry?’</w:t>
      </w:r>
      <w:r w:rsidDel="00000000" w:rsidR="00000000" w:rsidRPr="00000000">
        <w:rPr>
          <w:rFonts w:ascii="Georgia" w:cs="Georgia" w:eastAsia="Georgia" w:hAnsi="Georgia"/>
          <w:sz w:val="24"/>
          <w:szCs w:val="24"/>
          <w:vertAlign w:val="superscript"/>
        </w:rPr>
        <w:footnoteReference w:customMarkFollows="0" w:id="11"/>
      </w:r>
      <w:r w:rsidDel="00000000" w:rsidR="00000000" w:rsidRPr="00000000">
        <w:rPr>
          <w:rFonts w:ascii="Georgia" w:cs="Georgia" w:eastAsia="Georgia" w:hAnsi="Georgia"/>
          <w:sz w:val="24"/>
          <w:szCs w:val="24"/>
          <w:rtl w:val="0"/>
        </w:rPr>
        <w:t xml:space="preserve"> highlighting that there are still arguments and debates surrounding this area of study. However, the carefully organised scenes and inclusion of his everyday life and also the sacred imagery, all show that Senneferi belonged to the upper class of society. His tomb is used as a lasting statement of status and identity in ancient Egyptian culture. </w:t>
      </w:r>
    </w:p>
    <w:p w:rsidR="00000000" w:rsidDel="00000000" w:rsidP="00000000" w:rsidRDefault="00000000" w:rsidRPr="00000000" w14:paraId="0000000E">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F">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finds from TT99 further highlight the material culture of death. Excavations have uncovered fragments of black, coffins, some decorated with traces of gold leaf, indicating high quality craftsmanship and expense.</w:t>
      </w:r>
      <w:r w:rsidDel="00000000" w:rsidR="00000000" w:rsidRPr="00000000">
        <w:rPr>
          <w:rFonts w:ascii="Georgia" w:cs="Georgia" w:eastAsia="Georgia" w:hAnsi="Georgia"/>
          <w:sz w:val="24"/>
          <w:szCs w:val="24"/>
          <w:vertAlign w:val="superscript"/>
        </w:rPr>
        <w:footnoteReference w:customMarkFollows="0" w:id="12"/>
      </w:r>
      <w:r w:rsidDel="00000000" w:rsidR="00000000" w:rsidRPr="00000000">
        <w:rPr>
          <w:rFonts w:ascii="Georgia" w:cs="Georgia" w:eastAsia="Georgia" w:hAnsi="Georgia"/>
          <w:sz w:val="24"/>
          <w:szCs w:val="24"/>
          <w:rtl w:val="0"/>
        </w:rPr>
        <w:t xml:space="preserve"> The decoration would have included protective deities, funerary texts and symbols designed to create a safe place for the deceased and help with their transformation into the afterlife. Furthermore during excavations an extensive amount of pottery was recovered from the chambers. This ceramic material includes jars, offering vessels and tableware, many of which would have been used to hold food, drink, and drink intended to sustain Senneferi in the afterlife. The volume of pottery suggests repeated episodes of ritual activity, potentially expanding beyond the initial burial.</w:t>
      </w:r>
    </w:p>
    <w:p w:rsidR="00000000" w:rsidDel="00000000" w:rsidP="00000000" w:rsidRDefault="00000000" w:rsidRPr="00000000" w14:paraId="00000010">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human remains that were found in the tomb provide further insight into the burial practices within TT99. According to the TT99 excavation website, written by Nigel Strudwick, five adult remains have been found within the tomb including three females and two males. Due to how badly damaged the remains are it is impossible to figure out which remains belong to Senneferi, however we can tell that intensive care was taken during the mummification process. Evidence of resin use and careful wrapping indicates that Senneferi and his family were of high importance.</w:t>
      </w:r>
      <w:r w:rsidDel="00000000" w:rsidR="00000000" w:rsidRPr="00000000">
        <w:rPr>
          <w:rFonts w:ascii="Georgia" w:cs="Georgia" w:eastAsia="Georgia" w:hAnsi="Georgia"/>
          <w:sz w:val="24"/>
          <w:szCs w:val="24"/>
          <w:vertAlign w:val="superscript"/>
        </w:rPr>
        <w:footnoteReference w:customMarkFollows="0" w:id="13"/>
      </w:r>
      <w:r w:rsidDel="00000000" w:rsidR="00000000" w:rsidRPr="00000000">
        <w:rPr>
          <w:rtl w:val="0"/>
        </w:rPr>
      </w:r>
    </w:p>
    <w:p w:rsidR="00000000" w:rsidDel="00000000" w:rsidP="00000000" w:rsidRDefault="00000000" w:rsidRPr="00000000" w14:paraId="00000011">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distribution of finds within TT99 reveal that the tomb experienced multiple phases of use and disturbance. Intrusions, reuse of the burial space and possible looting have all affected the archaeological record. Despite this, the surviving material still shows that this was an elite burial within the group of non-royal nobles. </w:t>
      </w:r>
    </w:p>
    <w:p w:rsidR="00000000" w:rsidDel="00000000" w:rsidP="00000000" w:rsidRDefault="00000000" w:rsidRPr="00000000" w14:paraId="00000012">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b w:val="1"/>
          <w:bCs w:val="1"/>
          <w:sz w:val="26"/>
          <w:szCs w:val="26"/>
        </w:rPr>
      </w:pPr>
      <w:r w:rsidDel="00000000" w:rsidR="00000000" w:rsidRPr="00000000">
        <w:rPr>
          <w:rFonts w:ascii="Times New Roman" w:cs="Times New Roman" w:eastAsia="Times New Roman" w:hAnsi="Times New Roman"/>
          <w:b w:val="1"/>
          <w:bCs w:val="1"/>
          <w:sz w:val="26"/>
          <w:szCs w:val="26"/>
          <w:rtl w:val="0"/>
        </w:rPr>
        <w:t xml:space="preserve">Conclusion</w:t>
      </w:r>
    </w:p>
    <w:p w:rsidR="00000000" w:rsidDel="00000000" w:rsidP="00000000" w:rsidRDefault="00000000" w:rsidRPr="00000000" w14:paraId="00000014">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Tomb TT99, provides a compelling case study for understanding material culture showing social identity, status and belief in ancient Egypt. Although a lot of the remains of this tomb have been destroyed or potentially looted, through its architecture, decoration and finds, the tomb of Senneferi reveals his ambitions and status within the elite lifestyle in the Eighteenth Dynasty. </w:t>
      </w:r>
    </w:p>
    <w:p w:rsidR="00000000" w:rsidDel="00000000" w:rsidP="00000000" w:rsidRDefault="00000000" w:rsidRPr="00000000" w14:paraId="00000015">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Objects such as funerary cones bearing Senneferi’s name and titles functioned as both markers of ownership and symbols of status, reinforcing his identity.</w:t>
      </w:r>
      <w:r w:rsidDel="00000000" w:rsidR="00000000" w:rsidRPr="00000000">
        <w:rPr>
          <w:rFonts w:ascii="Georgia" w:cs="Georgia" w:eastAsia="Georgia" w:hAnsi="Georgia"/>
          <w:sz w:val="24"/>
          <w:szCs w:val="24"/>
          <w:vertAlign w:val="superscript"/>
        </w:rPr>
        <w:footnoteReference w:customMarkFollows="0" w:id="14"/>
      </w:r>
      <w:r w:rsidDel="00000000" w:rsidR="00000000" w:rsidRPr="00000000">
        <w:rPr>
          <w:rFonts w:ascii="Georgia" w:cs="Georgia" w:eastAsia="Georgia" w:hAnsi="Georgia"/>
          <w:sz w:val="24"/>
          <w:szCs w:val="24"/>
          <w:rtl w:val="0"/>
        </w:rPr>
        <w:t xml:space="preserve"> Alongside other artefacts and materials found in the tomb, it illustrates bureaucratic practice and religious life within the elite funerary culture.  The presence of diverse goods highlights the wealth required to have such a tomb and reflects the belief that status in life should be perpetuated in death. The tomb reveals Senneferi as a figure of considerable importance shown through the scale, decoration and artefacts. TT99 therefore offers valuable insight into the values, beliefs and hierarchies of ancient Egyptian society. </w:t>
      </w:r>
    </w:p>
    <w:p w:rsidR="00000000" w:rsidDel="00000000" w:rsidP="00000000" w:rsidRDefault="00000000" w:rsidRPr="00000000" w14:paraId="00000016">
      <w:pPr>
        <w:rPr>
          <w:rFonts w:ascii="Times New Roman" w:cs="Times New Roman" w:eastAsia="Times New Roman" w:hAnsi="Times New Roman"/>
          <w:b w:val="1"/>
          <w:bCs w:val="1"/>
          <w:sz w:val="26"/>
          <w:szCs w:val="26"/>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b w:val="1"/>
          <w:bCs w:val="1"/>
          <w:sz w:val="26"/>
          <w:szCs w:val="26"/>
        </w:rPr>
      </w:pPr>
      <w:r w:rsidDel="00000000" w:rsidR="00000000" w:rsidRPr="00000000">
        <w:rPr>
          <w:rFonts w:ascii="Times New Roman" w:cs="Times New Roman" w:eastAsia="Times New Roman" w:hAnsi="Times New Roman"/>
          <w:b w:val="1"/>
          <w:bCs w:val="1"/>
          <w:sz w:val="26"/>
          <w:szCs w:val="26"/>
          <w:rtl w:val="0"/>
        </w:rPr>
        <w:t xml:space="preserve">Bibliography </w:t>
      </w:r>
    </w:p>
    <w:p w:rsidR="00000000" w:rsidDel="00000000" w:rsidP="00000000" w:rsidRDefault="00000000" w:rsidRPr="00000000" w14:paraId="00000018">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Madain Project. (N/A). </w:t>
      </w:r>
      <w:r w:rsidDel="00000000" w:rsidR="00000000" w:rsidRPr="00000000">
        <w:rPr>
          <w:rFonts w:ascii="Georgia" w:cs="Georgia" w:eastAsia="Georgia" w:hAnsi="Georgia"/>
          <w:i w:val="1"/>
          <w:iCs w:val="1"/>
          <w:sz w:val="24"/>
          <w:szCs w:val="24"/>
          <w:rtl w:val="0"/>
        </w:rPr>
        <w:t xml:space="preserve">TT99 (Tomb of Senneferi)</w:t>
      </w:r>
      <w:r w:rsidDel="00000000" w:rsidR="00000000" w:rsidRPr="00000000">
        <w:rPr>
          <w:rFonts w:ascii="Georgia" w:cs="Georgia" w:eastAsia="Georgia" w:hAnsi="Georgia"/>
          <w:sz w:val="24"/>
          <w:szCs w:val="24"/>
          <w:highlight w:val="white"/>
          <w:rtl w:val="0"/>
        </w:rPr>
        <w:t xml:space="preserve">. [Online]. Madain Project. Available at: https://madainproject.com/tt99_(tomb_of_senneferi) [Accessed 16 March 2026].</w:t>
      </w:r>
    </w:p>
    <w:p w:rsidR="00000000" w:rsidDel="00000000" w:rsidP="00000000" w:rsidRDefault="00000000" w:rsidRPr="00000000" w14:paraId="00000019">
      <w:pPr>
        <w:rPr>
          <w:b w:val="1"/>
          <w:bCs w:val="1"/>
          <w:sz w:val="30"/>
          <w:szCs w:val="30"/>
          <w:highlight w:val="white"/>
        </w:rPr>
      </w:pPr>
      <w:r w:rsidDel="00000000" w:rsidR="00000000" w:rsidRPr="00000000">
        <w:rPr>
          <w:rtl w:val="0"/>
        </w:rPr>
      </w:r>
    </w:p>
    <w:p w:rsidR="00000000" w:rsidDel="00000000" w:rsidP="00000000" w:rsidRDefault="00000000" w:rsidRPr="00000000" w14:paraId="0000001A">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NIGEL STRUDWICK. (2016). </w:t>
      </w:r>
      <w:r w:rsidDel="00000000" w:rsidR="00000000" w:rsidRPr="00000000">
        <w:rPr>
          <w:rFonts w:ascii="Georgia" w:cs="Georgia" w:eastAsia="Georgia" w:hAnsi="Georgia"/>
          <w:i w:val="1"/>
          <w:iCs w:val="1"/>
          <w:sz w:val="24"/>
          <w:szCs w:val="24"/>
          <w:rtl w:val="0"/>
        </w:rPr>
        <w:t xml:space="preserve">The Tomb of Pharaoh’s Chancellor Senneferi at Thebes (TT99)</w:t>
      </w:r>
      <w:r w:rsidDel="00000000" w:rsidR="00000000" w:rsidRPr="00000000">
        <w:rPr>
          <w:rFonts w:ascii="Georgia" w:cs="Georgia" w:eastAsia="Georgia" w:hAnsi="Georgia"/>
          <w:sz w:val="24"/>
          <w:szCs w:val="24"/>
          <w:highlight w:val="white"/>
          <w:rtl w:val="0"/>
        </w:rPr>
        <w:t xml:space="preserve">. Oxford: Oxbow Books. </w:t>
      </w:r>
    </w:p>
    <w:p w:rsidR="00000000" w:rsidDel="00000000" w:rsidP="00000000" w:rsidRDefault="00000000" w:rsidRPr="00000000" w14:paraId="0000001B">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1C">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Nigel Strudwick. (1992-2002). </w:t>
      </w:r>
      <w:r w:rsidDel="00000000" w:rsidR="00000000" w:rsidRPr="00000000">
        <w:rPr>
          <w:rFonts w:ascii="Georgia" w:cs="Georgia" w:eastAsia="Georgia" w:hAnsi="Georgia"/>
          <w:i w:val="1"/>
          <w:iCs w:val="1"/>
          <w:sz w:val="24"/>
          <w:szCs w:val="24"/>
          <w:highlight w:val="white"/>
          <w:rtl w:val="0"/>
        </w:rPr>
        <w:t xml:space="preserve">THE TOMB OF SENNEFERI THEBAN TOMB 99</w:t>
      </w:r>
      <w:r w:rsidDel="00000000" w:rsidR="00000000" w:rsidRPr="00000000">
        <w:rPr>
          <w:rFonts w:ascii="Georgia" w:cs="Georgia" w:eastAsia="Georgia" w:hAnsi="Georgia"/>
          <w:sz w:val="24"/>
          <w:szCs w:val="24"/>
          <w:highlight w:val="white"/>
          <w:rtl w:val="0"/>
        </w:rPr>
        <w:t xml:space="preserve">. [Online]. TT99. Available at: https://tt99.fitz.ms/index.html [Accessed 16 March 2026].</w:t>
      </w:r>
    </w:p>
    <w:p w:rsidR="00000000" w:rsidDel="00000000" w:rsidP="00000000" w:rsidRDefault="00000000" w:rsidRPr="00000000" w14:paraId="0000001D">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1E">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World of Archaeology. (2006). </w:t>
      </w:r>
      <w:r w:rsidDel="00000000" w:rsidR="00000000" w:rsidRPr="00000000">
        <w:rPr>
          <w:rFonts w:ascii="Georgia" w:cs="Georgia" w:eastAsia="Georgia" w:hAnsi="Georgia"/>
          <w:i w:val="1"/>
          <w:iCs w:val="1"/>
          <w:sz w:val="24"/>
          <w:szCs w:val="24"/>
          <w:highlight w:val="white"/>
          <w:rtl w:val="0"/>
        </w:rPr>
        <w:t xml:space="preserve">Tomb of Senneferi</w:t>
      </w:r>
      <w:r w:rsidDel="00000000" w:rsidR="00000000" w:rsidRPr="00000000">
        <w:rPr>
          <w:rFonts w:ascii="Georgia" w:cs="Georgia" w:eastAsia="Georgia" w:hAnsi="Georgia"/>
          <w:sz w:val="24"/>
          <w:szCs w:val="24"/>
          <w:highlight w:val="white"/>
          <w:rtl w:val="0"/>
        </w:rPr>
        <w:t xml:space="preserve">. [Online]. World of Archaeology. Available at: https://www.world-archaeology.com/features/senneferi-tomb-of/ [Accessed 16 March 2026].</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sectPr>
      <w:head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eorgia"/>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2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NIGEL STRUDWICK. (2016). </w:t>
      </w:r>
      <w:r w:rsidDel="00000000" w:rsidR="00000000" w:rsidRPr="00000000">
        <w:rPr>
          <w:i w:val="1"/>
          <w:iCs w:val="1"/>
          <w:sz w:val="20"/>
          <w:szCs w:val="20"/>
          <w:rtl w:val="0"/>
        </w:rPr>
        <w:t xml:space="preserve">The Tomb of Pharaoh’s Chancellor Senneferi at Thebes (TT99)</w:t>
      </w:r>
      <w:r w:rsidDel="00000000" w:rsidR="00000000" w:rsidRPr="00000000">
        <w:rPr>
          <w:sz w:val="20"/>
          <w:szCs w:val="20"/>
          <w:highlight w:val="white"/>
          <w:rtl w:val="0"/>
        </w:rPr>
        <w:t xml:space="preserve">. Oxford: Oxbow Books. pp.9-13.</w:t>
      </w:r>
      <w:r w:rsidDel="00000000" w:rsidR="00000000" w:rsidRPr="00000000">
        <w:rPr>
          <w:rtl w:val="0"/>
        </w:rPr>
      </w:r>
    </w:p>
  </w:footnote>
  <w:footnote w:id="2">
    <w:p w:rsidR="00000000" w:rsidDel="00000000" w:rsidP="00000000" w:rsidRDefault="00000000" w:rsidRPr="00000000" w14:paraId="0000002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World of Archaeology. (2006). </w:t>
      </w:r>
      <w:r w:rsidDel="00000000" w:rsidR="00000000" w:rsidRPr="00000000">
        <w:rPr>
          <w:i w:val="1"/>
          <w:iCs w:val="1"/>
          <w:sz w:val="20"/>
          <w:szCs w:val="20"/>
          <w:rtl w:val="0"/>
        </w:rPr>
        <w:t xml:space="preserve">Tomb of Senneferi</w:t>
      </w:r>
      <w:r w:rsidDel="00000000" w:rsidR="00000000" w:rsidRPr="00000000">
        <w:rPr>
          <w:sz w:val="20"/>
          <w:szCs w:val="20"/>
          <w:highlight w:val="white"/>
          <w:rtl w:val="0"/>
        </w:rPr>
        <w:t xml:space="preserve">. [Online]. World of Archaeology. Available at: https://www.world-archaeology.com/features/senneferi-tomb-of/ [Accessed 16 March 2026].</w:t>
      </w:r>
      <w:r w:rsidDel="00000000" w:rsidR="00000000" w:rsidRPr="00000000">
        <w:rPr>
          <w:rtl w:val="0"/>
        </w:rPr>
      </w:r>
    </w:p>
  </w:footnote>
  <w:footnote w:id="3">
    <w:p w:rsidR="00000000" w:rsidDel="00000000" w:rsidP="00000000" w:rsidRDefault="00000000" w:rsidRPr="00000000" w14:paraId="0000002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STRUDWICK. </w:t>
      </w:r>
      <w:r w:rsidDel="00000000" w:rsidR="00000000" w:rsidRPr="00000000">
        <w:rPr>
          <w:i w:val="1"/>
          <w:iCs w:val="1"/>
          <w:sz w:val="20"/>
          <w:szCs w:val="20"/>
          <w:rtl w:val="0"/>
        </w:rPr>
        <w:t xml:space="preserve">The Tomb of Pharaoh’s Chancellor Senneferi at Thebes (TT99)</w:t>
      </w:r>
      <w:r w:rsidDel="00000000" w:rsidR="00000000" w:rsidRPr="00000000">
        <w:rPr>
          <w:sz w:val="20"/>
          <w:szCs w:val="20"/>
          <w:highlight w:val="white"/>
          <w:rtl w:val="0"/>
        </w:rPr>
        <w:t xml:space="preserve">. pp.15</w:t>
      </w:r>
      <w:r w:rsidDel="00000000" w:rsidR="00000000" w:rsidRPr="00000000">
        <w:rPr>
          <w:rtl w:val="0"/>
        </w:rPr>
      </w:r>
    </w:p>
  </w:footnote>
  <w:footnote w:id="4">
    <w:p w:rsidR="00000000" w:rsidDel="00000000" w:rsidP="00000000" w:rsidRDefault="00000000" w:rsidRPr="00000000" w14:paraId="000000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STRUDWICK. .</w:t>
      </w:r>
      <w:r w:rsidDel="00000000" w:rsidR="00000000" w:rsidRPr="00000000">
        <w:rPr>
          <w:i w:val="1"/>
          <w:iCs w:val="1"/>
          <w:sz w:val="20"/>
          <w:szCs w:val="20"/>
          <w:rtl w:val="0"/>
        </w:rPr>
        <w:t xml:space="preserve">The Tomb of Pharaoh’s Chancellor Senneferi at Thebes (TT99)</w:t>
      </w:r>
      <w:r w:rsidDel="00000000" w:rsidR="00000000" w:rsidRPr="00000000">
        <w:rPr>
          <w:sz w:val="20"/>
          <w:szCs w:val="20"/>
          <w:highlight w:val="white"/>
          <w:rtl w:val="0"/>
        </w:rPr>
        <w:t xml:space="preserve">. pp.15</w:t>
      </w:r>
      <w:r w:rsidDel="00000000" w:rsidR="00000000" w:rsidRPr="00000000">
        <w:rPr>
          <w:rtl w:val="0"/>
        </w:rPr>
      </w:r>
    </w:p>
  </w:footnote>
  <w:footnote w:id="5">
    <w:p w:rsidR="00000000" w:rsidDel="00000000" w:rsidP="00000000" w:rsidRDefault="00000000" w:rsidRPr="00000000" w14:paraId="0000002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highlight w:val="white"/>
          <w:rtl w:val="0"/>
        </w:rPr>
        <w:t xml:space="preserve"> STRUDWICK. </w:t>
      </w:r>
      <w:r w:rsidDel="00000000" w:rsidR="00000000" w:rsidRPr="00000000">
        <w:rPr>
          <w:i w:val="1"/>
          <w:iCs w:val="1"/>
          <w:sz w:val="20"/>
          <w:szCs w:val="20"/>
          <w:rtl w:val="0"/>
        </w:rPr>
        <w:t xml:space="preserve">The Tomb of Pharaoh’s Chancellor Senneferi at Thebes (TT99)</w:t>
      </w:r>
      <w:r w:rsidDel="00000000" w:rsidR="00000000" w:rsidRPr="00000000">
        <w:rPr>
          <w:sz w:val="20"/>
          <w:szCs w:val="20"/>
          <w:highlight w:val="white"/>
          <w:rtl w:val="0"/>
        </w:rPr>
        <w:t xml:space="preserve">.. pp.40</w:t>
      </w:r>
      <w:r w:rsidDel="00000000" w:rsidR="00000000" w:rsidRPr="00000000">
        <w:rPr>
          <w:rtl w:val="0"/>
        </w:rPr>
      </w:r>
    </w:p>
  </w:footnote>
  <w:footnote w:id="6">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STRUDWICK. </w:t>
      </w:r>
      <w:r w:rsidDel="00000000" w:rsidR="00000000" w:rsidRPr="00000000">
        <w:rPr>
          <w:i w:val="1"/>
          <w:iCs w:val="1"/>
          <w:sz w:val="20"/>
          <w:szCs w:val="20"/>
          <w:rtl w:val="0"/>
        </w:rPr>
        <w:t xml:space="preserve">The Tomb of Pharaoh’s Chancellor Senneferi at Thebes (TT99)</w:t>
      </w:r>
      <w:r w:rsidDel="00000000" w:rsidR="00000000" w:rsidRPr="00000000">
        <w:rPr>
          <w:sz w:val="20"/>
          <w:szCs w:val="20"/>
          <w:highlight w:val="white"/>
          <w:rtl w:val="0"/>
        </w:rPr>
        <w:t xml:space="preserve">.. pp.45</w:t>
      </w:r>
      <w:r w:rsidDel="00000000" w:rsidR="00000000" w:rsidRPr="00000000">
        <w:rPr>
          <w:rtl w:val="0"/>
        </w:rPr>
      </w:r>
    </w:p>
  </w:footnote>
  <w:footnote w:id="10">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STRUDWICK.</w:t>
      </w:r>
      <w:r w:rsidDel="00000000" w:rsidR="00000000" w:rsidRPr="00000000">
        <w:rPr>
          <w:i w:val="1"/>
          <w:iCs w:val="1"/>
          <w:sz w:val="20"/>
          <w:szCs w:val="20"/>
          <w:rtl w:val="0"/>
        </w:rPr>
        <w:t xml:space="preserve">The Tomb of Pharaoh’s Chancellor Senneferi at Thebes (TT99)</w:t>
      </w:r>
      <w:r w:rsidDel="00000000" w:rsidR="00000000" w:rsidRPr="00000000">
        <w:rPr>
          <w:sz w:val="20"/>
          <w:szCs w:val="20"/>
          <w:highlight w:val="white"/>
          <w:rtl w:val="0"/>
        </w:rPr>
        <w:t xml:space="preserve">. pp.162</w:t>
      </w:r>
      <w:r w:rsidDel="00000000" w:rsidR="00000000" w:rsidRPr="00000000">
        <w:rPr>
          <w:rtl w:val="0"/>
        </w:rPr>
      </w:r>
    </w:p>
  </w:footnote>
  <w:footnote w:id="11">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STRUDWICK.</w:t>
      </w:r>
      <w:r w:rsidDel="00000000" w:rsidR="00000000" w:rsidRPr="00000000">
        <w:rPr>
          <w:i w:val="1"/>
          <w:iCs w:val="1"/>
          <w:sz w:val="20"/>
          <w:szCs w:val="20"/>
          <w:rtl w:val="0"/>
        </w:rPr>
        <w:t xml:space="preserve">The Tomb of Pharaoh’s Chancellor Senneferi at Thebes (TT99)</w:t>
      </w:r>
      <w:r w:rsidDel="00000000" w:rsidR="00000000" w:rsidRPr="00000000">
        <w:rPr>
          <w:sz w:val="20"/>
          <w:szCs w:val="20"/>
          <w:highlight w:val="white"/>
          <w:rtl w:val="0"/>
        </w:rPr>
        <w:t xml:space="preserve">. pp.162</w:t>
      </w:r>
      <w:r w:rsidDel="00000000" w:rsidR="00000000" w:rsidRPr="00000000">
        <w:rPr>
          <w:rtl w:val="0"/>
        </w:rPr>
      </w:r>
    </w:p>
  </w:footnote>
  <w:footnote w:id="12">
    <w:p w:rsidR="00000000" w:rsidDel="00000000" w:rsidP="00000000" w:rsidRDefault="00000000" w:rsidRPr="00000000" w14:paraId="0000002E">
      <w:pPr>
        <w:spacing w:line="240" w:lineRule="auto"/>
        <w:rPr>
          <w:sz w:val="10"/>
          <w:szCs w:val="1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Nigel Strudwick. (1992-2002). </w:t>
      </w:r>
      <w:r w:rsidDel="00000000" w:rsidR="00000000" w:rsidRPr="00000000">
        <w:rPr>
          <w:i w:val="1"/>
          <w:iCs w:val="1"/>
          <w:sz w:val="20"/>
          <w:szCs w:val="20"/>
          <w:rtl w:val="0"/>
        </w:rPr>
        <w:t xml:space="preserve">THE TOMB OF SENNEFERI THEBAN TOMB 99</w:t>
      </w:r>
      <w:r w:rsidDel="00000000" w:rsidR="00000000" w:rsidRPr="00000000">
        <w:rPr>
          <w:sz w:val="20"/>
          <w:szCs w:val="20"/>
          <w:highlight w:val="white"/>
          <w:rtl w:val="0"/>
        </w:rPr>
        <w:t xml:space="preserve">. [Online]. TT99. Available at: https://tt99.fitz.ms/index.html [Accessed 16 March 2026].</w:t>
      </w:r>
      <w:r w:rsidDel="00000000" w:rsidR="00000000" w:rsidRPr="00000000">
        <w:rPr>
          <w:rtl w:val="0"/>
        </w:rPr>
      </w:r>
    </w:p>
  </w:footnote>
  <w:footnote w:id="1">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Madain Project. (N/A). </w:t>
      </w:r>
      <w:r w:rsidDel="00000000" w:rsidR="00000000" w:rsidRPr="00000000">
        <w:rPr>
          <w:i w:val="1"/>
          <w:iCs w:val="1"/>
          <w:sz w:val="20"/>
          <w:szCs w:val="20"/>
          <w:rtl w:val="0"/>
        </w:rPr>
        <w:t xml:space="preserve">TT99 (Tomb of Senneferi)</w:t>
      </w:r>
      <w:r w:rsidDel="00000000" w:rsidR="00000000" w:rsidRPr="00000000">
        <w:rPr>
          <w:sz w:val="20"/>
          <w:szCs w:val="20"/>
          <w:highlight w:val="white"/>
          <w:rtl w:val="0"/>
        </w:rPr>
        <w:t xml:space="preserve">. [Online]. Madain Project. Available at: https://madainproject.com/tt99_(tomb_of_senneferi) [Accessed 16 March 2026].</w:t>
      </w:r>
      <w:r w:rsidDel="00000000" w:rsidR="00000000" w:rsidRPr="00000000">
        <w:rPr>
          <w:rtl w:val="0"/>
        </w:rPr>
      </w:r>
    </w:p>
  </w:footnote>
  <w:footnote w:id="13">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highlight w:val="white"/>
          <w:rtl w:val="0"/>
        </w:rPr>
        <w:t xml:space="preserve">Nigel Strudwick. (1992-2002). </w:t>
      </w:r>
      <w:r w:rsidDel="00000000" w:rsidR="00000000" w:rsidRPr="00000000">
        <w:rPr>
          <w:i w:val="1"/>
          <w:iCs w:val="1"/>
          <w:sz w:val="20"/>
          <w:szCs w:val="20"/>
          <w:rtl w:val="0"/>
        </w:rPr>
        <w:t xml:space="preserve">THE TOMB OF SENNEFERI THEBAN TOMB 99</w:t>
      </w:r>
      <w:r w:rsidDel="00000000" w:rsidR="00000000" w:rsidRPr="00000000">
        <w:rPr>
          <w:sz w:val="20"/>
          <w:szCs w:val="20"/>
          <w:highlight w:val="white"/>
          <w:rtl w:val="0"/>
        </w:rPr>
        <w:t xml:space="preserve">. [Online]. TT99. Available at: https://tt99.fitz.ms/index.html [Accessed 16 March 2026].</w:t>
      </w:r>
      <w:r w:rsidDel="00000000" w:rsidR="00000000" w:rsidRPr="00000000">
        <w:rPr>
          <w:sz w:val="20"/>
          <w:szCs w:val="20"/>
          <w:rtl w:val="0"/>
        </w:rPr>
        <w:t xml:space="preserve"> </w:t>
      </w:r>
    </w:p>
  </w:footnote>
  <w:footnote w:id="14">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Nigel Strudwick. (1992-2002). </w:t>
      </w:r>
      <w:r w:rsidDel="00000000" w:rsidR="00000000" w:rsidRPr="00000000">
        <w:rPr>
          <w:i w:val="1"/>
          <w:iCs w:val="1"/>
          <w:sz w:val="20"/>
          <w:szCs w:val="20"/>
          <w:rtl w:val="0"/>
        </w:rPr>
        <w:t xml:space="preserve">THE TOMB OF SENNEFERI THEBAN TOMB 99</w:t>
      </w:r>
      <w:r w:rsidDel="00000000" w:rsidR="00000000" w:rsidRPr="00000000">
        <w:rPr>
          <w:sz w:val="20"/>
          <w:szCs w:val="20"/>
          <w:highlight w:val="white"/>
          <w:rtl w:val="0"/>
        </w:rPr>
        <w:t xml:space="preserve">. [Online]. TT99. Available at: https://tt99.fitz.ms/index.html [Accessed 16 March 2026].</w:t>
      </w:r>
      <w:r w:rsidDel="00000000" w:rsidR="00000000" w:rsidRPr="00000000">
        <w:rPr>
          <w:sz w:val="20"/>
          <w:szCs w:val="20"/>
          <w:rtl w:val="0"/>
        </w:rPr>
        <w:t xml:space="preserve"> </w:t>
      </w:r>
    </w:p>
  </w:footnote>
  <w:footnote w:id="7">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Madain Project. (N/A). </w:t>
      </w:r>
      <w:r w:rsidDel="00000000" w:rsidR="00000000" w:rsidRPr="00000000">
        <w:rPr>
          <w:i w:val="1"/>
          <w:iCs w:val="1"/>
          <w:sz w:val="20"/>
          <w:szCs w:val="20"/>
          <w:rtl w:val="0"/>
        </w:rPr>
        <w:t xml:space="preserve">TT99 (Tomb of Senneferi)</w:t>
      </w:r>
      <w:r w:rsidDel="00000000" w:rsidR="00000000" w:rsidRPr="00000000">
        <w:rPr>
          <w:sz w:val="20"/>
          <w:szCs w:val="20"/>
          <w:highlight w:val="white"/>
          <w:rtl w:val="0"/>
        </w:rPr>
        <w:t xml:space="preserve">. [Online]. Madain Project. Available at: https://madainproject.com/tt99_(tomb_of_senneferi) [Accessed 16 March 2026].</w:t>
      </w:r>
      <w:r w:rsidDel="00000000" w:rsidR="00000000" w:rsidRPr="00000000">
        <w:rPr>
          <w:rtl w:val="0"/>
        </w:rPr>
      </w:r>
    </w:p>
  </w:footnote>
  <w:footnote w:id="8">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Madain Project. (N/A). </w:t>
      </w:r>
      <w:r w:rsidDel="00000000" w:rsidR="00000000" w:rsidRPr="00000000">
        <w:rPr>
          <w:i w:val="1"/>
          <w:iCs w:val="1"/>
          <w:sz w:val="20"/>
          <w:szCs w:val="20"/>
          <w:rtl w:val="0"/>
        </w:rPr>
        <w:t xml:space="preserve">TT99 (Tomb of Senneferi)</w:t>
      </w:r>
      <w:r w:rsidDel="00000000" w:rsidR="00000000" w:rsidRPr="00000000">
        <w:rPr>
          <w:sz w:val="20"/>
          <w:szCs w:val="20"/>
          <w:highlight w:val="white"/>
          <w:rtl w:val="0"/>
        </w:rPr>
        <w:t xml:space="preserve">. [Online]. Madain Project. Available at: https://madainproject.com/tt99_(tomb_of_senneferi) [Accessed 16 March 2026].</w:t>
      </w:r>
      <w:r w:rsidDel="00000000" w:rsidR="00000000" w:rsidRPr="00000000">
        <w:rPr>
          <w:rtl w:val="0"/>
        </w:rPr>
      </w:r>
    </w:p>
  </w:footnote>
  <w:footnote w:id="9">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Madain Project. (N/A). </w:t>
      </w:r>
      <w:r w:rsidDel="00000000" w:rsidR="00000000" w:rsidRPr="00000000">
        <w:rPr>
          <w:i w:val="1"/>
          <w:iCs w:val="1"/>
          <w:sz w:val="20"/>
          <w:szCs w:val="20"/>
          <w:rtl w:val="0"/>
        </w:rPr>
        <w:t xml:space="preserve">TT99 (Tomb of Senneferi)</w:t>
      </w:r>
      <w:r w:rsidDel="00000000" w:rsidR="00000000" w:rsidRPr="00000000">
        <w:rPr>
          <w:sz w:val="20"/>
          <w:szCs w:val="20"/>
          <w:highlight w:val="white"/>
          <w:rtl w:val="0"/>
        </w:rPr>
        <w:t xml:space="preserve">. [Online]. Madain Project. Available at: https://madainproject.com/tt99_(tomb_of_senneferi) [Accessed 16 March 2026].</w:t>
      </w: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5">
    <w:pPr>
      <w:rPr/>
    </w:pPr>
    <w:r w:rsidDel="00000000" w:rsidR="00000000" w:rsidRPr="00000000">
      <w:rPr>
        <w:rtl w:val="0"/>
      </w:rPr>
      <w:t xml:space="preserve">Katie Howell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