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643A4" w14:textId="77777777" w:rsidR="00B56546" w:rsidRPr="006C2B8A" w:rsidRDefault="00BE40DA" w:rsidP="006C2B8A">
      <w:pPr>
        <w:pStyle w:val="Title"/>
        <w:jc w:val="both"/>
        <w:rPr>
          <w:rFonts w:ascii="Times New Roman" w:hAnsi="Times New Roman" w:cs="Times New Roman"/>
          <w:u w:val="single"/>
        </w:rPr>
      </w:pPr>
      <w:r w:rsidRPr="006C2B8A">
        <w:rPr>
          <w:rFonts w:ascii="Times New Roman" w:hAnsi="Times New Roman" w:cs="Times New Roman"/>
          <w:u w:val="single"/>
        </w:rPr>
        <w:t xml:space="preserve">How relevant was the ethnography of the Seleucid </w:t>
      </w:r>
      <w:r w:rsidR="00551812" w:rsidRPr="006C2B8A">
        <w:rPr>
          <w:rFonts w:ascii="Times New Roman" w:hAnsi="Times New Roman" w:cs="Times New Roman"/>
          <w:u w:val="single"/>
        </w:rPr>
        <w:t>army at the Battle of M</w:t>
      </w:r>
      <w:r w:rsidRPr="006C2B8A">
        <w:rPr>
          <w:rFonts w:ascii="Times New Roman" w:hAnsi="Times New Roman" w:cs="Times New Roman"/>
          <w:u w:val="single"/>
        </w:rPr>
        <w:t>agnesia in 190BC to Hellenistic diplomacy of the period?</w:t>
      </w:r>
    </w:p>
    <w:p w14:paraId="528D9DE7" w14:textId="77777777" w:rsidR="003D7D1B" w:rsidRDefault="003D7D1B" w:rsidP="003D7D1B"/>
    <w:p w14:paraId="1DEF9105" w14:textId="3B6E2CB5" w:rsidR="008E49FC" w:rsidRPr="006C2B8A" w:rsidRDefault="003D7D1B"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The Battle of Magnesia </w:t>
      </w:r>
      <w:r w:rsidR="00C66A91" w:rsidRPr="006C2B8A">
        <w:rPr>
          <w:rFonts w:ascii="Times New Roman" w:hAnsi="Times New Roman" w:cs="Times New Roman"/>
          <w:sz w:val="24"/>
          <w:szCs w:val="24"/>
        </w:rPr>
        <w:t xml:space="preserve">190BC </w:t>
      </w:r>
      <w:r w:rsidR="00551812" w:rsidRPr="006C2B8A">
        <w:rPr>
          <w:rFonts w:ascii="Times New Roman" w:hAnsi="Times New Roman" w:cs="Times New Roman"/>
          <w:sz w:val="24"/>
          <w:szCs w:val="24"/>
        </w:rPr>
        <w:t xml:space="preserve">was a major decisive engagement in the Roman Syrian war of 192BC to 188BC. The engagement saw the Seleucid army under the command of Antiochus III be defeated by the combined Roman army under the command of Lucius Cornelius Scipio with an allied force from Pergamum under the command of </w:t>
      </w:r>
      <w:r w:rsidR="00F64C95" w:rsidRPr="006C2B8A">
        <w:rPr>
          <w:rFonts w:ascii="Times New Roman" w:hAnsi="Times New Roman" w:cs="Times New Roman"/>
          <w:sz w:val="24"/>
          <w:szCs w:val="24"/>
        </w:rPr>
        <w:t>Eumenes</w:t>
      </w:r>
      <w:r w:rsidR="00551812" w:rsidRPr="006C2B8A">
        <w:rPr>
          <w:rFonts w:ascii="Times New Roman" w:hAnsi="Times New Roman" w:cs="Times New Roman"/>
          <w:sz w:val="24"/>
          <w:szCs w:val="24"/>
        </w:rPr>
        <w:t xml:space="preserve"> II.</w:t>
      </w:r>
      <w:r w:rsidR="000B33AC" w:rsidRPr="006C2B8A">
        <w:rPr>
          <w:rStyle w:val="FootnoteReference"/>
          <w:rFonts w:ascii="Times New Roman" w:hAnsi="Times New Roman" w:cs="Times New Roman"/>
          <w:sz w:val="24"/>
          <w:szCs w:val="24"/>
        </w:rPr>
        <w:footnoteReference w:id="1"/>
      </w:r>
      <w:r w:rsidR="00551812" w:rsidRPr="006C2B8A">
        <w:rPr>
          <w:rFonts w:ascii="Times New Roman" w:hAnsi="Times New Roman" w:cs="Times New Roman"/>
          <w:sz w:val="24"/>
          <w:szCs w:val="24"/>
        </w:rPr>
        <w:t xml:space="preserve"> </w:t>
      </w:r>
      <w:r w:rsidR="000B33AC" w:rsidRPr="006C2B8A">
        <w:rPr>
          <w:rFonts w:ascii="Times New Roman" w:hAnsi="Times New Roman" w:cs="Times New Roman"/>
          <w:sz w:val="24"/>
          <w:szCs w:val="24"/>
        </w:rPr>
        <w:t>What is most interesting about the battle is that both of our main accounts of the battle from Livy and Appian both make a reference to the number of different ethnic groups and nationalities in the Seleucid army at the battle</w:t>
      </w:r>
      <w:r w:rsidR="006C2B8A">
        <w:rPr>
          <w:rFonts w:ascii="Times New Roman" w:hAnsi="Times New Roman" w:cs="Times New Roman"/>
          <w:sz w:val="24"/>
          <w:szCs w:val="24"/>
        </w:rPr>
        <w:t>. Reference is made to</w:t>
      </w:r>
      <w:r w:rsidR="000B33AC" w:rsidRPr="006C2B8A">
        <w:rPr>
          <w:rFonts w:ascii="Times New Roman" w:hAnsi="Times New Roman" w:cs="Times New Roman"/>
          <w:sz w:val="24"/>
          <w:szCs w:val="24"/>
        </w:rPr>
        <w:t xml:space="preserve"> their equipment and armature. This in of itself is not unusual for a depiction of a battle as most texts from the time would mention national groups in armies or mention groups of soldiers fighting in a style of fighting associated with a specific nationality</w:t>
      </w:r>
      <w:r w:rsidR="006C2B8A">
        <w:rPr>
          <w:rFonts w:ascii="Times New Roman" w:hAnsi="Times New Roman" w:cs="Times New Roman"/>
          <w:sz w:val="24"/>
          <w:szCs w:val="24"/>
        </w:rPr>
        <w:t>. A</w:t>
      </w:r>
      <w:r w:rsidR="000B33AC" w:rsidRPr="006C2B8A">
        <w:rPr>
          <w:rFonts w:ascii="Times New Roman" w:hAnsi="Times New Roman" w:cs="Times New Roman"/>
          <w:sz w:val="24"/>
          <w:szCs w:val="24"/>
        </w:rPr>
        <w:t>n example of</w:t>
      </w:r>
      <w:r w:rsidR="006C2B8A">
        <w:rPr>
          <w:rFonts w:ascii="Times New Roman" w:hAnsi="Times New Roman" w:cs="Times New Roman"/>
          <w:sz w:val="24"/>
          <w:szCs w:val="24"/>
        </w:rPr>
        <w:t xml:space="preserve"> fighting styles </w:t>
      </w:r>
      <w:r w:rsidR="000B33AC" w:rsidRPr="006C2B8A">
        <w:rPr>
          <w:rFonts w:ascii="Times New Roman" w:hAnsi="Times New Roman" w:cs="Times New Roman"/>
          <w:sz w:val="24"/>
          <w:szCs w:val="24"/>
        </w:rPr>
        <w:t>being Polybius’ description of the Seleucid army at Raphia in 217BC.</w:t>
      </w:r>
      <w:r w:rsidR="000B33AC" w:rsidRPr="006C2B8A">
        <w:rPr>
          <w:rStyle w:val="FootnoteReference"/>
          <w:rFonts w:ascii="Times New Roman" w:hAnsi="Times New Roman" w:cs="Times New Roman"/>
          <w:sz w:val="24"/>
          <w:szCs w:val="24"/>
        </w:rPr>
        <w:footnoteReference w:id="2"/>
      </w:r>
      <w:r w:rsidR="000B33AC" w:rsidRPr="006C2B8A">
        <w:rPr>
          <w:rFonts w:ascii="Times New Roman" w:hAnsi="Times New Roman" w:cs="Times New Roman"/>
          <w:sz w:val="24"/>
          <w:szCs w:val="24"/>
        </w:rPr>
        <w:t xml:space="preserve"> Both accounts provide us with a description of the soldiers in the army, albeit with different </w:t>
      </w:r>
      <w:r w:rsidR="006C2B8A" w:rsidRPr="006C2B8A">
        <w:rPr>
          <w:rFonts w:ascii="Times New Roman" w:hAnsi="Times New Roman" w:cs="Times New Roman"/>
          <w:sz w:val="24"/>
          <w:szCs w:val="24"/>
        </w:rPr>
        <w:t>phraseology</w:t>
      </w:r>
      <w:r w:rsidR="000B33AC" w:rsidRPr="006C2B8A">
        <w:rPr>
          <w:rFonts w:ascii="Times New Roman" w:hAnsi="Times New Roman" w:cs="Times New Roman"/>
          <w:sz w:val="24"/>
          <w:szCs w:val="24"/>
        </w:rPr>
        <w:t>, and looking at how they describe the army composition; there seems to be a difference to how one would expect a Hellenistic army to look.</w:t>
      </w:r>
      <w:r w:rsidR="000B33AC" w:rsidRPr="006C2B8A">
        <w:rPr>
          <w:rStyle w:val="FootnoteReference"/>
          <w:rFonts w:ascii="Times New Roman" w:hAnsi="Times New Roman" w:cs="Times New Roman"/>
          <w:sz w:val="24"/>
          <w:szCs w:val="24"/>
        </w:rPr>
        <w:footnoteReference w:id="3"/>
      </w:r>
      <w:r w:rsidR="000B33AC" w:rsidRPr="006C2B8A">
        <w:rPr>
          <w:rFonts w:ascii="Times New Roman" w:hAnsi="Times New Roman" w:cs="Times New Roman"/>
          <w:sz w:val="24"/>
          <w:szCs w:val="24"/>
        </w:rPr>
        <w:t xml:space="preserve">  Both sources tell us that there was a Macedonian style phalanx present as well as a core of lance armed cavalry and companions which is to be expected from a Hellenistic army; however many of the other soldiers present are described as what is best summed up as skirmish troops, slingers, </w:t>
      </w:r>
      <w:r w:rsidR="001360E0" w:rsidRPr="006C2B8A">
        <w:rPr>
          <w:rFonts w:ascii="Times New Roman" w:hAnsi="Times New Roman" w:cs="Times New Roman"/>
          <w:sz w:val="24"/>
          <w:szCs w:val="24"/>
        </w:rPr>
        <w:t>javelin men</w:t>
      </w:r>
      <w:r w:rsidR="000B33AC" w:rsidRPr="006C2B8A">
        <w:rPr>
          <w:rFonts w:ascii="Times New Roman" w:hAnsi="Times New Roman" w:cs="Times New Roman"/>
          <w:sz w:val="24"/>
          <w:szCs w:val="24"/>
        </w:rPr>
        <w:t xml:space="preserve"> and the like</w:t>
      </w:r>
      <w:r w:rsidR="006D7E9E" w:rsidRPr="006C2B8A">
        <w:rPr>
          <w:rFonts w:ascii="Times New Roman" w:hAnsi="Times New Roman" w:cs="Times New Roman"/>
          <w:sz w:val="24"/>
          <w:szCs w:val="24"/>
        </w:rPr>
        <w:t>.</w:t>
      </w:r>
      <w:r w:rsidR="006D7E9E" w:rsidRPr="006C2B8A">
        <w:rPr>
          <w:rStyle w:val="FootnoteReference"/>
          <w:rFonts w:ascii="Times New Roman" w:hAnsi="Times New Roman" w:cs="Times New Roman"/>
          <w:sz w:val="24"/>
          <w:szCs w:val="24"/>
        </w:rPr>
        <w:footnoteReference w:id="4"/>
      </w:r>
      <w:r w:rsidR="006D7E9E" w:rsidRPr="006C2B8A">
        <w:rPr>
          <w:rFonts w:ascii="Times New Roman" w:hAnsi="Times New Roman" w:cs="Times New Roman"/>
          <w:sz w:val="24"/>
          <w:szCs w:val="24"/>
        </w:rPr>
        <w:t xml:space="preserve"> Scythed chariots are also mentioned as are war elephants, though these are not uncommon in Hellenistic warfare. </w:t>
      </w:r>
    </w:p>
    <w:p w14:paraId="0A9B2817" w14:textId="3FB6D68F" w:rsidR="00551812" w:rsidRPr="006C2B8A" w:rsidRDefault="006D7E9E"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The large number of light infantry and light cavalry seemed odd, akin to the Seleucid army depicted at the ‘Elephant Victory’ in 281BC.</w:t>
      </w:r>
      <w:r w:rsidRPr="006C2B8A">
        <w:rPr>
          <w:rStyle w:val="FootnoteReference"/>
          <w:rFonts w:ascii="Times New Roman" w:hAnsi="Times New Roman" w:cs="Times New Roman"/>
          <w:sz w:val="24"/>
          <w:szCs w:val="24"/>
        </w:rPr>
        <w:footnoteReference w:id="5"/>
      </w:r>
      <w:r w:rsidRPr="006C2B8A">
        <w:rPr>
          <w:rFonts w:ascii="Times New Roman" w:hAnsi="Times New Roman" w:cs="Times New Roman"/>
          <w:sz w:val="24"/>
          <w:szCs w:val="24"/>
        </w:rPr>
        <w:t xml:space="preserve"> Due to this comparison it could be argued that this army was not designed to actually engage in a fight rather than demonstrate the far reach </w:t>
      </w:r>
      <w:r w:rsidRPr="006C2B8A">
        <w:rPr>
          <w:rFonts w:ascii="Times New Roman" w:hAnsi="Times New Roman" w:cs="Times New Roman"/>
          <w:sz w:val="24"/>
          <w:szCs w:val="24"/>
        </w:rPr>
        <w:lastRenderedPageBreak/>
        <w:t>of its leader and their empire</w:t>
      </w:r>
      <w:r w:rsidR="008C1EF5">
        <w:rPr>
          <w:rFonts w:ascii="Times New Roman" w:hAnsi="Times New Roman" w:cs="Times New Roman"/>
          <w:sz w:val="24"/>
          <w:szCs w:val="24"/>
        </w:rPr>
        <w:t>. I</w:t>
      </w:r>
      <w:r w:rsidRPr="006C2B8A">
        <w:rPr>
          <w:rFonts w:ascii="Times New Roman" w:hAnsi="Times New Roman" w:cs="Times New Roman"/>
          <w:sz w:val="24"/>
          <w:szCs w:val="24"/>
        </w:rPr>
        <w:t xml:space="preserve">n an effort to prevent an engagement as </w:t>
      </w:r>
      <w:r w:rsidR="00E32412" w:rsidRPr="006C2B8A">
        <w:rPr>
          <w:rFonts w:ascii="Times New Roman" w:hAnsi="Times New Roman" w:cs="Times New Roman"/>
          <w:sz w:val="24"/>
          <w:szCs w:val="24"/>
        </w:rPr>
        <w:t xml:space="preserve">the Seleucid force at the elephant victory was a more mobile counter raiding force to match the raiding parties of Galatians. The argument that the Seleucid army at Magnesia was not one designed for conflict can also be supported because </w:t>
      </w:r>
      <w:r w:rsidRPr="006C2B8A">
        <w:rPr>
          <w:rFonts w:ascii="Times New Roman" w:hAnsi="Times New Roman" w:cs="Times New Roman"/>
          <w:sz w:val="24"/>
          <w:szCs w:val="24"/>
        </w:rPr>
        <w:t>it can be noted that whilst it was inevitable that the Seleucids and the Romans would have clashed for dominance in the Mediterranean, the Seleucids were attempting to avoid a full scale conflict</w:t>
      </w:r>
      <w:r w:rsidR="00F64C95" w:rsidRPr="006C2B8A">
        <w:rPr>
          <w:rFonts w:ascii="Times New Roman" w:hAnsi="Times New Roman" w:cs="Times New Roman"/>
          <w:sz w:val="24"/>
          <w:szCs w:val="24"/>
        </w:rPr>
        <w:t xml:space="preserve"> given the initial friendly interactions between the two prior to the Syrian War</w:t>
      </w:r>
      <w:r w:rsidRPr="006C2B8A">
        <w:rPr>
          <w:rFonts w:ascii="Times New Roman" w:hAnsi="Times New Roman" w:cs="Times New Roman"/>
          <w:sz w:val="24"/>
          <w:szCs w:val="24"/>
        </w:rPr>
        <w:t>.</w:t>
      </w:r>
      <w:r w:rsidRPr="006C2B8A">
        <w:rPr>
          <w:rStyle w:val="FootnoteReference"/>
          <w:rFonts w:ascii="Times New Roman" w:hAnsi="Times New Roman" w:cs="Times New Roman"/>
          <w:sz w:val="24"/>
          <w:szCs w:val="24"/>
        </w:rPr>
        <w:footnoteReference w:id="6"/>
      </w:r>
      <w:r w:rsidRPr="006C2B8A">
        <w:rPr>
          <w:rFonts w:ascii="Times New Roman" w:hAnsi="Times New Roman" w:cs="Times New Roman"/>
          <w:sz w:val="24"/>
          <w:szCs w:val="24"/>
        </w:rPr>
        <w:t xml:space="preserve"> This line of thinking can be corroborated by looking at how other sources such as Polybius go about mentioning the ethnicity of soldiers, as seen in his description of </w:t>
      </w:r>
      <w:r w:rsidR="00B94932" w:rsidRPr="006C2B8A">
        <w:rPr>
          <w:rFonts w:ascii="Times New Roman" w:hAnsi="Times New Roman" w:cs="Times New Roman"/>
          <w:sz w:val="24"/>
          <w:szCs w:val="24"/>
        </w:rPr>
        <w:t xml:space="preserve">the armies at </w:t>
      </w:r>
      <w:r w:rsidRPr="006C2B8A">
        <w:rPr>
          <w:rFonts w:ascii="Times New Roman" w:hAnsi="Times New Roman" w:cs="Times New Roman"/>
          <w:sz w:val="24"/>
          <w:szCs w:val="24"/>
        </w:rPr>
        <w:t>R</w:t>
      </w:r>
      <w:r w:rsidR="00B94932" w:rsidRPr="006C2B8A">
        <w:rPr>
          <w:rFonts w:ascii="Times New Roman" w:hAnsi="Times New Roman" w:cs="Times New Roman"/>
          <w:sz w:val="24"/>
          <w:szCs w:val="24"/>
        </w:rPr>
        <w:t xml:space="preserve">aphia. This does not take into account the position that the authors of the texts would have been writing from as Livy and Appian are both Roman writers and as such by them writing about the Seleucids in such a manor would make the victory seem all the more impressive to the Romans reading the texts, Polybius himself can be argued to be a pro Roman source too despite him being a general of the </w:t>
      </w:r>
      <w:r w:rsidR="001360E0" w:rsidRPr="006C2B8A">
        <w:rPr>
          <w:rFonts w:ascii="Times New Roman" w:hAnsi="Times New Roman" w:cs="Times New Roman"/>
          <w:sz w:val="24"/>
          <w:szCs w:val="24"/>
        </w:rPr>
        <w:t>Achaean</w:t>
      </w:r>
      <w:r w:rsidR="00B94932" w:rsidRPr="006C2B8A">
        <w:rPr>
          <w:rFonts w:ascii="Times New Roman" w:hAnsi="Times New Roman" w:cs="Times New Roman"/>
          <w:sz w:val="24"/>
          <w:szCs w:val="24"/>
        </w:rPr>
        <w:t xml:space="preserve"> league as he was taken to Rome as a political ‘hostage’ becoming friendly with the Scipio family.</w:t>
      </w:r>
      <w:r w:rsidR="00B94932" w:rsidRPr="006C2B8A">
        <w:rPr>
          <w:rStyle w:val="FootnoteReference"/>
          <w:rFonts w:ascii="Times New Roman" w:hAnsi="Times New Roman" w:cs="Times New Roman"/>
          <w:sz w:val="24"/>
          <w:szCs w:val="24"/>
        </w:rPr>
        <w:footnoteReference w:id="7"/>
      </w:r>
      <w:r w:rsidR="00B94932" w:rsidRPr="006C2B8A">
        <w:rPr>
          <w:rFonts w:ascii="Times New Roman" w:hAnsi="Times New Roman" w:cs="Times New Roman"/>
          <w:sz w:val="24"/>
          <w:szCs w:val="24"/>
        </w:rPr>
        <w:t xml:space="preserve"> Whilst its comparison to the ‘Elephant Victory’ is also dubious due to the credibility of the events authenticity</w:t>
      </w:r>
      <w:r w:rsidR="00E32412" w:rsidRPr="006C2B8A">
        <w:rPr>
          <w:rFonts w:ascii="Times New Roman" w:hAnsi="Times New Roman" w:cs="Times New Roman"/>
          <w:sz w:val="24"/>
          <w:szCs w:val="24"/>
        </w:rPr>
        <w:t>, stemming from the source’s origin and description of the armies involved,</w:t>
      </w:r>
      <w:r w:rsidR="00B94932" w:rsidRPr="006C2B8A">
        <w:rPr>
          <w:rFonts w:ascii="Times New Roman" w:hAnsi="Times New Roman" w:cs="Times New Roman"/>
          <w:sz w:val="24"/>
          <w:szCs w:val="24"/>
        </w:rPr>
        <w:t xml:space="preserve"> it is still worth looking into as it possibly might be able to give some reflection on Hellenistic Diplomacy.</w:t>
      </w:r>
    </w:p>
    <w:p w14:paraId="7D5DA177" w14:textId="0EB714C6" w:rsidR="008E49FC" w:rsidRPr="006C2B8A" w:rsidRDefault="00B94932"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A </w:t>
      </w:r>
      <w:r w:rsidR="008C1EF5">
        <w:rPr>
          <w:rFonts w:ascii="Times New Roman" w:hAnsi="Times New Roman" w:cs="Times New Roman"/>
          <w:sz w:val="24"/>
          <w:szCs w:val="24"/>
        </w:rPr>
        <w:t>beneficial</w:t>
      </w:r>
      <w:r w:rsidRPr="006C2B8A">
        <w:rPr>
          <w:rFonts w:ascii="Times New Roman" w:hAnsi="Times New Roman" w:cs="Times New Roman"/>
          <w:sz w:val="24"/>
          <w:szCs w:val="24"/>
        </w:rPr>
        <w:t xml:space="preserve"> starting point would be to establish what </w:t>
      </w:r>
      <w:r w:rsidR="00F64C95" w:rsidRPr="006C2B8A">
        <w:rPr>
          <w:rFonts w:ascii="Times New Roman" w:hAnsi="Times New Roman" w:cs="Times New Roman"/>
          <w:sz w:val="24"/>
          <w:szCs w:val="24"/>
        </w:rPr>
        <w:t>Hellenistic</w:t>
      </w:r>
      <w:r w:rsidRPr="006C2B8A">
        <w:rPr>
          <w:rFonts w:ascii="Times New Roman" w:hAnsi="Times New Roman" w:cs="Times New Roman"/>
          <w:sz w:val="24"/>
          <w:szCs w:val="24"/>
        </w:rPr>
        <w:t xml:space="preserve"> diplomacy entailed </w:t>
      </w:r>
      <w:r w:rsidR="007E5984" w:rsidRPr="006C2B8A">
        <w:rPr>
          <w:rFonts w:ascii="Times New Roman" w:hAnsi="Times New Roman" w:cs="Times New Roman"/>
          <w:sz w:val="24"/>
          <w:szCs w:val="24"/>
        </w:rPr>
        <w:t xml:space="preserve">in the period and how this changed if at all </w:t>
      </w:r>
      <w:r w:rsidRPr="006C2B8A">
        <w:rPr>
          <w:rFonts w:ascii="Times New Roman" w:hAnsi="Times New Roman" w:cs="Times New Roman"/>
          <w:sz w:val="24"/>
          <w:szCs w:val="24"/>
        </w:rPr>
        <w:t>during the reign of Antiochus III.</w:t>
      </w:r>
      <w:r w:rsidR="00F64C95" w:rsidRPr="006C2B8A">
        <w:rPr>
          <w:rFonts w:ascii="Times New Roman" w:hAnsi="Times New Roman" w:cs="Times New Roman"/>
          <w:sz w:val="24"/>
          <w:szCs w:val="24"/>
        </w:rPr>
        <w:t xml:space="preserve"> </w:t>
      </w:r>
      <w:r w:rsidR="007E5984" w:rsidRPr="006C2B8A">
        <w:rPr>
          <w:rFonts w:ascii="Times New Roman" w:hAnsi="Times New Roman" w:cs="Times New Roman"/>
          <w:sz w:val="24"/>
          <w:szCs w:val="24"/>
        </w:rPr>
        <w:t>Due to the emergence of different empires and kingdoms lead by singular figure heads in what was the Macedonian Empire diplomacy in the Hellenistic period is by and large between kings and monarchs.</w:t>
      </w:r>
      <w:r w:rsidR="00D1544B" w:rsidRPr="006C2B8A">
        <w:rPr>
          <w:rStyle w:val="FootnoteReference"/>
          <w:rFonts w:ascii="Times New Roman" w:hAnsi="Times New Roman" w:cs="Times New Roman"/>
          <w:sz w:val="24"/>
          <w:szCs w:val="24"/>
        </w:rPr>
        <w:footnoteReference w:id="8"/>
      </w:r>
      <w:r w:rsidR="007E5984" w:rsidRPr="006C2B8A">
        <w:rPr>
          <w:rFonts w:ascii="Times New Roman" w:hAnsi="Times New Roman" w:cs="Times New Roman"/>
          <w:sz w:val="24"/>
          <w:szCs w:val="24"/>
        </w:rPr>
        <w:t xml:space="preserve"> After Alexanders death in 323BC and the subsequent establishment of these new kingdoms there were only two political entities with significant influence that were not monarchies, those being the Aitolian League and the Achaean League in Greece. Cities around the Aegean Sea and the Black Sea would also claim their independence though they would often fall under the influence or control of one of the monarchs</w:t>
      </w:r>
      <w:r w:rsidR="006544ED" w:rsidRPr="006C2B8A">
        <w:rPr>
          <w:rFonts w:ascii="Times New Roman" w:hAnsi="Times New Roman" w:cs="Times New Roman"/>
          <w:sz w:val="24"/>
          <w:szCs w:val="24"/>
        </w:rPr>
        <w:t xml:space="preserve"> as they would become the ‘guarantors of autonomy’ for the cities. A notable exception to this would be Pergamum who were nominally loyal to the Seleucids, however they regularly acted against the Seleucids ultimately allying with Rome at the Battle of Magnesia. </w:t>
      </w:r>
      <w:r w:rsidR="008E49FC" w:rsidRPr="006C2B8A">
        <w:rPr>
          <w:rFonts w:ascii="Times New Roman" w:hAnsi="Times New Roman" w:cs="Times New Roman"/>
          <w:sz w:val="24"/>
          <w:szCs w:val="24"/>
        </w:rPr>
        <w:t xml:space="preserve">Two more political non monarchical powers enter the Hellenistic </w:t>
      </w:r>
      <w:r w:rsidR="008E49FC" w:rsidRPr="006C2B8A">
        <w:rPr>
          <w:rFonts w:ascii="Times New Roman" w:hAnsi="Times New Roman" w:cs="Times New Roman"/>
          <w:sz w:val="24"/>
          <w:szCs w:val="24"/>
        </w:rPr>
        <w:lastRenderedPageBreak/>
        <w:t>world, those being Rome and Carthage,</w:t>
      </w:r>
      <w:r w:rsidR="006544ED" w:rsidRPr="006C2B8A">
        <w:rPr>
          <w:rFonts w:ascii="Times New Roman" w:hAnsi="Times New Roman" w:cs="Times New Roman"/>
          <w:sz w:val="24"/>
          <w:szCs w:val="24"/>
        </w:rPr>
        <w:t xml:space="preserve"> </w:t>
      </w:r>
      <w:r w:rsidR="008E49FC" w:rsidRPr="006C2B8A">
        <w:rPr>
          <w:rFonts w:ascii="Times New Roman" w:hAnsi="Times New Roman" w:cs="Times New Roman"/>
          <w:sz w:val="24"/>
          <w:szCs w:val="24"/>
        </w:rPr>
        <w:t xml:space="preserve">though they are not important in the Hellenistic political theatre till after 200BC and the aftermath of the </w:t>
      </w:r>
      <w:r w:rsidR="00E32412" w:rsidRPr="006C2B8A">
        <w:rPr>
          <w:rFonts w:ascii="Times New Roman" w:hAnsi="Times New Roman" w:cs="Times New Roman"/>
          <w:sz w:val="24"/>
          <w:szCs w:val="24"/>
        </w:rPr>
        <w:t>Second</w:t>
      </w:r>
      <w:r w:rsidR="008E49FC" w:rsidRPr="006C2B8A">
        <w:rPr>
          <w:rFonts w:ascii="Times New Roman" w:hAnsi="Times New Roman" w:cs="Times New Roman"/>
          <w:sz w:val="24"/>
          <w:szCs w:val="24"/>
        </w:rPr>
        <w:t xml:space="preserve"> Punic War.</w:t>
      </w:r>
      <w:r w:rsidR="008E49FC" w:rsidRPr="006C2B8A">
        <w:rPr>
          <w:rStyle w:val="FootnoteReference"/>
          <w:rFonts w:ascii="Times New Roman" w:hAnsi="Times New Roman" w:cs="Times New Roman"/>
          <w:sz w:val="24"/>
          <w:szCs w:val="24"/>
        </w:rPr>
        <w:footnoteReference w:id="9"/>
      </w:r>
      <w:r w:rsidR="008E49FC" w:rsidRPr="006C2B8A">
        <w:rPr>
          <w:rFonts w:ascii="Times New Roman" w:hAnsi="Times New Roman" w:cs="Times New Roman"/>
          <w:sz w:val="24"/>
          <w:szCs w:val="24"/>
        </w:rPr>
        <w:t xml:space="preserve"> </w:t>
      </w:r>
    </w:p>
    <w:p w14:paraId="0C084B65" w14:textId="20A4AFC5" w:rsidR="00C80B95" w:rsidRPr="006C2B8A" w:rsidRDefault="008E49FC"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Essentially what this tells us is that Hellenistic diplomacy focused and relied upon these heads of state </w:t>
      </w:r>
      <w:r w:rsidR="00E32412" w:rsidRPr="006C2B8A">
        <w:rPr>
          <w:rFonts w:ascii="Times New Roman" w:hAnsi="Times New Roman" w:cs="Times New Roman"/>
          <w:sz w:val="24"/>
          <w:szCs w:val="24"/>
        </w:rPr>
        <w:t xml:space="preserve">since the treaties and accords struck between the kingdoms were largely conducted by the figureheads or people they appointed as envoys. There were no diplomats as such and as a result the treaties themselves were attached between the two monarchs </w:t>
      </w:r>
      <w:r w:rsidR="008350A2" w:rsidRPr="006C2B8A">
        <w:rPr>
          <w:rFonts w:ascii="Times New Roman" w:hAnsi="Times New Roman" w:cs="Times New Roman"/>
          <w:sz w:val="24"/>
          <w:szCs w:val="24"/>
        </w:rPr>
        <w:t>which expresses itself in the form of the ‘oath’. There’s very few examples of oaths being mentioned in classical texts themselves, the best example being one made by Ptolemy in 311BC in order to broker a short lasting peace with Antigonus Monophthalmus</w:t>
      </w:r>
      <w:r w:rsidR="00440089" w:rsidRPr="006C2B8A">
        <w:rPr>
          <w:rFonts w:ascii="Times New Roman" w:hAnsi="Times New Roman" w:cs="Times New Roman"/>
          <w:sz w:val="24"/>
          <w:szCs w:val="24"/>
        </w:rPr>
        <w:t xml:space="preserve"> as part of a detailed treaty made with the other successors</w:t>
      </w:r>
      <w:r w:rsidR="008350A2" w:rsidRPr="006C2B8A">
        <w:rPr>
          <w:rFonts w:ascii="Times New Roman" w:hAnsi="Times New Roman" w:cs="Times New Roman"/>
          <w:sz w:val="24"/>
          <w:szCs w:val="24"/>
        </w:rPr>
        <w:t>.</w:t>
      </w:r>
      <w:r w:rsidR="008350A2" w:rsidRPr="006C2B8A">
        <w:rPr>
          <w:rStyle w:val="FootnoteReference"/>
          <w:rFonts w:ascii="Times New Roman" w:hAnsi="Times New Roman" w:cs="Times New Roman"/>
          <w:sz w:val="24"/>
          <w:szCs w:val="24"/>
        </w:rPr>
        <w:footnoteReference w:id="10"/>
      </w:r>
      <w:r w:rsidR="008350A2" w:rsidRPr="006C2B8A">
        <w:rPr>
          <w:rFonts w:ascii="Times New Roman" w:hAnsi="Times New Roman" w:cs="Times New Roman"/>
          <w:sz w:val="24"/>
          <w:szCs w:val="24"/>
        </w:rPr>
        <w:t xml:space="preserve"> Whilst Ptolemy does ultimately find a loophole in this treaty and</w:t>
      </w:r>
      <w:r w:rsidR="00440089" w:rsidRPr="006C2B8A">
        <w:rPr>
          <w:rFonts w:ascii="Times New Roman" w:hAnsi="Times New Roman" w:cs="Times New Roman"/>
          <w:sz w:val="24"/>
          <w:szCs w:val="24"/>
        </w:rPr>
        <w:t xml:space="preserve"> attacks Antigonus again in the following year this does present a new president for diplomacy due to the mundanity with which it is mentioned suggesting that these were common in Hellenistic diplomacy. Previously in the Greek world treaties ultimately lasted for a specific period of time, nominally thirty years, which for the most part were not expected to last for the duration of the treaty.</w:t>
      </w:r>
      <w:r w:rsidR="00440089" w:rsidRPr="006C2B8A">
        <w:rPr>
          <w:rStyle w:val="FootnoteReference"/>
          <w:rFonts w:ascii="Times New Roman" w:hAnsi="Times New Roman" w:cs="Times New Roman"/>
          <w:sz w:val="24"/>
          <w:szCs w:val="24"/>
        </w:rPr>
        <w:footnoteReference w:id="11"/>
      </w:r>
      <w:r w:rsidR="00440089" w:rsidRPr="006C2B8A">
        <w:rPr>
          <w:rFonts w:ascii="Times New Roman" w:hAnsi="Times New Roman" w:cs="Times New Roman"/>
          <w:sz w:val="24"/>
          <w:szCs w:val="24"/>
        </w:rPr>
        <w:t xml:space="preserve"> Oaths on the other hand were tied directly to the person making it and as such was a reflection on how trustworthy they were. </w:t>
      </w:r>
      <w:r w:rsidR="00E1492D" w:rsidRPr="006C2B8A">
        <w:rPr>
          <w:rFonts w:ascii="Times New Roman" w:hAnsi="Times New Roman" w:cs="Times New Roman"/>
          <w:sz w:val="24"/>
          <w:szCs w:val="24"/>
        </w:rPr>
        <w:t>As the Hellenistic successors progressed from warlords to monarchs these oaths became accepted more seriously as they seemed reluctant to break oaths they had made</w:t>
      </w:r>
      <w:r w:rsidR="00C80B95" w:rsidRPr="006C2B8A">
        <w:rPr>
          <w:rFonts w:ascii="Times New Roman" w:hAnsi="Times New Roman" w:cs="Times New Roman"/>
          <w:sz w:val="24"/>
          <w:szCs w:val="24"/>
        </w:rPr>
        <w:t xml:space="preserve"> as breaking them would make their other diplomatic actions harder as they would not carry the same level of trust they once had. This resulted in diplomatic treaties that would las for the foreseeable future. </w:t>
      </w:r>
    </w:p>
    <w:p w14:paraId="35410A3B" w14:textId="77777777" w:rsidR="008E49FC" w:rsidRPr="006C2B8A" w:rsidRDefault="00C80B95"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This</w:t>
      </w:r>
      <w:r w:rsidR="00E1492D" w:rsidRPr="006C2B8A">
        <w:rPr>
          <w:rFonts w:ascii="Times New Roman" w:hAnsi="Times New Roman" w:cs="Times New Roman"/>
          <w:sz w:val="24"/>
          <w:szCs w:val="24"/>
        </w:rPr>
        <w:t xml:space="preserve"> can be seen by the treaties at the Syrian Wars between the Seleucid and Ptol</w:t>
      </w:r>
      <w:r w:rsidRPr="006C2B8A">
        <w:rPr>
          <w:rFonts w:ascii="Times New Roman" w:hAnsi="Times New Roman" w:cs="Times New Roman"/>
          <w:sz w:val="24"/>
          <w:szCs w:val="24"/>
        </w:rPr>
        <w:t>emaic Empires, for example</w:t>
      </w:r>
      <w:r w:rsidR="00D954D2" w:rsidRPr="006C2B8A">
        <w:rPr>
          <w:rFonts w:ascii="Times New Roman" w:hAnsi="Times New Roman" w:cs="Times New Roman"/>
          <w:sz w:val="24"/>
          <w:szCs w:val="24"/>
        </w:rPr>
        <w:t xml:space="preserve"> </w:t>
      </w:r>
      <w:r w:rsidRPr="006C2B8A">
        <w:rPr>
          <w:rFonts w:ascii="Times New Roman" w:hAnsi="Times New Roman" w:cs="Times New Roman"/>
          <w:sz w:val="24"/>
          <w:szCs w:val="24"/>
        </w:rPr>
        <w:t xml:space="preserve">Antiochus III was able to make campaigns in Asia Minor after making a peace with the young Ptolemy IV. By doing this Antiochus knew his Egyptian border would be secure from attack </w:t>
      </w:r>
      <w:r w:rsidR="001A6874" w:rsidRPr="006C2B8A">
        <w:rPr>
          <w:rFonts w:ascii="Times New Roman" w:hAnsi="Times New Roman" w:cs="Times New Roman"/>
          <w:sz w:val="24"/>
          <w:szCs w:val="24"/>
        </w:rPr>
        <w:t xml:space="preserve">as is shown by his campaign to the eastern parts of his empire after leaving Asia Minor, this is further reinforced by Antiochus IV acting in a similar fashion after </w:t>
      </w:r>
      <w:r w:rsidR="00046891" w:rsidRPr="006C2B8A">
        <w:rPr>
          <w:rFonts w:ascii="Times New Roman" w:hAnsi="Times New Roman" w:cs="Times New Roman"/>
          <w:sz w:val="24"/>
          <w:szCs w:val="24"/>
        </w:rPr>
        <w:t xml:space="preserve">making another oath treaty at the end of </w:t>
      </w:r>
      <w:r w:rsidR="001A6874" w:rsidRPr="006C2B8A">
        <w:rPr>
          <w:rFonts w:ascii="Times New Roman" w:hAnsi="Times New Roman" w:cs="Times New Roman"/>
          <w:sz w:val="24"/>
          <w:szCs w:val="24"/>
        </w:rPr>
        <w:t>the Sixth Syrian War</w:t>
      </w:r>
      <w:r w:rsidR="00046891" w:rsidRPr="006C2B8A">
        <w:rPr>
          <w:rFonts w:ascii="Times New Roman" w:hAnsi="Times New Roman" w:cs="Times New Roman"/>
          <w:sz w:val="24"/>
          <w:szCs w:val="24"/>
        </w:rPr>
        <w:t xml:space="preserve"> 170-168BC. Antiochus III also made the same oath with the Romans after Magnesia though this was probably also helped by the fact the Romans lack of interest in expanding into Asia at the time.</w:t>
      </w:r>
      <w:r w:rsidR="00046891" w:rsidRPr="006C2B8A">
        <w:rPr>
          <w:rStyle w:val="FootnoteReference"/>
          <w:rFonts w:ascii="Times New Roman" w:hAnsi="Times New Roman" w:cs="Times New Roman"/>
          <w:sz w:val="24"/>
          <w:szCs w:val="24"/>
        </w:rPr>
        <w:footnoteReference w:id="12"/>
      </w:r>
      <w:r w:rsidR="00046891" w:rsidRPr="006C2B8A">
        <w:rPr>
          <w:rFonts w:ascii="Times New Roman" w:hAnsi="Times New Roman" w:cs="Times New Roman"/>
          <w:sz w:val="24"/>
          <w:szCs w:val="24"/>
        </w:rPr>
        <w:t xml:space="preserve"> Whilst both Antiochus III and IV died on their expeditions west ultimately their confidence that their borders w</w:t>
      </w:r>
      <w:r w:rsidR="00D41410" w:rsidRPr="006C2B8A">
        <w:rPr>
          <w:rFonts w:ascii="Times New Roman" w:hAnsi="Times New Roman" w:cs="Times New Roman"/>
          <w:sz w:val="24"/>
          <w:szCs w:val="24"/>
        </w:rPr>
        <w:t xml:space="preserve">ere </w:t>
      </w:r>
      <w:r w:rsidR="00D41410" w:rsidRPr="006C2B8A">
        <w:rPr>
          <w:rFonts w:ascii="Times New Roman" w:hAnsi="Times New Roman" w:cs="Times New Roman"/>
          <w:sz w:val="24"/>
          <w:szCs w:val="24"/>
        </w:rPr>
        <w:lastRenderedPageBreak/>
        <w:t>secured by these oath treaties, as shown by them taking their main field armies on a several month long expedition away from their more contested borders.</w:t>
      </w:r>
    </w:p>
    <w:p w14:paraId="1B32372D" w14:textId="77777777" w:rsidR="00D41410" w:rsidRPr="006C2B8A" w:rsidRDefault="00D41410"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What is noticeable about these oath treaties is how tied to the monarch of the faction, as mentioned above. This possibly could be used to argue in favour that the Army of Antiochus III at Magnesia is more of a diplomatic statement rather than an actual combat oriented force, as the wide variety of nationalities under his command would be a testament to the Seleucid Empires power and by extension his own</w:t>
      </w:r>
      <w:r w:rsidR="007308C5" w:rsidRPr="006C2B8A">
        <w:rPr>
          <w:rFonts w:ascii="Times New Roman" w:hAnsi="Times New Roman" w:cs="Times New Roman"/>
          <w:sz w:val="24"/>
          <w:szCs w:val="24"/>
        </w:rPr>
        <w:t>. Furthermore this could be a reflection on Antiochus III’s character as a head of state if such a wide variety of ethnic groups would be under his influence, though this is subject to scrutiny as it is more likely some of these were hired as mercenaries or levied from territories more directly under Seleucid control. Though it is still quite possible that the army composition itself is more of a diplomatic statement due to many of the soldiers levied are considered to be skirmishing troops, something which Hellenistic armies would not normally field in mass.</w:t>
      </w:r>
    </w:p>
    <w:p w14:paraId="707B8699" w14:textId="77777777" w:rsidR="00161E78" w:rsidRPr="006C2B8A" w:rsidRDefault="00664D47"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In this regard it would be worth looking at ho</w:t>
      </w:r>
      <w:r w:rsidR="00AF10E3" w:rsidRPr="006C2B8A">
        <w:rPr>
          <w:rFonts w:ascii="Times New Roman" w:hAnsi="Times New Roman" w:cs="Times New Roman"/>
          <w:sz w:val="24"/>
          <w:szCs w:val="24"/>
        </w:rPr>
        <w:t xml:space="preserve">w Antiochus III carried himself in diplomacy and looking at whether or not </w:t>
      </w:r>
      <w:r w:rsidR="003A1083" w:rsidRPr="006C2B8A">
        <w:rPr>
          <w:rFonts w:ascii="Times New Roman" w:hAnsi="Times New Roman" w:cs="Times New Roman"/>
          <w:sz w:val="24"/>
          <w:szCs w:val="24"/>
        </w:rPr>
        <w:t>this gives an indication as to whether the army at Magnesia was more of a diplomatic statement. Antiochus III is one of the few kings of the Hellenistic period whom it is possible to write a continuous history with few gaps in his narrative.</w:t>
      </w:r>
      <w:r w:rsidR="005F3110" w:rsidRPr="006C2B8A">
        <w:rPr>
          <w:rFonts w:ascii="Times New Roman" w:hAnsi="Times New Roman" w:cs="Times New Roman"/>
          <w:sz w:val="24"/>
          <w:szCs w:val="24"/>
        </w:rPr>
        <w:t xml:space="preserve"> This is also an asset to this study because he managed a reign spanning thirty six years which is rather long when compared with average </w:t>
      </w:r>
      <w:r w:rsidR="00602485" w:rsidRPr="006C2B8A">
        <w:rPr>
          <w:rFonts w:ascii="Times New Roman" w:hAnsi="Times New Roman" w:cs="Times New Roman"/>
          <w:sz w:val="24"/>
          <w:szCs w:val="24"/>
        </w:rPr>
        <w:t xml:space="preserve">length of a </w:t>
      </w:r>
      <w:r w:rsidR="005F3110" w:rsidRPr="006C2B8A">
        <w:rPr>
          <w:rFonts w:ascii="Times New Roman" w:hAnsi="Times New Roman" w:cs="Times New Roman"/>
          <w:sz w:val="24"/>
          <w:szCs w:val="24"/>
        </w:rPr>
        <w:t>Seleucid reig</w:t>
      </w:r>
      <w:r w:rsidR="00602485" w:rsidRPr="006C2B8A">
        <w:rPr>
          <w:rFonts w:ascii="Times New Roman" w:hAnsi="Times New Roman" w:cs="Times New Roman"/>
          <w:sz w:val="24"/>
          <w:szCs w:val="24"/>
        </w:rPr>
        <w:t>n</w:t>
      </w:r>
      <w:r w:rsidR="005F3110" w:rsidRPr="006C2B8A">
        <w:rPr>
          <w:rFonts w:ascii="Times New Roman" w:hAnsi="Times New Roman" w:cs="Times New Roman"/>
          <w:sz w:val="24"/>
          <w:szCs w:val="24"/>
        </w:rPr>
        <w:t>.</w:t>
      </w:r>
      <w:r w:rsidR="00602485" w:rsidRPr="006C2B8A">
        <w:rPr>
          <w:rStyle w:val="FootnoteReference"/>
          <w:rFonts w:ascii="Times New Roman" w:hAnsi="Times New Roman" w:cs="Times New Roman"/>
          <w:sz w:val="24"/>
          <w:szCs w:val="24"/>
        </w:rPr>
        <w:footnoteReference w:id="13"/>
      </w:r>
      <w:r w:rsidR="005F3110" w:rsidRPr="006C2B8A">
        <w:rPr>
          <w:rFonts w:ascii="Times New Roman" w:hAnsi="Times New Roman" w:cs="Times New Roman"/>
          <w:sz w:val="24"/>
          <w:szCs w:val="24"/>
        </w:rPr>
        <w:t xml:space="preserve"> Antiochus III’s reign provides a good example of Hellenistic dipl</w:t>
      </w:r>
      <w:r w:rsidR="00E427FE" w:rsidRPr="006C2B8A">
        <w:rPr>
          <w:rFonts w:ascii="Times New Roman" w:hAnsi="Times New Roman" w:cs="Times New Roman"/>
          <w:sz w:val="24"/>
          <w:szCs w:val="24"/>
        </w:rPr>
        <w:t xml:space="preserve">omatic practices under what could be considered normal conditions. This is because despite his epithet being ‘The Great’ his reign highlighted what could be more akin to average, he was a competent general capable of winning battles but loosing others as well as being a competent statesman being able to keep the Seleucid system of government running smoothly throughout his reign. As a result this ‘averageness’ in his ability means that his </w:t>
      </w:r>
      <w:r w:rsidR="00602485" w:rsidRPr="006C2B8A">
        <w:rPr>
          <w:rFonts w:ascii="Times New Roman" w:hAnsi="Times New Roman" w:cs="Times New Roman"/>
          <w:sz w:val="24"/>
          <w:szCs w:val="24"/>
        </w:rPr>
        <w:t>diplomatic activity would be a strong starting point in establishing average Seleucid diplomatic relations outside of the oath treaties mentioned above.</w:t>
      </w:r>
      <w:r w:rsidR="008732A1" w:rsidRPr="006C2B8A">
        <w:rPr>
          <w:rFonts w:ascii="Times New Roman" w:hAnsi="Times New Roman" w:cs="Times New Roman"/>
          <w:sz w:val="24"/>
          <w:szCs w:val="24"/>
        </w:rPr>
        <w:t xml:space="preserve"> </w:t>
      </w:r>
    </w:p>
    <w:p w14:paraId="4DE77FD6" w14:textId="77777777" w:rsidR="00A46AEE" w:rsidRPr="006C2B8A" w:rsidRDefault="008732A1"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Looking at how the Fourth Syrian War 219-217BC began with the death of Ptolemy III resulting in a previous oath treaty becoming null and void giving Antiochus an opening to retake the boundaries of the empire as set by its founder Seleucus I. Supposedly the Ptolemaic government had been engaged in schemes to encourage rebellions in Asia Minor by attempting to convince the governor</w:t>
      </w:r>
      <w:r w:rsidR="002738FD" w:rsidRPr="006C2B8A">
        <w:rPr>
          <w:rFonts w:ascii="Times New Roman" w:hAnsi="Times New Roman" w:cs="Times New Roman"/>
          <w:sz w:val="24"/>
          <w:szCs w:val="24"/>
        </w:rPr>
        <w:t xml:space="preserve"> Achaeu</w:t>
      </w:r>
      <w:r w:rsidRPr="006C2B8A">
        <w:rPr>
          <w:rFonts w:ascii="Times New Roman" w:hAnsi="Times New Roman" w:cs="Times New Roman"/>
          <w:sz w:val="24"/>
          <w:szCs w:val="24"/>
        </w:rPr>
        <w:t xml:space="preserve">s to rebel, though this is dismissed by Polybius as a forgery </w:t>
      </w:r>
      <w:r w:rsidRPr="006C2B8A">
        <w:rPr>
          <w:rFonts w:ascii="Times New Roman" w:hAnsi="Times New Roman" w:cs="Times New Roman"/>
          <w:sz w:val="24"/>
          <w:szCs w:val="24"/>
        </w:rPr>
        <w:lastRenderedPageBreak/>
        <w:t>to give reason to the later betrayal during the war itself.</w:t>
      </w:r>
      <w:r w:rsidRPr="006C2B8A">
        <w:rPr>
          <w:rStyle w:val="FootnoteReference"/>
          <w:rFonts w:ascii="Times New Roman" w:hAnsi="Times New Roman" w:cs="Times New Roman"/>
          <w:sz w:val="24"/>
          <w:szCs w:val="24"/>
        </w:rPr>
        <w:footnoteReference w:id="14"/>
      </w:r>
      <w:r w:rsidRPr="006C2B8A">
        <w:rPr>
          <w:rFonts w:ascii="Times New Roman" w:hAnsi="Times New Roman" w:cs="Times New Roman"/>
          <w:sz w:val="24"/>
          <w:szCs w:val="24"/>
        </w:rPr>
        <w:t xml:space="preserve"> The only real diplomatic move made by the Seleucids in the opening month of the conflict </w:t>
      </w:r>
      <w:r w:rsidR="00F33CCC" w:rsidRPr="006C2B8A">
        <w:rPr>
          <w:rFonts w:ascii="Times New Roman" w:hAnsi="Times New Roman" w:cs="Times New Roman"/>
          <w:sz w:val="24"/>
          <w:szCs w:val="24"/>
        </w:rPr>
        <w:t>was to marry Antiochus to Laodike, the daughter of Mi</w:t>
      </w:r>
      <w:r w:rsidR="00A46AEE" w:rsidRPr="006C2B8A">
        <w:rPr>
          <w:rFonts w:ascii="Times New Roman" w:hAnsi="Times New Roman" w:cs="Times New Roman"/>
          <w:sz w:val="24"/>
          <w:szCs w:val="24"/>
        </w:rPr>
        <w:t>thradates II the king of Pontus;</w:t>
      </w:r>
      <w:r w:rsidR="00F33CCC" w:rsidRPr="006C2B8A">
        <w:rPr>
          <w:rFonts w:ascii="Times New Roman" w:hAnsi="Times New Roman" w:cs="Times New Roman"/>
          <w:sz w:val="24"/>
          <w:szCs w:val="24"/>
        </w:rPr>
        <w:t xml:space="preserve"> which itself was a shrewd political move as Antiochus was the only male heir of the dynasty at the time and his death on campaign would have left a power vacuum </w:t>
      </w:r>
      <w:r w:rsidR="002738FD" w:rsidRPr="006C2B8A">
        <w:rPr>
          <w:rFonts w:ascii="Times New Roman" w:hAnsi="Times New Roman" w:cs="Times New Roman"/>
          <w:sz w:val="24"/>
          <w:szCs w:val="24"/>
        </w:rPr>
        <w:t>which Achaeu</w:t>
      </w:r>
      <w:r w:rsidR="00F33CCC" w:rsidRPr="006C2B8A">
        <w:rPr>
          <w:rFonts w:ascii="Times New Roman" w:hAnsi="Times New Roman" w:cs="Times New Roman"/>
          <w:sz w:val="24"/>
          <w:szCs w:val="24"/>
        </w:rPr>
        <w:t xml:space="preserve">s and Molon, the satrap of Media who rebelled at a similar </w:t>
      </w:r>
      <w:r w:rsidR="002738FD" w:rsidRPr="006C2B8A">
        <w:rPr>
          <w:rFonts w:ascii="Times New Roman" w:hAnsi="Times New Roman" w:cs="Times New Roman"/>
          <w:sz w:val="24"/>
          <w:szCs w:val="24"/>
        </w:rPr>
        <w:t>time to Achaeu</w:t>
      </w:r>
      <w:r w:rsidR="00F33CCC" w:rsidRPr="006C2B8A">
        <w:rPr>
          <w:rFonts w:ascii="Times New Roman" w:hAnsi="Times New Roman" w:cs="Times New Roman"/>
          <w:sz w:val="24"/>
          <w:szCs w:val="24"/>
        </w:rPr>
        <w:t xml:space="preserve">s, </w:t>
      </w:r>
      <w:r w:rsidR="00CD11DC" w:rsidRPr="006C2B8A">
        <w:rPr>
          <w:rFonts w:ascii="Times New Roman" w:hAnsi="Times New Roman" w:cs="Times New Roman"/>
          <w:sz w:val="24"/>
          <w:szCs w:val="24"/>
        </w:rPr>
        <w:t>sought to take advantage of</w:t>
      </w:r>
      <w:r w:rsidR="00A46AEE" w:rsidRPr="006C2B8A">
        <w:rPr>
          <w:rFonts w:ascii="Times New Roman" w:hAnsi="Times New Roman" w:cs="Times New Roman"/>
          <w:sz w:val="24"/>
          <w:szCs w:val="24"/>
        </w:rPr>
        <w:t>.</w:t>
      </w:r>
      <w:r w:rsidR="00A46AEE" w:rsidRPr="006C2B8A">
        <w:rPr>
          <w:rStyle w:val="FootnoteReference"/>
          <w:rFonts w:ascii="Times New Roman" w:hAnsi="Times New Roman" w:cs="Times New Roman"/>
          <w:sz w:val="24"/>
          <w:szCs w:val="24"/>
        </w:rPr>
        <w:footnoteReference w:id="15"/>
      </w:r>
      <w:r w:rsidR="00A46AEE" w:rsidRPr="006C2B8A">
        <w:rPr>
          <w:rFonts w:ascii="Times New Roman" w:hAnsi="Times New Roman" w:cs="Times New Roman"/>
          <w:sz w:val="24"/>
          <w:szCs w:val="24"/>
        </w:rPr>
        <w:t xml:space="preserve"> The marriage enabled Antiochus to secure his dynasty as he would be able to start attempting to produce an heir and it also allied him to one of the more powerful kingdoms in the north of Asia Minor. </w:t>
      </w:r>
    </w:p>
    <w:p w14:paraId="45201014" w14:textId="77777777" w:rsidR="00A46AEE" w:rsidRPr="006C2B8A" w:rsidRDefault="00A46AEE"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Later in the conflict we see Antiochus III use diplomatic subterfuge to enable him to gain control of towns and settlements rather than by a direct assault as seen </w:t>
      </w:r>
      <w:r w:rsidR="00886824" w:rsidRPr="006C2B8A">
        <w:rPr>
          <w:rFonts w:ascii="Times New Roman" w:hAnsi="Times New Roman" w:cs="Times New Roman"/>
          <w:sz w:val="24"/>
          <w:szCs w:val="24"/>
        </w:rPr>
        <w:t>at settlements such as Seleuc</w:t>
      </w:r>
      <w:r w:rsidR="00063D28" w:rsidRPr="006C2B8A">
        <w:rPr>
          <w:rFonts w:ascii="Times New Roman" w:hAnsi="Times New Roman" w:cs="Times New Roman"/>
          <w:sz w:val="24"/>
          <w:szCs w:val="24"/>
        </w:rPr>
        <w:t>ia-in-Pieria, where the junior Ptolemaic officers were convinced to overthrow their commander and surrender the city.</w:t>
      </w:r>
      <w:r w:rsidR="00063D28" w:rsidRPr="006C2B8A">
        <w:rPr>
          <w:rStyle w:val="FootnoteReference"/>
          <w:rFonts w:ascii="Times New Roman" w:hAnsi="Times New Roman" w:cs="Times New Roman"/>
          <w:sz w:val="24"/>
          <w:szCs w:val="24"/>
        </w:rPr>
        <w:footnoteReference w:id="16"/>
      </w:r>
      <w:r w:rsidR="00063D28" w:rsidRPr="006C2B8A">
        <w:rPr>
          <w:rFonts w:ascii="Times New Roman" w:hAnsi="Times New Roman" w:cs="Times New Roman"/>
          <w:sz w:val="24"/>
          <w:szCs w:val="24"/>
        </w:rPr>
        <w:t xml:space="preserve"> This trend was not uncommon in the period, however Antiochus had certainly used it to a better effect than his father or brother resulting in significant Seleucid gains by the time a truce had been signed for the winter of 218/217BC.</w:t>
      </w:r>
      <w:r w:rsidR="00161E78" w:rsidRPr="006C2B8A">
        <w:rPr>
          <w:rFonts w:ascii="Times New Roman" w:hAnsi="Times New Roman" w:cs="Times New Roman"/>
          <w:sz w:val="24"/>
          <w:szCs w:val="24"/>
        </w:rPr>
        <w:t xml:space="preserve"> Antiochus usually took part in diplomatic events</w:t>
      </w:r>
      <w:r w:rsidR="00D9272E" w:rsidRPr="006C2B8A">
        <w:rPr>
          <w:rFonts w:ascii="Times New Roman" w:hAnsi="Times New Roman" w:cs="Times New Roman"/>
          <w:sz w:val="24"/>
          <w:szCs w:val="24"/>
        </w:rPr>
        <w:t xml:space="preserve"> in person starting with the peace negotiation after the Battle of Raphia which took place at the royal palace at Antioch in 217BC.</w:t>
      </w:r>
      <w:r w:rsidR="00D9272E" w:rsidRPr="006C2B8A">
        <w:rPr>
          <w:rStyle w:val="FootnoteReference"/>
          <w:rFonts w:ascii="Times New Roman" w:hAnsi="Times New Roman" w:cs="Times New Roman"/>
          <w:sz w:val="24"/>
          <w:szCs w:val="24"/>
        </w:rPr>
        <w:footnoteReference w:id="17"/>
      </w:r>
      <w:r w:rsidR="00D9272E" w:rsidRPr="006C2B8A">
        <w:rPr>
          <w:rFonts w:ascii="Times New Roman" w:hAnsi="Times New Roman" w:cs="Times New Roman"/>
          <w:sz w:val="24"/>
          <w:szCs w:val="24"/>
        </w:rPr>
        <w:t xml:space="preserve"> This primary engagement with diplomacy was shown in his eastern campaign as Antiochus met with king Xerxes of Armenia after defeating him to negotiate their vassalage and his meeting with an envoy of Euthydemus the king of Bactria during the two year siege of Bactra. Essentially these boiled down to an exchange of oaths in a similar fashion as mentione</w:t>
      </w:r>
      <w:r w:rsidR="004B3A08" w:rsidRPr="006C2B8A">
        <w:rPr>
          <w:rFonts w:ascii="Times New Roman" w:hAnsi="Times New Roman" w:cs="Times New Roman"/>
          <w:sz w:val="24"/>
          <w:szCs w:val="24"/>
        </w:rPr>
        <w:t>d previously; which can be demonstrated</w:t>
      </w:r>
      <w:r w:rsidR="00D9272E" w:rsidRPr="006C2B8A">
        <w:rPr>
          <w:rFonts w:ascii="Times New Roman" w:hAnsi="Times New Roman" w:cs="Times New Roman"/>
          <w:sz w:val="24"/>
          <w:szCs w:val="24"/>
        </w:rPr>
        <w:t xml:space="preserve"> by Antiochus</w:t>
      </w:r>
      <w:r w:rsidR="004B3A08" w:rsidRPr="006C2B8A">
        <w:rPr>
          <w:rFonts w:ascii="Times New Roman" w:hAnsi="Times New Roman" w:cs="Times New Roman"/>
          <w:sz w:val="24"/>
          <w:szCs w:val="24"/>
        </w:rPr>
        <w:t>’ reluctance to hold summits which would not be necessary to a declaration of the oaths. This also gave Antiochus a position of diplomatic strength as when dealing with the envoys of Euthydemus and Ptolemy IV he would be able to hold off any ratifications made in a treaty until the envoy had delivered the oaths sword by the rival monarch.</w:t>
      </w:r>
    </w:p>
    <w:p w14:paraId="7A15B936" w14:textId="77777777" w:rsidR="002738FD" w:rsidRPr="006C2B8A" w:rsidRDefault="00074204"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The role of the Hellenistic kings in diplomacy and the importance of these oaths can be further shown when Antiochus III is sent an envoy by the Ptolemaic regent after the death of Ptolemy IV in 205BC.</w:t>
      </w:r>
      <w:r w:rsidRPr="006C2B8A">
        <w:rPr>
          <w:rStyle w:val="FootnoteReference"/>
          <w:rFonts w:ascii="Times New Roman" w:hAnsi="Times New Roman" w:cs="Times New Roman"/>
          <w:sz w:val="24"/>
          <w:szCs w:val="24"/>
        </w:rPr>
        <w:footnoteReference w:id="18"/>
      </w:r>
      <w:r w:rsidRPr="006C2B8A">
        <w:rPr>
          <w:rFonts w:ascii="Times New Roman" w:hAnsi="Times New Roman" w:cs="Times New Roman"/>
          <w:sz w:val="24"/>
          <w:szCs w:val="24"/>
        </w:rPr>
        <w:t xml:space="preserve"> The envoy, Pelops governor of Cyprus, was sent to Antiochus’ court in an effort to dissuade the Seleucid king from launching another Syrian War due to the Ptolemaic kingdom </w:t>
      </w:r>
      <w:r w:rsidRPr="006C2B8A">
        <w:rPr>
          <w:rFonts w:ascii="Times New Roman" w:hAnsi="Times New Roman" w:cs="Times New Roman"/>
          <w:sz w:val="24"/>
          <w:szCs w:val="24"/>
        </w:rPr>
        <w:lastRenderedPageBreak/>
        <w:t>dealing with an Egyptian uprising bolstered by the fact they armed and trained them to win the Fourth Syrian War.</w:t>
      </w:r>
      <w:r w:rsidRPr="006C2B8A">
        <w:rPr>
          <w:rStyle w:val="FootnoteReference"/>
          <w:rFonts w:ascii="Times New Roman" w:hAnsi="Times New Roman" w:cs="Times New Roman"/>
          <w:sz w:val="24"/>
          <w:szCs w:val="24"/>
        </w:rPr>
        <w:footnoteReference w:id="19"/>
      </w:r>
      <w:r w:rsidRPr="006C2B8A">
        <w:rPr>
          <w:rFonts w:ascii="Times New Roman" w:hAnsi="Times New Roman" w:cs="Times New Roman"/>
          <w:sz w:val="24"/>
          <w:szCs w:val="24"/>
        </w:rPr>
        <w:t xml:space="preserve"> Pelops, upon seeing Antiochus moving to annex territories claimed by Ptolemy on the border of the empire, sought to remind the Seleucid king of the peace treaty of 217BC at the end of the Fourth Syrian War, notably the clause that expressed the ‘new state of friendship between’ the two nations</w:t>
      </w:r>
      <w:r w:rsidR="000F578F" w:rsidRPr="006C2B8A">
        <w:rPr>
          <w:rFonts w:ascii="Times New Roman" w:hAnsi="Times New Roman" w:cs="Times New Roman"/>
          <w:sz w:val="24"/>
          <w:szCs w:val="24"/>
        </w:rPr>
        <w:t>.</w:t>
      </w:r>
      <w:r w:rsidR="000F578F" w:rsidRPr="006C2B8A">
        <w:rPr>
          <w:rStyle w:val="FootnoteReference"/>
          <w:rFonts w:ascii="Times New Roman" w:hAnsi="Times New Roman" w:cs="Times New Roman"/>
          <w:sz w:val="24"/>
          <w:szCs w:val="24"/>
        </w:rPr>
        <w:footnoteReference w:id="20"/>
      </w:r>
      <w:r w:rsidR="000F578F" w:rsidRPr="006C2B8A">
        <w:rPr>
          <w:rFonts w:ascii="Times New Roman" w:hAnsi="Times New Roman" w:cs="Times New Roman"/>
          <w:sz w:val="24"/>
          <w:szCs w:val="24"/>
        </w:rPr>
        <w:t xml:space="preserve"> Antiochus’ response in Polybius, as noted by Grainger, expresses both the importance of the monarch to these treaties and the binding nature of these oaths as he responds by saying that the treaty was between the two kings.</w:t>
      </w:r>
      <w:r w:rsidR="000F578F" w:rsidRPr="006C2B8A">
        <w:rPr>
          <w:rStyle w:val="FootnoteReference"/>
          <w:rFonts w:ascii="Times New Roman" w:hAnsi="Times New Roman" w:cs="Times New Roman"/>
          <w:sz w:val="24"/>
          <w:szCs w:val="24"/>
        </w:rPr>
        <w:footnoteReference w:id="21"/>
      </w:r>
      <w:r w:rsidR="000F578F" w:rsidRPr="006C2B8A">
        <w:rPr>
          <w:rFonts w:ascii="Times New Roman" w:hAnsi="Times New Roman" w:cs="Times New Roman"/>
          <w:sz w:val="24"/>
          <w:szCs w:val="24"/>
        </w:rPr>
        <w:t xml:space="preserve"> Essentially what this meant is that the Oath treaty preventing him from going to war with Ptolemaic Egypt had ceased to exist as one of the two creators of the treaty had perished</w:t>
      </w:r>
      <w:r w:rsidR="00B50106" w:rsidRPr="006C2B8A">
        <w:rPr>
          <w:rFonts w:ascii="Times New Roman" w:hAnsi="Times New Roman" w:cs="Times New Roman"/>
          <w:sz w:val="24"/>
          <w:szCs w:val="24"/>
        </w:rPr>
        <w:t>, this response is rather non-committal as he is not out rightly acting aggressively towards the Ptolemaic dynasty, though he is provoking them by annexing territory. This in combination with Pelops’ attempts to avoid conflict could only have encouraged him to begin the Fifth Syrian War 202-195BC.</w:t>
      </w:r>
      <w:r w:rsidR="002738FD" w:rsidRPr="006C2B8A">
        <w:rPr>
          <w:rFonts w:ascii="Times New Roman" w:hAnsi="Times New Roman" w:cs="Times New Roman"/>
          <w:sz w:val="24"/>
          <w:szCs w:val="24"/>
        </w:rPr>
        <w:t xml:space="preserve"> </w:t>
      </w:r>
    </w:p>
    <w:p w14:paraId="2E6F46AD" w14:textId="47F55E16" w:rsidR="004B3A08" w:rsidRPr="006C2B8A" w:rsidRDefault="002738FD"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We can </w:t>
      </w:r>
      <w:r w:rsidR="008C1EF5" w:rsidRPr="006C2B8A">
        <w:rPr>
          <w:rFonts w:ascii="Times New Roman" w:hAnsi="Times New Roman" w:cs="Times New Roman"/>
          <w:sz w:val="24"/>
          <w:szCs w:val="24"/>
        </w:rPr>
        <w:t>realise</w:t>
      </w:r>
      <w:r w:rsidRPr="006C2B8A">
        <w:rPr>
          <w:rFonts w:ascii="Times New Roman" w:hAnsi="Times New Roman" w:cs="Times New Roman"/>
          <w:sz w:val="24"/>
          <w:szCs w:val="24"/>
        </w:rPr>
        <w:t xml:space="preserve"> here that between Hellenistic powers diplomacy was tied to the monarch rather than the state they ruled over as demonstrated by the vast majority of the treaties being based on oaths, reinforced by political marriages in some cases, and Antiochus III’s personal participation in many diplomatic events in his lifespan. The fact so much diplomatic weight is placed on the monarch means that their power, influence and trustworthiness were directly linked the success of their kingdom</w:t>
      </w:r>
      <w:r w:rsidR="00843D1B" w:rsidRPr="006C2B8A">
        <w:rPr>
          <w:rFonts w:ascii="Times New Roman" w:hAnsi="Times New Roman" w:cs="Times New Roman"/>
          <w:sz w:val="24"/>
          <w:szCs w:val="24"/>
        </w:rPr>
        <w:t>. It would therefore not be out of place to associate the army brought to Magnesia by Antiochus III with a diplomatic statement of power, seeing as how it seems to be a long list of the ethnic groups that are under his control. Though an argument can be made that this is an incorrect assumption as Antiochus had previously been defeated in Greece by the Romans and as such bringing an army that was not ideal for the type of engagement expected would have been a foolish notion for the king to commit to</w:t>
      </w:r>
      <w:r w:rsidR="003D7D1B" w:rsidRPr="006C2B8A">
        <w:rPr>
          <w:rFonts w:ascii="Times New Roman" w:hAnsi="Times New Roman" w:cs="Times New Roman"/>
          <w:sz w:val="24"/>
          <w:szCs w:val="24"/>
        </w:rPr>
        <w:t xml:space="preserve"> as it puts him at a disadvantage</w:t>
      </w:r>
      <w:r w:rsidR="00843D1B" w:rsidRPr="006C2B8A">
        <w:rPr>
          <w:rFonts w:ascii="Times New Roman" w:hAnsi="Times New Roman" w:cs="Times New Roman"/>
          <w:sz w:val="24"/>
          <w:szCs w:val="24"/>
        </w:rPr>
        <w:t>.</w:t>
      </w:r>
      <w:r w:rsidR="003D7D1B" w:rsidRPr="006C2B8A">
        <w:rPr>
          <w:rFonts w:ascii="Times New Roman" w:hAnsi="Times New Roman" w:cs="Times New Roman"/>
          <w:sz w:val="24"/>
          <w:szCs w:val="24"/>
        </w:rPr>
        <w:t xml:space="preserve"> Whilst militarily flawed the notion is still one that could have been rather effective when confronting another Hellenistic power. To truly gauge this idea it is best to look at how the diplomatic interactions between Antiochus III and the Roman Senate had played out prior to this.</w:t>
      </w:r>
    </w:p>
    <w:p w14:paraId="7DF730A3" w14:textId="77777777" w:rsidR="004F5152" w:rsidRPr="006C2B8A" w:rsidRDefault="003216EC"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As mentioned earlier the Roman and Seleucid Empires were aware of each other’s existence and were both aware that as a result both empires would begin to interact with one another as major powers of the Mediterranean as a result of their victories in their respective wars; the </w:t>
      </w:r>
      <w:r w:rsidRPr="006C2B8A">
        <w:rPr>
          <w:rFonts w:ascii="Times New Roman" w:hAnsi="Times New Roman" w:cs="Times New Roman"/>
          <w:sz w:val="24"/>
          <w:szCs w:val="24"/>
        </w:rPr>
        <w:lastRenderedPageBreak/>
        <w:t>Second Punic War as well as the Second Macedonian War 200-197BC for Rome and the Fifth Syrian war for the Seleucid Empire.</w:t>
      </w:r>
      <w:r w:rsidRPr="006C2B8A">
        <w:rPr>
          <w:rStyle w:val="FootnoteReference"/>
          <w:rFonts w:ascii="Times New Roman" w:hAnsi="Times New Roman" w:cs="Times New Roman"/>
          <w:sz w:val="24"/>
          <w:szCs w:val="24"/>
        </w:rPr>
        <w:footnoteReference w:id="22"/>
      </w:r>
      <w:r w:rsidRPr="006C2B8A">
        <w:rPr>
          <w:rFonts w:ascii="Times New Roman" w:hAnsi="Times New Roman" w:cs="Times New Roman"/>
          <w:sz w:val="24"/>
          <w:szCs w:val="24"/>
        </w:rPr>
        <w:t xml:space="preserve"> As a result both powers were becoming more and more involved in the affairs of Greece, which ultimately sparked the Roman Syrian War, though this was not without diplomatic efforts to avoid a conflict.</w:t>
      </w:r>
      <w:r w:rsidR="00BA7290" w:rsidRPr="006C2B8A">
        <w:rPr>
          <w:rFonts w:ascii="Times New Roman" w:hAnsi="Times New Roman" w:cs="Times New Roman"/>
          <w:sz w:val="24"/>
          <w:szCs w:val="24"/>
        </w:rPr>
        <w:t xml:space="preserve"> The Romans ultimately opened contact with the Hellenistic east in 200BC when they sent three legates to serve as envoys to each of the major Hellenistic powers, those being Philip V Macedon, Antiochus III, and the court of Ptolemy V as he was still a child. The legate sent to Philip ultimately delivered an obscure message which was ultimately a declaration of war, however Livy goes on to argue that the legates sent to the Seleucids and the Ptolemaic court were sent in an attempt to broker peace between the two.</w:t>
      </w:r>
      <w:r w:rsidR="00BA7290" w:rsidRPr="006C2B8A">
        <w:rPr>
          <w:rStyle w:val="FootnoteReference"/>
          <w:rFonts w:ascii="Times New Roman" w:hAnsi="Times New Roman" w:cs="Times New Roman"/>
          <w:sz w:val="24"/>
          <w:szCs w:val="24"/>
        </w:rPr>
        <w:footnoteReference w:id="23"/>
      </w:r>
      <w:r w:rsidR="00BA7290" w:rsidRPr="006C2B8A">
        <w:rPr>
          <w:rFonts w:ascii="Times New Roman" w:hAnsi="Times New Roman" w:cs="Times New Roman"/>
          <w:sz w:val="24"/>
          <w:szCs w:val="24"/>
        </w:rPr>
        <w:t xml:space="preserve"> Going so far as to say that the one sent to Egypt was sent to ‘tutor’ Ptolemy V, which has created many theories as to the origin of the Amitica between Rome and Egypt.</w:t>
      </w:r>
      <w:r w:rsidR="00BA7290" w:rsidRPr="006C2B8A">
        <w:rPr>
          <w:rStyle w:val="FootnoteReference"/>
          <w:rFonts w:ascii="Times New Roman" w:hAnsi="Times New Roman" w:cs="Times New Roman"/>
          <w:sz w:val="24"/>
          <w:szCs w:val="24"/>
        </w:rPr>
        <w:footnoteReference w:id="24"/>
      </w:r>
      <w:r w:rsidR="00BA7290" w:rsidRPr="006C2B8A">
        <w:rPr>
          <w:rFonts w:ascii="Times New Roman" w:hAnsi="Times New Roman" w:cs="Times New Roman"/>
          <w:sz w:val="24"/>
          <w:szCs w:val="24"/>
        </w:rPr>
        <w:t xml:space="preserve"> Ultimately however there is no evidence to support Livy’s notion that the two legates sent were sent as peace brokers as it would have been a bad move on the part of the Romans to broker peace between two powers that could have moved to support Philip V upon the Romans eventual invasion of Macedon. It is more correct to see these two as information gatherers as the knowledge that the two major powers in Asia were at each other’s throat quite possibly made their decision to declare war on Macedon easier for them.</w:t>
      </w:r>
      <w:r w:rsidR="00BD7E8A" w:rsidRPr="006C2B8A">
        <w:rPr>
          <w:rFonts w:ascii="Times New Roman" w:hAnsi="Times New Roman" w:cs="Times New Roman"/>
          <w:sz w:val="24"/>
          <w:szCs w:val="24"/>
        </w:rPr>
        <w:t xml:space="preserve"> The Romans having won the war in Macedon proceeded to set up </w:t>
      </w:r>
      <w:r w:rsidR="004F5152" w:rsidRPr="006C2B8A">
        <w:rPr>
          <w:rFonts w:ascii="Times New Roman" w:hAnsi="Times New Roman" w:cs="Times New Roman"/>
          <w:sz w:val="24"/>
          <w:szCs w:val="24"/>
        </w:rPr>
        <w:t>peace settlements in Greece, with the removal of some garrisons and returning the ‘autonomy’ of the Greek City States, though this largely was a hollow promise where the reality was more of a dictated peace, with many Greeks being dissatisfied including the Aitolian League.</w:t>
      </w:r>
      <w:r w:rsidR="004F5152" w:rsidRPr="006C2B8A">
        <w:rPr>
          <w:rStyle w:val="FootnoteReference"/>
          <w:rFonts w:ascii="Times New Roman" w:hAnsi="Times New Roman" w:cs="Times New Roman"/>
          <w:sz w:val="24"/>
          <w:szCs w:val="24"/>
        </w:rPr>
        <w:footnoteReference w:id="25"/>
      </w:r>
      <w:r w:rsidR="004F5152" w:rsidRPr="006C2B8A">
        <w:rPr>
          <w:rFonts w:ascii="Times New Roman" w:hAnsi="Times New Roman" w:cs="Times New Roman"/>
          <w:sz w:val="24"/>
          <w:szCs w:val="24"/>
        </w:rPr>
        <w:t xml:space="preserve"> </w:t>
      </w:r>
    </w:p>
    <w:p w14:paraId="0F11DC99" w14:textId="77777777" w:rsidR="003D7D1B" w:rsidRPr="006C2B8A" w:rsidRDefault="004F5152"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From around 198BC both the Antiochus and the Romans began to send envoys back and forth more regularly due to both being relatively freed from the major part of their campaigns; this change in frequency was due to Attalus of Pergamum sending an envoy to the Roman commander in Greece, Flaminius, that the Seleucid army had encroached onto his territory. This was most likely an accidental move by a sub commander in the Seleucid army during Antiochus’s campaign to take back Ptolemaic settlements in Asia Minor at the end of the Fifth Syrian War</w:t>
      </w:r>
      <w:r w:rsidR="00021254" w:rsidRPr="006C2B8A">
        <w:rPr>
          <w:rFonts w:ascii="Times New Roman" w:hAnsi="Times New Roman" w:cs="Times New Roman"/>
          <w:sz w:val="24"/>
          <w:szCs w:val="24"/>
        </w:rPr>
        <w:t>.</w:t>
      </w:r>
      <w:r w:rsidR="00021254" w:rsidRPr="006C2B8A">
        <w:rPr>
          <w:rStyle w:val="FootnoteReference"/>
          <w:rFonts w:ascii="Times New Roman" w:hAnsi="Times New Roman" w:cs="Times New Roman"/>
          <w:sz w:val="24"/>
          <w:szCs w:val="24"/>
        </w:rPr>
        <w:footnoteReference w:id="26"/>
      </w:r>
      <w:r w:rsidR="00021254" w:rsidRPr="006C2B8A">
        <w:rPr>
          <w:rFonts w:ascii="Times New Roman" w:hAnsi="Times New Roman" w:cs="Times New Roman"/>
          <w:sz w:val="24"/>
          <w:szCs w:val="24"/>
        </w:rPr>
        <w:t xml:space="preserve"> Ultimately this is an example of what would eventually bring the two powers into conflict as Attalus used the mistake as an excuse to get the Romans to support his own </w:t>
      </w:r>
      <w:r w:rsidR="00021254" w:rsidRPr="006C2B8A">
        <w:rPr>
          <w:rFonts w:ascii="Times New Roman" w:hAnsi="Times New Roman" w:cs="Times New Roman"/>
          <w:sz w:val="24"/>
          <w:szCs w:val="24"/>
        </w:rPr>
        <w:lastRenderedPageBreak/>
        <w:t>dynastic intentions as he wanted to pull his troops out of Greece in order to try to reclaim territory lost about twenty years prior.</w:t>
      </w:r>
      <w:r w:rsidR="00021254" w:rsidRPr="006C2B8A">
        <w:rPr>
          <w:rStyle w:val="FootnoteReference"/>
          <w:rFonts w:ascii="Times New Roman" w:hAnsi="Times New Roman" w:cs="Times New Roman"/>
          <w:sz w:val="24"/>
          <w:szCs w:val="24"/>
        </w:rPr>
        <w:footnoteReference w:id="27"/>
      </w:r>
      <w:r w:rsidR="00021254" w:rsidRPr="006C2B8A">
        <w:rPr>
          <w:rFonts w:ascii="Times New Roman" w:hAnsi="Times New Roman" w:cs="Times New Roman"/>
          <w:sz w:val="24"/>
          <w:szCs w:val="24"/>
        </w:rPr>
        <w:t xml:space="preserve"> Rome sent envoys to Antiochus as a result, and it can be argued that these again were sent to gather information as they stopped in Greece to report to Flaminius before returning to Rome with a Seleucid Envoy.</w:t>
      </w:r>
      <w:r w:rsidR="00021254" w:rsidRPr="006C2B8A">
        <w:rPr>
          <w:rStyle w:val="FootnoteReference"/>
          <w:rFonts w:ascii="Times New Roman" w:hAnsi="Times New Roman" w:cs="Times New Roman"/>
          <w:sz w:val="24"/>
          <w:szCs w:val="24"/>
        </w:rPr>
        <w:footnoteReference w:id="28"/>
      </w:r>
    </w:p>
    <w:p w14:paraId="3B4884F7" w14:textId="77777777" w:rsidR="00021254" w:rsidRPr="006C2B8A" w:rsidRDefault="007E66DB"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What essentially follows this initial meeting is a further swapping of envoys, informing the other of their actions and with both avoiding provoking the other. This can be seen by Flaminius sending the peace terms announced at </w:t>
      </w:r>
      <w:r w:rsidR="00820CF1" w:rsidRPr="006C2B8A">
        <w:rPr>
          <w:rFonts w:ascii="Times New Roman" w:hAnsi="Times New Roman" w:cs="Times New Roman"/>
          <w:sz w:val="24"/>
          <w:szCs w:val="24"/>
        </w:rPr>
        <w:t>Isthmia</w:t>
      </w:r>
      <w:r w:rsidRPr="006C2B8A">
        <w:rPr>
          <w:rFonts w:ascii="Times New Roman" w:hAnsi="Times New Roman" w:cs="Times New Roman"/>
          <w:sz w:val="24"/>
          <w:szCs w:val="24"/>
        </w:rPr>
        <w:t xml:space="preserve"> in 196BC and Antiochus avoiding putting pressure on cities the Romans had freed from Macedonian garrisons that had been taken from the Ptolemies in the Fifth Syrian War.</w:t>
      </w:r>
      <w:r w:rsidRPr="006C2B8A">
        <w:rPr>
          <w:rStyle w:val="FootnoteReference"/>
          <w:rFonts w:ascii="Times New Roman" w:hAnsi="Times New Roman" w:cs="Times New Roman"/>
          <w:sz w:val="24"/>
          <w:szCs w:val="24"/>
        </w:rPr>
        <w:footnoteReference w:id="29"/>
      </w:r>
      <w:r w:rsidRPr="006C2B8A">
        <w:rPr>
          <w:rFonts w:ascii="Times New Roman" w:hAnsi="Times New Roman" w:cs="Times New Roman"/>
          <w:sz w:val="24"/>
          <w:szCs w:val="24"/>
        </w:rPr>
        <w:t xml:space="preserve"> Though Antiochus seemed to be the one offering more concessions initially by not staking his claim to the coastal cities in Asia Minor now liberated from Macedonian control, he did provoke the Romans by invading Thrace which then gave the Macedonians a land border with a possible ally, given the families had intermarried previously and were both previously at war with Ptolemaic Egypt.</w:t>
      </w:r>
      <w:r w:rsidRPr="006C2B8A">
        <w:rPr>
          <w:rStyle w:val="FootnoteReference"/>
          <w:rFonts w:ascii="Times New Roman" w:hAnsi="Times New Roman" w:cs="Times New Roman"/>
          <w:sz w:val="24"/>
          <w:szCs w:val="24"/>
        </w:rPr>
        <w:footnoteReference w:id="30"/>
      </w:r>
      <w:r w:rsidR="00820CF1" w:rsidRPr="006C2B8A">
        <w:rPr>
          <w:rFonts w:ascii="Times New Roman" w:hAnsi="Times New Roman" w:cs="Times New Roman"/>
          <w:sz w:val="24"/>
          <w:szCs w:val="24"/>
        </w:rPr>
        <w:t xml:space="preserve"> A conference was held at Lysimacheia which established good relations between the two with Antiochus supposedly offering an alliance</w:t>
      </w:r>
      <w:r w:rsidR="00886824" w:rsidRPr="006C2B8A">
        <w:rPr>
          <w:rFonts w:ascii="Times New Roman" w:hAnsi="Times New Roman" w:cs="Times New Roman"/>
          <w:sz w:val="24"/>
          <w:szCs w:val="24"/>
        </w:rPr>
        <w:t xml:space="preserve"> with Rome</w:t>
      </w:r>
      <w:r w:rsidR="00820CF1" w:rsidRPr="006C2B8A">
        <w:rPr>
          <w:rFonts w:ascii="Times New Roman" w:hAnsi="Times New Roman" w:cs="Times New Roman"/>
          <w:sz w:val="24"/>
          <w:szCs w:val="24"/>
        </w:rPr>
        <w:t>.</w:t>
      </w:r>
      <w:r w:rsidR="00820CF1" w:rsidRPr="006C2B8A">
        <w:rPr>
          <w:rStyle w:val="FootnoteReference"/>
          <w:rFonts w:ascii="Times New Roman" w:hAnsi="Times New Roman" w:cs="Times New Roman"/>
          <w:sz w:val="24"/>
          <w:szCs w:val="24"/>
        </w:rPr>
        <w:footnoteReference w:id="31"/>
      </w:r>
      <w:r w:rsidR="00820CF1" w:rsidRPr="006C2B8A">
        <w:rPr>
          <w:rFonts w:ascii="Times New Roman" w:hAnsi="Times New Roman" w:cs="Times New Roman"/>
          <w:sz w:val="24"/>
          <w:szCs w:val="24"/>
        </w:rPr>
        <w:t xml:space="preserve"> This is quite likely due to the concept of a Roman alliance, as the romans did not engage in an ‘alliance of equals’ as an ‘ally’ of Rome was usually the weaker party in the agreement, becoming subordinate to Rome.</w:t>
      </w:r>
      <w:r w:rsidR="00CC6FD8" w:rsidRPr="006C2B8A">
        <w:rPr>
          <w:rStyle w:val="FootnoteReference"/>
          <w:rFonts w:ascii="Times New Roman" w:hAnsi="Times New Roman" w:cs="Times New Roman"/>
          <w:sz w:val="24"/>
          <w:szCs w:val="24"/>
        </w:rPr>
        <w:footnoteReference w:id="32"/>
      </w:r>
      <w:r w:rsidR="00820CF1" w:rsidRPr="006C2B8A">
        <w:rPr>
          <w:rFonts w:ascii="Times New Roman" w:hAnsi="Times New Roman" w:cs="Times New Roman"/>
          <w:sz w:val="24"/>
          <w:szCs w:val="24"/>
        </w:rPr>
        <w:t xml:space="preserve"> Antiochus III also usually adopted a similar system in which the ‘ally’</w:t>
      </w:r>
      <w:r w:rsidR="00CC6FD8" w:rsidRPr="006C2B8A">
        <w:rPr>
          <w:rFonts w:ascii="Times New Roman" w:hAnsi="Times New Roman" w:cs="Times New Roman"/>
          <w:sz w:val="24"/>
          <w:szCs w:val="24"/>
        </w:rPr>
        <w:t xml:space="preserve"> would be weaker than himself, though in this case it makes sense on his part as he has been continually campaigning in Asia and now Thrace, and needed time to consolidate his empire.</w:t>
      </w:r>
      <w:r w:rsidR="00CC6FD8" w:rsidRPr="006C2B8A">
        <w:rPr>
          <w:rStyle w:val="FootnoteReference"/>
          <w:rFonts w:ascii="Times New Roman" w:hAnsi="Times New Roman" w:cs="Times New Roman"/>
          <w:sz w:val="24"/>
          <w:szCs w:val="24"/>
        </w:rPr>
        <w:footnoteReference w:id="33"/>
      </w:r>
      <w:r w:rsidR="00CC6FD8" w:rsidRPr="006C2B8A">
        <w:rPr>
          <w:rFonts w:ascii="Times New Roman" w:hAnsi="Times New Roman" w:cs="Times New Roman"/>
          <w:sz w:val="24"/>
          <w:szCs w:val="24"/>
        </w:rPr>
        <w:t xml:space="preserve"> Ultimately Antiochus was attempting to adapt an alliance system to which he had become accustom, the oath treaties as mentioned above, essentially this would have partitioned the world from Spain to India with Greece remaining in the Roman Sphere of Influence though it would be without garrison. The Romans were not unfamiliar with this form of treaty as they had </w:t>
      </w:r>
      <w:r w:rsidR="00886824" w:rsidRPr="006C2B8A">
        <w:rPr>
          <w:rFonts w:ascii="Times New Roman" w:hAnsi="Times New Roman" w:cs="Times New Roman"/>
          <w:sz w:val="24"/>
          <w:szCs w:val="24"/>
        </w:rPr>
        <w:t>used both lifespan treaties as they had been used when dealing with Syracuse, in addition the Romans also employed continued treaties which would be renewed by a successor of the monarch who made the original treaty.</w:t>
      </w:r>
      <w:r w:rsidR="00886824" w:rsidRPr="006C2B8A">
        <w:rPr>
          <w:rStyle w:val="FootnoteReference"/>
          <w:rFonts w:ascii="Times New Roman" w:hAnsi="Times New Roman" w:cs="Times New Roman"/>
          <w:sz w:val="24"/>
          <w:szCs w:val="24"/>
        </w:rPr>
        <w:footnoteReference w:id="34"/>
      </w:r>
      <w:r w:rsidR="00886824" w:rsidRPr="006C2B8A">
        <w:rPr>
          <w:rFonts w:ascii="Times New Roman" w:hAnsi="Times New Roman" w:cs="Times New Roman"/>
          <w:sz w:val="24"/>
          <w:szCs w:val="24"/>
        </w:rPr>
        <w:t xml:space="preserve"> The talks to form an alliance </w:t>
      </w:r>
      <w:r w:rsidR="00886824" w:rsidRPr="006C2B8A">
        <w:rPr>
          <w:rFonts w:ascii="Times New Roman" w:hAnsi="Times New Roman" w:cs="Times New Roman"/>
          <w:sz w:val="24"/>
          <w:szCs w:val="24"/>
        </w:rPr>
        <w:lastRenderedPageBreak/>
        <w:t>broke down when the Romans demanded that the Seleucids would have to give up their territories reclaimed in Thrace and Macedon which was ultimately against what Antiochus</w:t>
      </w:r>
      <w:r w:rsidR="002A1DD2" w:rsidRPr="006C2B8A">
        <w:rPr>
          <w:rFonts w:ascii="Times New Roman" w:hAnsi="Times New Roman" w:cs="Times New Roman"/>
          <w:sz w:val="24"/>
          <w:szCs w:val="24"/>
        </w:rPr>
        <w:t xml:space="preserve">’s own dynastic aims. This is the point when diplomacy between the two takes a turn for the worse and as a result the two powers becoming gradually more and more hostile towards one another, with Antiochus marching into Greece to help the </w:t>
      </w:r>
      <w:proofErr w:type="spellStart"/>
      <w:r w:rsidR="002A1DD2" w:rsidRPr="006C2B8A">
        <w:rPr>
          <w:rFonts w:ascii="Times New Roman" w:hAnsi="Times New Roman" w:cs="Times New Roman"/>
          <w:sz w:val="24"/>
          <w:szCs w:val="24"/>
        </w:rPr>
        <w:t>Aitolian’s</w:t>
      </w:r>
      <w:proofErr w:type="spellEnd"/>
      <w:r w:rsidR="002A1DD2" w:rsidRPr="006C2B8A">
        <w:rPr>
          <w:rFonts w:ascii="Times New Roman" w:hAnsi="Times New Roman" w:cs="Times New Roman"/>
          <w:sz w:val="24"/>
          <w:szCs w:val="24"/>
        </w:rPr>
        <w:t>, who were provoking Rome, and becoming the guarantor of Greek autonomy; resulting in the Roman Syrian War.</w:t>
      </w:r>
      <w:r w:rsidR="002A1DD2" w:rsidRPr="006C2B8A">
        <w:rPr>
          <w:rStyle w:val="FootnoteReference"/>
          <w:rFonts w:ascii="Times New Roman" w:hAnsi="Times New Roman" w:cs="Times New Roman"/>
          <w:sz w:val="24"/>
          <w:szCs w:val="24"/>
        </w:rPr>
        <w:footnoteReference w:id="35"/>
      </w:r>
    </w:p>
    <w:p w14:paraId="6821D816" w14:textId="77777777" w:rsidR="002A1DD2" w:rsidRPr="006C2B8A" w:rsidRDefault="002A1DD2"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Ultimately what this shows us is that the Romans practiced a very different style of diplomacy to the Hellenistic kings. Due to the Romans being a Republic rather than a monarchy the oath treaties made in Hellenistic courts would not be able to function as their heads of state, the consuls, changed on a yearly basis and as such an oath treaty would need to be renewed regularly. On top of this as mentioned previously the Romans did not make deals as equals, which would prove problematic when dealing with a power that for the most part rivalled Rome in power in the Mediterranean. Antiochus’ army at magnesia could possibly have been a last attempt to dissuade </w:t>
      </w:r>
      <w:r w:rsidR="00C66A91" w:rsidRPr="006C2B8A">
        <w:rPr>
          <w:rFonts w:ascii="Times New Roman" w:hAnsi="Times New Roman" w:cs="Times New Roman"/>
          <w:sz w:val="24"/>
          <w:szCs w:val="24"/>
        </w:rPr>
        <w:t xml:space="preserve">a further conflict as he brought soldiers from all over his empire in an attempt to intimidate the Roman army into suing for peace, as Antiochus had been pushed out of Greece and Thrace by the time of Magnesia meaning that the border of the two empires was at the point the Romans had originally suggested during the alliance talks. This however does not take into account the fact that Antiochus had recently been defeated on mainland Greece at a battle taking place in Thermopylae only a few years prior. As a result it is quite possible that Antiochus’ army at Magnesia was comprised of what was left of his core army from his several years campaigning reinforced by whatever troops he could levy from the surrounding area </w:t>
      </w:r>
      <w:r w:rsidR="00C549A9" w:rsidRPr="006C2B8A">
        <w:rPr>
          <w:rFonts w:ascii="Times New Roman" w:hAnsi="Times New Roman" w:cs="Times New Roman"/>
          <w:sz w:val="24"/>
          <w:szCs w:val="24"/>
        </w:rPr>
        <w:t>when he began to march from Sardis</w:t>
      </w:r>
      <w:r w:rsidR="00C66A91" w:rsidRPr="006C2B8A">
        <w:rPr>
          <w:rFonts w:ascii="Times New Roman" w:hAnsi="Times New Roman" w:cs="Times New Roman"/>
          <w:sz w:val="24"/>
          <w:szCs w:val="24"/>
        </w:rPr>
        <w:t xml:space="preserve"> at short notice, having seen the size of the Roman army that was to be supported by Eumenes II of Pergamum.</w:t>
      </w:r>
    </w:p>
    <w:p w14:paraId="756BB475" w14:textId="77777777" w:rsidR="00C66A91" w:rsidRPr="006C2B8A" w:rsidRDefault="00C66A91"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Another factor to consider would be the type of soldiers fighting in the Seleucid army at the batt</w:t>
      </w:r>
      <w:r w:rsidR="00C549A9" w:rsidRPr="006C2B8A">
        <w:rPr>
          <w:rFonts w:ascii="Times New Roman" w:hAnsi="Times New Roman" w:cs="Times New Roman"/>
          <w:sz w:val="24"/>
          <w:szCs w:val="24"/>
        </w:rPr>
        <w:t>le and how they fit in with the idea of a Hellenistic army. As has been states our best sources for this are Livy and Appian both Roman sources who are writing after the fact, this in of itself raises questions of the reliability of their account being that they are going to be in favour of the Romans, and thus would make the list of ethnic groups under the Seleucid army larger than what is probably the true number of nationalities present.</w:t>
      </w:r>
      <w:r w:rsidR="00C549A9" w:rsidRPr="006C2B8A">
        <w:rPr>
          <w:rStyle w:val="FootnoteReference"/>
          <w:rFonts w:ascii="Times New Roman" w:hAnsi="Times New Roman" w:cs="Times New Roman"/>
          <w:sz w:val="24"/>
          <w:szCs w:val="24"/>
        </w:rPr>
        <w:footnoteReference w:id="36"/>
      </w:r>
      <w:r w:rsidR="00C549A9" w:rsidRPr="006C2B8A">
        <w:rPr>
          <w:rFonts w:ascii="Times New Roman" w:hAnsi="Times New Roman" w:cs="Times New Roman"/>
          <w:sz w:val="24"/>
          <w:szCs w:val="24"/>
        </w:rPr>
        <w:t xml:space="preserve"> This can be alleviated however to a degree as both sources rely on Polybius’s account, as he is more contemporary to the events </w:t>
      </w:r>
      <w:r w:rsidR="00C549A9" w:rsidRPr="006C2B8A">
        <w:rPr>
          <w:rFonts w:ascii="Times New Roman" w:hAnsi="Times New Roman" w:cs="Times New Roman"/>
          <w:sz w:val="24"/>
          <w:szCs w:val="24"/>
        </w:rPr>
        <w:lastRenderedPageBreak/>
        <w:t>and it can be argued that he is more reliable as was an Achaean General.</w:t>
      </w:r>
      <w:r w:rsidR="00C549A9" w:rsidRPr="006C2B8A">
        <w:rPr>
          <w:rStyle w:val="FootnoteReference"/>
          <w:rFonts w:ascii="Times New Roman" w:hAnsi="Times New Roman" w:cs="Times New Roman"/>
          <w:sz w:val="24"/>
          <w:szCs w:val="24"/>
        </w:rPr>
        <w:footnoteReference w:id="37"/>
      </w:r>
      <w:r w:rsidR="00C549A9" w:rsidRPr="006C2B8A">
        <w:rPr>
          <w:rFonts w:ascii="Times New Roman" w:hAnsi="Times New Roman" w:cs="Times New Roman"/>
          <w:sz w:val="24"/>
          <w:szCs w:val="24"/>
        </w:rPr>
        <w:t xml:space="preserve"> Though he was taken to Rome as a political hostage which would make his account seemingly more biased as he would be writing to impress his new friends in Rome; his work however appears to follow a different line as he talks about strengths and weakness’ of both the Romans and her enemies.</w:t>
      </w:r>
      <w:r w:rsidR="00C549A9" w:rsidRPr="006C2B8A">
        <w:rPr>
          <w:rStyle w:val="FootnoteReference"/>
          <w:rFonts w:ascii="Times New Roman" w:hAnsi="Times New Roman" w:cs="Times New Roman"/>
          <w:sz w:val="24"/>
          <w:szCs w:val="24"/>
        </w:rPr>
        <w:footnoteReference w:id="38"/>
      </w:r>
      <w:r w:rsidR="00C549A9" w:rsidRPr="006C2B8A">
        <w:rPr>
          <w:rFonts w:ascii="Times New Roman" w:hAnsi="Times New Roman" w:cs="Times New Roman"/>
          <w:sz w:val="24"/>
          <w:szCs w:val="24"/>
        </w:rPr>
        <w:t xml:space="preserve"> As a result </w:t>
      </w:r>
      <w:r w:rsidR="00301E77" w:rsidRPr="006C2B8A">
        <w:rPr>
          <w:rFonts w:ascii="Times New Roman" w:hAnsi="Times New Roman" w:cs="Times New Roman"/>
          <w:sz w:val="24"/>
          <w:szCs w:val="24"/>
        </w:rPr>
        <w:t xml:space="preserve">we can argue that within reasonable doubt given the similarity between Appian and Livy’s accounts of the battle that the given ethnic groups are correct, though the two do use different terminology when describing how the army is armed. Looking at Livy’s account, we are told that there is; a phalanx armed as Macedonians, Arabians, Cappadocians, Carians, Cilicians, Cretans, Cyrtians, Dahae, Elymians, Galatians, </w:t>
      </w:r>
      <w:proofErr w:type="spellStart"/>
      <w:r w:rsidR="00301E77" w:rsidRPr="006C2B8A">
        <w:rPr>
          <w:rFonts w:ascii="Times New Roman" w:hAnsi="Times New Roman" w:cs="Times New Roman"/>
          <w:sz w:val="24"/>
          <w:szCs w:val="24"/>
        </w:rPr>
        <w:t>Lysians</w:t>
      </w:r>
      <w:proofErr w:type="spellEnd"/>
      <w:r w:rsidR="00301E77" w:rsidRPr="006C2B8A">
        <w:rPr>
          <w:rFonts w:ascii="Times New Roman" w:hAnsi="Times New Roman" w:cs="Times New Roman"/>
          <w:sz w:val="24"/>
          <w:szCs w:val="24"/>
        </w:rPr>
        <w:t>, Medians, Phrygians, Pisidians, Tarentines and Thracians.</w:t>
      </w:r>
      <w:r w:rsidR="00301E77" w:rsidRPr="006C2B8A">
        <w:rPr>
          <w:rStyle w:val="FootnoteReference"/>
          <w:rFonts w:ascii="Times New Roman" w:hAnsi="Times New Roman" w:cs="Times New Roman"/>
          <w:sz w:val="24"/>
          <w:szCs w:val="24"/>
        </w:rPr>
        <w:footnoteReference w:id="39"/>
      </w:r>
      <w:r w:rsidR="009823A9" w:rsidRPr="006C2B8A">
        <w:rPr>
          <w:rFonts w:ascii="Times New Roman" w:hAnsi="Times New Roman" w:cs="Times New Roman"/>
          <w:sz w:val="24"/>
          <w:szCs w:val="24"/>
        </w:rPr>
        <w:t xml:space="preserve"> Livy also tells us that there are also Cataphracts, mixed auxiliaries and Argyraspides at the battle as </w:t>
      </w:r>
      <w:proofErr w:type="spellStart"/>
      <w:r w:rsidR="009823A9" w:rsidRPr="006C2B8A">
        <w:rPr>
          <w:rFonts w:ascii="Times New Roman" w:hAnsi="Times New Roman" w:cs="Times New Roman"/>
          <w:sz w:val="24"/>
          <w:szCs w:val="24"/>
        </w:rPr>
        <w:t>welll</w:t>
      </w:r>
      <w:proofErr w:type="spellEnd"/>
      <w:r w:rsidR="009823A9" w:rsidRPr="006C2B8A">
        <w:rPr>
          <w:rFonts w:ascii="Times New Roman" w:hAnsi="Times New Roman" w:cs="Times New Roman"/>
          <w:sz w:val="24"/>
          <w:szCs w:val="24"/>
        </w:rPr>
        <w:t>.</w:t>
      </w:r>
      <w:r w:rsidR="009823A9" w:rsidRPr="006C2B8A">
        <w:rPr>
          <w:rStyle w:val="FootnoteReference"/>
          <w:rFonts w:ascii="Times New Roman" w:hAnsi="Times New Roman" w:cs="Times New Roman"/>
          <w:sz w:val="24"/>
          <w:szCs w:val="24"/>
        </w:rPr>
        <w:footnoteReference w:id="40"/>
      </w:r>
      <w:r w:rsidR="009823A9" w:rsidRPr="006C2B8A">
        <w:rPr>
          <w:rFonts w:ascii="Times New Roman" w:hAnsi="Times New Roman" w:cs="Times New Roman"/>
          <w:sz w:val="24"/>
          <w:szCs w:val="24"/>
        </w:rPr>
        <w:t xml:space="preserve"> Appian tells us essentially the same list though he states that the phalanx is Macedonian, though this could just be a miss translation on his part.</w:t>
      </w:r>
      <w:r w:rsidR="009823A9" w:rsidRPr="006C2B8A">
        <w:rPr>
          <w:rStyle w:val="FootnoteReference"/>
          <w:rFonts w:ascii="Times New Roman" w:hAnsi="Times New Roman" w:cs="Times New Roman"/>
          <w:sz w:val="24"/>
          <w:szCs w:val="24"/>
        </w:rPr>
        <w:footnoteReference w:id="41"/>
      </w:r>
      <w:r w:rsidR="009823A9" w:rsidRPr="006C2B8A">
        <w:rPr>
          <w:rFonts w:ascii="Times New Roman" w:hAnsi="Times New Roman" w:cs="Times New Roman"/>
          <w:sz w:val="24"/>
          <w:szCs w:val="24"/>
        </w:rPr>
        <w:t xml:space="preserve"> </w:t>
      </w:r>
    </w:p>
    <w:p w14:paraId="3FF6DEFF" w14:textId="77777777" w:rsidR="009823A9" w:rsidRPr="006C2B8A" w:rsidRDefault="009823A9"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Both of these sources state that the Seleucid army is 70,000 soldiers strong but only give us 16,000 soldiers fighting as phalangites.</w:t>
      </w:r>
      <w:r w:rsidRPr="006C2B8A">
        <w:rPr>
          <w:rStyle w:val="FootnoteReference"/>
          <w:rFonts w:ascii="Times New Roman" w:hAnsi="Times New Roman" w:cs="Times New Roman"/>
          <w:sz w:val="24"/>
          <w:szCs w:val="24"/>
        </w:rPr>
        <w:footnoteReference w:id="42"/>
      </w:r>
      <w:r w:rsidRPr="006C2B8A">
        <w:rPr>
          <w:rFonts w:ascii="Times New Roman" w:hAnsi="Times New Roman" w:cs="Times New Roman"/>
          <w:sz w:val="24"/>
          <w:szCs w:val="24"/>
        </w:rPr>
        <w:t xml:space="preserve"> This means that a large proportion of the army is not what could be considered the standard Hellenistic troop, and a similar can be said about the cavalry, we are told the</w:t>
      </w:r>
      <w:r w:rsidR="00BC252F" w:rsidRPr="006C2B8A">
        <w:rPr>
          <w:rFonts w:ascii="Times New Roman" w:hAnsi="Times New Roman" w:cs="Times New Roman"/>
          <w:sz w:val="24"/>
          <w:szCs w:val="24"/>
        </w:rPr>
        <w:t>re are 3000 Cataphracts, 5500 Galatians, 1200 Dahae are noted as horse archers, and the Arabians are noted as fighting on horseback though no number is given to how many there were; other than that the rest are left ambiguous.</w:t>
      </w:r>
      <w:r w:rsidR="00BC252F" w:rsidRPr="006C2B8A">
        <w:rPr>
          <w:rStyle w:val="FootnoteReference"/>
          <w:rFonts w:ascii="Times New Roman" w:hAnsi="Times New Roman" w:cs="Times New Roman"/>
          <w:sz w:val="24"/>
          <w:szCs w:val="24"/>
        </w:rPr>
        <w:footnoteReference w:id="43"/>
      </w:r>
      <w:r w:rsidR="00BC252F" w:rsidRPr="006C2B8A">
        <w:rPr>
          <w:rFonts w:ascii="Times New Roman" w:hAnsi="Times New Roman" w:cs="Times New Roman"/>
          <w:sz w:val="24"/>
          <w:szCs w:val="24"/>
        </w:rPr>
        <w:t xml:space="preserve"> This can be supplemented by adding included ethnic groups who are known to fight on horseback such as the </w:t>
      </w:r>
      <w:r w:rsidRPr="006C2B8A">
        <w:rPr>
          <w:rFonts w:ascii="Times New Roman" w:hAnsi="Times New Roman" w:cs="Times New Roman"/>
          <w:sz w:val="24"/>
          <w:szCs w:val="24"/>
        </w:rPr>
        <w:t>2,000 Cappodotians who are usually referred to as being mounted</w:t>
      </w:r>
      <w:r w:rsidR="00BC252F" w:rsidRPr="006C2B8A">
        <w:rPr>
          <w:rFonts w:ascii="Times New Roman" w:hAnsi="Times New Roman" w:cs="Times New Roman"/>
          <w:sz w:val="24"/>
          <w:szCs w:val="24"/>
        </w:rPr>
        <w:t>; overall however this still only just reaches 7,200 mark.</w:t>
      </w:r>
      <w:r w:rsidR="00BC252F" w:rsidRPr="006C2B8A">
        <w:rPr>
          <w:rStyle w:val="FootnoteReference"/>
          <w:rFonts w:ascii="Times New Roman" w:hAnsi="Times New Roman" w:cs="Times New Roman"/>
          <w:sz w:val="24"/>
          <w:szCs w:val="24"/>
        </w:rPr>
        <w:footnoteReference w:id="44"/>
      </w:r>
      <w:r w:rsidR="00BC252F" w:rsidRPr="006C2B8A">
        <w:rPr>
          <w:rFonts w:ascii="Times New Roman" w:hAnsi="Times New Roman" w:cs="Times New Roman"/>
          <w:sz w:val="24"/>
          <w:szCs w:val="24"/>
        </w:rPr>
        <w:t xml:space="preserve"> This means out of 70,000 soldiers only 23,000 at most were of a troop type expected in a Hellenistic army, the rest are not given a value as we are just told they are there. This is not as bad when comparing it to the modern estimate rather than the classical one which sits at 50,000.</w:t>
      </w:r>
      <w:r w:rsidR="00BC252F" w:rsidRPr="006C2B8A">
        <w:rPr>
          <w:rStyle w:val="FootnoteReference"/>
          <w:rFonts w:ascii="Times New Roman" w:hAnsi="Times New Roman" w:cs="Times New Roman"/>
          <w:sz w:val="24"/>
          <w:szCs w:val="24"/>
        </w:rPr>
        <w:footnoteReference w:id="45"/>
      </w:r>
      <w:r w:rsidR="00BC252F" w:rsidRPr="006C2B8A">
        <w:rPr>
          <w:rFonts w:ascii="Times New Roman" w:hAnsi="Times New Roman" w:cs="Times New Roman"/>
          <w:sz w:val="24"/>
          <w:szCs w:val="24"/>
        </w:rPr>
        <w:t xml:space="preserve"> Despite being smaller this still means over half the army is neither </w:t>
      </w:r>
      <w:r w:rsidR="0086009A" w:rsidRPr="006C2B8A">
        <w:rPr>
          <w:rFonts w:ascii="Times New Roman" w:hAnsi="Times New Roman" w:cs="Times New Roman"/>
          <w:sz w:val="24"/>
          <w:szCs w:val="24"/>
        </w:rPr>
        <w:t xml:space="preserve">heavy infantry like the typical phalanx nor the usual cavalry armed with lances; even more so with the cavalry as it is unlikely the Galatians adopted lances more commonly found with the </w:t>
      </w:r>
      <w:r w:rsidR="0086009A" w:rsidRPr="006C2B8A">
        <w:rPr>
          <w:rFonts w:ascii="Times New Roman" w:hAnsi="Times New Roman" w:cs="Times New Roman"/>
          <w:sz w:val="24"/>
          <w:szCs w:val="24"/>
        </w:rPr>
        <w:lastRenderedPageBreak/>
        <w:t>Xystophoroi of Hellenistic armies. This is shown to be unusual for the period by Polybius’ account of the Battle of Raphia in 217BC only 27 years prior as the vast majority of both the Seleucid and Ptolemaic Armies are described as being phalangites and lancer cavalry with supporting archers and skirmishing troops; Polybius even goes so far as to mention that many of the different ethnic groups he mentions at the battle are fighting as phalangites or lancer cavalry.</w:t>
      </w:r>
      <w:r w:rsidR="0086009A" w:rsidRPr="006C2B8A">
        <w:rPr>
          <w:rStyle w:val="FootnoteReference"/>
          <w:rFonts w:ascii="Times New Roman" w:hAnsi="Times New Roman" w:cs="Times New Roman"/>
          <w:sz w:val="24"/>
          <w:szCs w:val="24"/>
        </w:rPr>
        <w:footnoteReference w:id="46"/>
      </w:r>
    </w:p>
    <w:p w14:paraId="7CD5A517" w14:textId="77777777" w:rsidR="0086009A" w:rsidRPr="006C2B8A" w:rsidRDefault="0086009A"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This tells us that the army presented by Antiochus III at the Battle of Magnesia is definitely out of the ordinary when it comes to Hellenistic warfare</w:t>
      </w:r>
      <w:r w:rsidR="00183DE7" w:rsidRPr="006C2B8A">
        <w:rPr>
          <w:rFonts w:ascii="Times New Roman" w:hAnsi="Times New Roman" w:cs="Times New Roman"/>
          <w:sz w:val="24"/>
          <w:szCs w:val="24"/>
        </w:rPr>
        <w:t>, as its composition is almost a stark contrast to an army he fielded less than three decades prior. This is largely down to the fact that the army had to be raised in short notice and there would not have been time to train the soldiers to fight as a phalanx in the time Antiochus had during his march from Sardis to Magnesia.</w:t>
      </w:r>
      <w:r w:rsidR="00183DE7" w:rsidRPr="006C2B8A">
        <w:rPr>
          <w:rStyle w:val="FootnoteReference"/>
          <w:rFonts w:ascii="Times New Roman" w:hAnsi="Times New Roman" w:cs="Times New Roman"/>
          <w:sz w:val="24"/>
          <w:szCs w:val="24"/>
        </w:rPr>
        <w:footnoteReference w:id="47"/>
      </w:r>
      <w:r w:rsidR="00183DE7" w:rsidRPr="006C2B8A">
        <w:rPr>
          <w:rFonts w:ascii="Times New Roman" w:hAnsi="Times New Roman" w:cs="Times New Roman"/>
          <w:sz w:val="24"/>
          <w:szCs w:val="24"/>
        </w:rPr>
        <w:t xml:space="preserve"> Given that Antiochus was on the back foot it would be reasonable to suggest that this was an attempt to show off his power to the Romans in an attempt to bring them to the negotiation table. This argument however does not take into account that many of the ethnic groups under his commander were from regions outside of his control, for example the Dahae, Arabians, Cretans, Galatians, Elymians and Tarentines are for the most part peoples used as mercenaries in the Hellenistic world</w:t>
      </w:r>
      <w:r w:rsidR="00386BF0" w:rsidRPr="006C2B8A">
        <w:rPr>
          <w:rFonts w:ascii="Times New Roman" w:hAnsi="Times New Roman" w:cs="Times New Roman"/>
          <w:sz w:val="24"/>
          <w:szCs w:val="24"/>
        </w:rPr>
        <w:t xml:space="preserve"> some coming from Sicily, the Pontic steppe and further east of the Ptolemaic Empire.</w:t>
      </w:r>
      <w:r w:rsidR="00386BF0" w:rsidRPr="006C2B8A">
        <w:rPr>
          <w:rStyle w:val="FootnoteReference"/>
          <w:rFonts w:ascii="Times New Roman" w:hAnsi="Times New Roman" w:cs="Times New Roman"/>
          <w:sz w:val="24"/>
          <w:szCs w:val="24"/>
        </w:rPr>
        <w:footnoteReference w:id="48"/>
      </w:r>
      <w:r w:rsidR="00386BF0" w:rsidRPr="006C2B8A">
        <w:rPr>
          <w:rFonts w:ascii="Times New Roman" w:hAnsi="Times New Roman" w:cs="Times New Roman"/>
          <w:sz w:val="24"/>
          <w:szCs w:val="24"/>
        </w:rPr>
        <w:t xml:space="preserve"> The Thracians would also be included here, though it is entirely possible that they were recruited when Antiochus controlled parts of Thrace. What this means is that this army is for the most part made up of whatever soldiers Antiochus III could find to supplement an army which had been on continuous campaign for most of his reign which, making it less of a diplomatic statement and more of a desperate recruitment strategy.</w:t>
      </w:r>
    </w:p>
    <w:p w14:paraId="2B2B55FF" w14:textId="77777777" w:rsidR="003122E6" w:rsidRPr="006C2B8A" w:rsidRDefault="00386BF0"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Ultimately it is unlikely that the Army Antiochus III took to Magnesia is a diplomatic statement and that it is more of a situational anomaly caused by the need to raise more troops to meet the Roman and Pergamene army that was marching into Syria.</w:t>
      </w:r>
      <w:r w:rsidR="003122E6" w:rsidRPr="006C2B8A">
        <w:rPr>
          <w:rStyle w:val="FootnoteReference"/>
          <w:rFonts w:ascii="Times New Roman" w:hAnsi="Times New Roman" w:cs="Times New Roman"/>
          <w:sz w:val="24"/>
          <w:szCs w:val="24"/>
        </w:rPr>
        <w:footnoteReference w:id="49"/>
      </w:r>
      <w:r w:rsidRPr="006C2B8A">
        <w:rPr>
          <w:rFonts w:ascii="Times New Roman" w:hAnsi="Times New Roman" w:cs="Times New Roman"/>
          <w:sz w:val="24"/>
          <w:szCs w:val="24"/>
        </w:rPr>
        <w:t xml:space="preserve"> Despite the issue with a good chunk of the army being mercenaries it could still be argued that the army could be a diplomatic statement of power. The first point one could make is that the vast majority of the ethnicities left, after the mercenary groups are removed, are themselves native to Asia Minor, where the </w:t>
      </w:r>
      <w:r w:rsidRPr="006C2B8A">
        <w:rPr>
          <w:rFonts w:ascii="Times New Roman" w:hAnsi="Times New Roman" w:cs="Times New Roman"/>
          <w:sz w:val="24"/>
          <w:szCs w:val="24"/>
        </w:rPr>
        <w:lastRenderedPageBreak/>
        <w:t>Seleucids had just reasserted control</w:t>
      </w:r>
      <w:r w:rsidR="003122E6" w:rsidRPr="006C2B8A">
        <w:rPr>
          <w:rFonts w:ascii="Times New Roman" w:hAnsi="Times New Roman" w:cs="Times New Roman"/>
          <w:sz w:val="24"/>
          <w:szCs w:val="24"/>
        </w:rPr>
        <w:t>.</w:t>
      </w:r>
      <w:r w:rsidR="003122E6" w:rsidRPr="006C2B8A">
        <w:rPr>
          <w:rStyle w:val="FootnoteReference"/>
          <w:rFonts w:ascii="Times New Roman" w:hAnsi="Times New Roman" w:cs="Times New Roman"/>
          <w:sz w:val="24"/>
          <w:szCs w:val="24"/>
        </w:rPr>
        <w:footnoteReference w:id="50"/>
      </w:r>
      <w:r w:rsidR="003122E6" w:rsidRPr="006C2B8A">
        <w:rPr>
          <w:rFonts w:ascii="Times New Roman" w:hAnsi="Times New Roman" w:cs="Times New Roman"/>
          <w:sz w:val="24"/>
          <w:szCs w:val="24"/>
        </w:rPr>
        <w:t xml:space="preserve"> This itself is a good point as indeed many of them are native to the area, however there are very few from outside of this area, and as a result it can be concluded that for the most part many of these were recruited to supplement the army as it was marching as it needed to gain numbers to match the Roman army. </w:t>
      </w:r>
    </w:p>
    <w:p w14:paraId="388EEE2E" w14:textId="77777777" w:rsidR="00386BF0" w:rsidRPr="006C2B8A" w:rsidRDefault="003122E6"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Secondly the Issue of Ethnography could be raised around the nationality of these mercenaries as many sources do not distinguish between soldiers fighting in a specific style and soldiers actually from the regions themselves; for example the accounts of Magnesia, as mentioned previously say a Macedonian Phalanx and a phalanx fighting in a Macedonian style.</w:t>
      </w:r>
      <w:r w:rsidRPr="006C2B8A">
        <w:rPr>
          <w:rStyle w:val="FootnoteReference"/>
          <w:rFonts w:ascii="Times New Roman" w:hAnsi="Times New Roman" w:cs="Times New Roman"/>
          <w:sz w:val="24"/>
          <w:szCs w:val="24"/>
        </w:rPr>
        <w:footnoteReference w:id="51"/>
      </w:r>
      <w:r w:rsidRPr="006C2B8A">
        <w:rPr>
          <w:rFonts w:ascii="Times New Roman" w:hAnsi="Times New Roman" w:cs="Times New Roman"/>
          <w:sz w:val="24"/>
          <w:szCs w:val="24"/>
        </w:rPr>
        <w:t xml:space="preserve"> This could mean that the sources could have mislabelled the soldiers as fighting in a certain style, though this argument would only really apply to the Cretan</w:t>
      </w:r>
      <w:r w:rsidR="001F0FDB" w:rsidRPr="006C2B8A">
        <w:rPr>
          <w:rFonts w:ascii="Times New Roman" w:hAnsi="Times New Roman" w:cs="Times New Roman"/>
          <w:sz w:val="24"/>
          <w:szCs w:val="24"/>
        </w:rPr>
        <w:t xml:space="preserve"> archers and Tarentine Cavalry</w:t>
      </w:r>
      <w:r w:rsidRPr="006C2B8A">
        <w:rPr>
          <w:rFonts w:ascii="Times New Roman" w:hAnsi="Times New Roman" w:cs="Times New Roman"/>
          <w:sz w:val="24"/>
          <w:szCs w:val="24"/>
        </w:rPr>
        <w:t xml:space="preserve"> as both groups are mentioned at many battles in the Mediterranean and it is quite possible that these could be levies raised and trained as these types of soldiers. This again is a reasonable point to make as it does happen often in classical texts however given the amount of time Antiochus had it is unlikely that Soldiers </w:t>
      </w:r>
      <w:r w:rsidR="001F0FDB" w:rsidRPr="006C2B8A">
        <w:rPr>
          <w:rFonts w:ascii="Times New Roman" w:hAnsi="Times New Roman" w:cs="Times New Roman"/>
          <w:sz w:val="24"/>
          <w:szCs w:val="24"/>
        </w:rPr>
        <w:t>raised in Asia Minor would have had time to train as these specific troop type. On top of this it would have been easier for Antiochus to just hire them as Cretans and Tarentines were commonly seen in the period as mercenaries.</w:t>
      </w:r>
      <w:r w:rsidR="001F0FDB" w:rsidRPr="006C2B8A">
        <w:rPr>
          <w:rStyle w:val="FootnoteReference"/>
          <w:rFonts w:ascii="Times New Roman" w:hAnsi="Times New Roman" w:cs="Times New Roman"/>
          <w:sz w:val="24"/>
          <w:szCs w:val="24"/>
        </w:rPr>
        <w:footnoteReference w:id="52"/>
      </w:r>
    </w:p>
    <w:p w14:paraId="5E542CAE" w14:textId="6958CCB2" w:rsidR="002178FA" w:rsidRPr="006C2B8A" w:rsidRDefault="001F0FDB" w:rsidP="006C2B8A">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The Last point is arguably the strongest point in favour of the ethnography army at Magnesia relevant to Hellenistic diplomacy is the fact that diplomacy between Hellenistic monarchs is largely tied to the monarch themselves rather than their kingdom. Which can be shown through the use of making oaths a part of their treaty as they are a pact between two individuals and as such breaking the treaty would make not only the empire untrustworthy but also its head of state. The fact such a large variety of ethnicities can be mustered under one kings banner would make that monarch carry a lot of political power, as it shows that their domain covers a wide territory. </w:t>
      </w:r>
      <w:r w:rsidR="003D7F61" w:rsidRPr="006C2B8A">
        <w:rPr>
          <w:rFonts w:ascii="Times New Roman" w:hAnsi="Times New Roman" w:cs="Times New Roman"/>
          <w:sz w:val="24"/>
          <w:szCs w:val="24"/>
        </w:rPr>
        <w:t>However,</w:t>
      </w:r>
      <w:r w:rsidRPr="006C2B8A">
        <w:rPr>
          <w:rFonts w:ascii="Times New Roman" w:hAnsi="Times New Roman" w:cs="Times New Roman"/>
          <w:sz w:val="24"/>
          <w:szCs w:val="24"/>
        </w:rPr>
        <w:t xml:space="preserve"> this method of diplomacy fails to work when interacting with powers like Rome who are governed as a republic as it means that the pacts and treaties are tied to the nation states rather than its leaders</w:t>
      </w:r>
      <w:r w:rsidR="002178FA" w:rsidRPr="006C2B8A">
        <w:rPr>
          <w:rFonts w:ascii="Times New Roman" w:hAnsi="Times New Roman" w:cs="Times New Roman"/>
          <w:sz w:val="24"/>
          <w:szCs w:val="24"/>
        </w:rPr>
        <w:t>.</w:t>
      </w:r>
    </w:p>
    <w:p w14:paraId="2ED62D3F" w14:textId="14123C4B" w:rsidR="00B36F3F" w:rsidRDefault="002178FA" w:rsidP="00B36F3F">
      <w:pPr>
        <w:spacing w:line="360" w:lineRule="auto"/>
        <w:jc w:val="both"/>
        <w:rPr>
          <w:rFonts w:ascii="Times New Roman" w:hAnsi="Times New Roman" w:cs="Times New Roman"/>
          <w:sz w:val="24"/>
          <w:szCs w:val="24"/>
        </w:rPr>
      </w:pPr>
      <w:r w:rsidRPr="006C2B8A">
        <w:rPr>
          <w:rFonts w:ascii="Times New Roman" w:hAnsi="Times New Roman" w:cs="Times New Roman"/>
          <w:sz w:val="24"/>
          <w:szCs w:val="24"/>
        </w:rPr>
        <w:t xml:space="preserve">As a </w:t>
      </w:r>
      <w:r w:rsidR="003D7F61" w:rsidRPr="006C2B8A">
        <w:rPr>
          <w:rFonts w:ascii="Times New Roman" w:hAnsi="Times New Roman" w:cs="Times New Roman"/>
          <w:sz w:val="24"/>
          <w:szCs w:val="24"/>
        </w:rPr>
        <w:t>result,</w:t>
      </w:r>
      <w:r w:rsidRPr="006C2B8A">
        <w:rPr>
          <w:rFonts w:ascii="Times New Roman" w:hAnsi="Times New Roman" w:cs="Times New Roman"/>
          <w:sz w:val="24"/>
          <w:szCs w:val="24"/>
        </w:rPr>
        <w:t xml:space="preserve"> the composition of the army at magnesia is relevant in the sense that it can make the monarch at the head of the army look more powerful, which in turn would convey more </w:t>
      </w:r>
      <w:r w:rsidRPr="006C2B8A">
        <w:rPr>
          <w:rFonts w:ascii="Times New Roman" w:hAnsi="Times New Roman" w:cs="Times New Roman"/>
          <w:sz w:val="24"/>
          <w:szCs w:val="24"/>
        </w:rPr>
        <w:lastRenderedPageBreak/>
        <w:t>diplomatic power. This falters however when taking in the context as ultimately it is more likely that the army was raised in a short period of time to meet a threat which was uninterested in diplomacy due to the recent breakdown in communications between the two empires. Ultimately the Ethnography of Antiochus III’s army at the Battle of Magnesia has very little relevance to Hellenistic diplomacy in the period.</w:t>
      </w:r>
    </w:p>
    <w:p w14:paraId="1A9FC711" w14:textId="77777777" w:rsidR="00B36F3F" w:rsidRDefault="00B36F3F" w:rsidP="00B36F3F">
      <w:pPr>
        <w:spacing w:line="360" w:lineRule="auto"/>
        <w:jc w:val="both"/>
        <w:rPr>
          <w:rFonts w:ascii="Times New Roman" w:hAnsi="Times New Roman" w:cs="Times New Roman"/>
          <w:sz w:val="24"/>
          <w:szCs w:val="24"/>
        </w:rPr>
      </w:pPr>
    </w:p>
    <w:p w14:paraId="7EA48507" w14:textId="77777777" w:rsidR="00B36F3F" w:rsidRDefault="00B36F3F" w:rsidP="00B36F3F">
      <w:pPr>
        <w:spacing w:line="360" w:lineRule="auto"/>
        <w:jc w:val="both"/>
        <w:rPr>
          <w:rFonts w:ascii="Times New Roman" w:hAnsi="Times New Roman" w:cs="Times New Roman"/>
          <w:sz w:val="24"/>
          <w:szCs w:val="24"/>
        </w:rPr>
      </w:pPr>
    </w:p>
    <w:p w14:paraId="0890640B" w14:textId="05FA0342" w:rsidR="00B36F3F" w:rsidRDefault="00B36F3F" w:rsidP="00B36F3F">
      <w:pPr>
        <w:spacing w:line="360" w:lineRule="auto"/>
        <w:jc w:val="both"/>
        <w:rPr>
          <w:rFonts w:ascii="Times New Roman" w:hAnsi="Times New Roman" w:cs="Times New Roman"/>
          <w:sz w:val="24"/>
          <w:szCs w:val="24"/>
        </w:rPr>
      </w:pPr>
      <w:r>
        <w:rPr>
          <w:rFonts w:ascii="Times New Roman" w:hAnsi="Times New Roman" w:cs="Times New Roman"/>
          <w:sz w:val="24"/>
          <w:szCs w:val="24"/>
        </w:rPr>
        <w:t>Bibliography:</w:t>
      </w:r>
    </w:p>
    <w:p w14:paraId="0002C987" w14:textId="6CBD7A0D" w:rsidR="00B36F3F" w:rsidRDefault="00B36F3F" w:rsidP="00B36F3F">
      <w:pPr>
        <w:spacing w:line="360" w:lineRule="auto"/>
        <w:jc w:val="both"/>
        <w:rPr>
          <w:rFonts w:ascii="Times New Roman" w:hAnsi="Times New Roman" w:cs="Times New Roman"/>
          <w:sz w:val="24"/>
          <w:szCs w:val="24"/>
        </w:rPr>
      </w:pPr>
      <w:r>
        <w:rPr>
          <w:rFonts w:ascii="Times New Roman" w:hAnsi="Times New Roman" w:cs="Times New Roman"/>
          <w:sz w:val="24"/>
          <w:szCs w:val="24"/>
        </w:rPr>
        <w:t>Primary texts:</w:t>
      </w:r>
    </w:p>
    <w:p w14:paraId="35D2A2D4" w14:textId="5EB4D6A9" w:rsidR="00B36F3F" w:rsidRDefault="00B36F3F" w:rsidP="00B36F3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Polybius</w:t>
      </w:r>
      <w:r w:rsidR="00796F89">
        <w:rPr>
          <w:rFonts w:ascii="Times New Roman" w:hAnsi="Times New Roman" w:cs="Times New Roman"/>
          <w:sz w:val="24"/>
          <w:szCs w:val="24"/>
        </w:rPr>
        <w:t xml:space="preserve">, </w:t>
      </w:r>
      <w:r w:rsidR="00796F89" w:rsidRPr="00796F89">
        <w:rPr>
          <w:rFonts w:ascii="Times New Roman" w:hAnsi="Times New Roman" w:cs="Times New Roman"/>
          <w:i/>
          <w:sz w:val="24"/>
          <w:szCs w:val="24"/>
        </w:rPr>
        <w:t>The Histories</w:t>
      </w:r>
      <w:r w:rsidR="00796F89">
        <w:rPr>
          <w:rFonts w:ascii="Times New Roman" w:hAnsi="Times New Roman" w:cs="Times New Roman"/>
          <w:sz w:val="24"/>
          <w:szCs w:val="24"/>
        </w:rPr>
        <w:t xml:space="preserve">, Trans. Robin </w:t>
      </w:r>
      <w:proofErr w:type="spellStart"/>
      <w:r w:rsidR="00796F89">
        <w:rPr>
          <w:rFonts w:ascii="Times New Roman" w:hAnsi="Times New Roman" w:cs="Times New Roman"/>
          <w:sz w:val="24"/>
          <w:szCs w:val="24"/>
        </w:rPr>
        <w:t>WaterField</w:t>
      </w:r>
      <w:proofErr w:type="spellEnd"/>
      <w:r w:rsidR="00796F89">
        <w:rPr>
          <w:rFonts w:ascii="Times New Roman" w:hAnsi="Times New Roman" w:cs="Times New Roman"/>
          <w:sz w:val="24"/>
          <w:szCs w:val="24"/>
        </w:rPr>
        <w:t xml:space="preserve">, (Oxford: </w:t>
      </w:r>
      <w:r w:rsidR="00191B6A">
        <w:rPr>
          <w:rFonts w:ascii="Times New Roman" w:hAnsi="Times New Roman" w:cs="Times New Roman"/>
          <w:sz w:val="24"/>
          <w:szCs w:val="24"/>
        </w:rPr>
        <w:t>Oxford University Press</w:t>
      </w:r>
      <w:r w:rsidR="00796F89">
        <w:rPr>
          <w:rFonts w:ascii="Times New Roman" w:hAnsi="Times New Roman" w:cs="Times New Roman"/>
          <w:sz w:val="24"/>
          <w:szCs w:val="24"/>
        </w:rPr>
        <w:t xml:space="preserve">, 2010) </w:t>
      </w:r>
    </w:p>
    <w:p w14:paraId="196A8D16" w14:textId="665C581E" w:rsidR="00B36F3F" w:rsidRDefault="00B36F3F" w:rsidP="00B36F3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Livy</w:t>
      </w:r>
      <w:r w:rsidR="00796F89">
        <w:rPr>
          <w:rFonts w:ascii="Times New Roman" w:hAnsi="Times New Roman" w:cs="Times New Roman"/>
          <w:sz w:val="24"/>
          <w:szCs w:val="24"/>
        </w:rPr>
        <w:t xml:space="preserve">, </w:t>
      </w:r>
      <w:r w:rsidR="00796F89" w:rsidRPr="00796F89">
        <w:rPr>
          <w:rFonts w:ascii="Times New Roman" w:hAnsi="Times New Roman" w:cs="Times New Roman"/>
          <w:i/>
          <w:sz w:val="24"/>
          <w:szCs w:val="24"/>
        </w:rPr>
        <w:t>The War with Hannibal</w:t>
      </w:r>
      <w:r w:rsidR="00796F89">
        <w:rPr>
          <w:rFonts w:ascii="Times New Roman" w:hAnsi="Times New Roman" w:cs="Times New Roman"/>
          <w:i/>
          <w:sz w:val="24"/>
          <w:szCs w:val="24"/>
        </w:rPr>
        <w:t xml:space="preserve">, </w:t>
      </w:r>
      <w:r w:rsidR="00796F89">
        <w:rPr>
          <w:rFonts w:ascii="Times New Roman" w:hAnsi="Times New Roman" w:cs="Times New Roman"/>
          <w:sz w:val="24"/>
          <w:szCs w:val="24"/>
        </w:rPr>
        <w:t xml:space="preserve">Trans. Aubrey </w:t>
      </w:r>
      <w:proofErr w:type="spellStart"/>
      <w:r w:rsidR="00796F89">
        <w:rPr>
          <w:rFonts w:ascii="Times New Roman" w:hAnsi="Times New Roman" w:cs="Times New Roman"/>
          <w:sz w:val="24"/>
          <w:szCs w:val="24"/>
        </w:rPr>
        <w:t>Selincourt</w:t>
      </w:r>
      <w:proofErr w:type="spellEnd"/>
      <w:r w:rsidR="00796F89">
        <w:rPr>
          <w:rFonts w:ascii="Times New Roman" w:hAnsi="Times New Roman" w:cs="Times New Roman"/>
          <w:sz w:val="24"/>
          <w:szCs w:val="24"/>
        </w:rPr>
        <w:t xml:space="preserve">, (London: </w:t>
      </w:r>
      <w:proofErr w:type="spellStart"/>
      <w:r w:rsidR="00796F89">
        <w:rPr>
          <w:rFonts w:ascii="Times New Roman" w:hAnsi="Times New Roman" w:cs="Times New Roman"/>
          <w:sz w:val="24"/>
          <w:szCs w:val="24"/>
        </w:rPr>
        <w:t>Penguine</w:t>
      </w:r>
      <w:proofErr w:type="spellEnd"/>
      <w:r w:rsidR="00796F89">
        <w:rPr>
          <w:rFonts w:ascii="Times New Roman" w:hAnsi="Times New Roman" w:cs="Times New Roman"/>
          <w:sz w:val="24"/>
          <w:szCs w:val="24"/>
        </w:rPr>
        <w:t xml:space="preserve"> Classics, 2004)</w:t>
      </w:r>
    </w:p>
    <w:p w14:paraId="5776ADA8" w14:textId="5F9FB03F" w:rsidR="00191B6A" w:rsidRDefault="00B36F3F" w:rsidP="00191B6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Appian</w:t>
      </w:r>
      <w:r w:rsidR="00191B6A">
        <w:rPr>
          <w:rFonts w:ascii="Times New Roman" w:hAnsi="Times New Roman" w:cs="Times New Roman"/>
          <w:sz w:val="24"/>
          <w:szCs w:val="24"/>
        </w:rPr>
        <w:t xml:space="preserve">, </w:t>
      </w:r>
      <w:r w:rsidR="00191B6A" w:rsidRPr="00191B6A">
        <w:rPr>
          <w:rFonts w:ascii="Times New Roman" w:hAnsi="Times New Roman" w:cs="Times New Roman"/>
          <w:i/>
          <w:sz w:val="24"/>
          <w:szCs w:val="24"/>
        </w:rPr>
        <w:t>The</w:t>
      </w:r>
      <w:r w:rsidRPr="00191B6A">
        <w:rPr>
          <w:rFonts w:ascii="Times New Roman" w:hAnsi="Times New Roman" w:cs="Times New Roman"/>
          <w:i/>
          <w:sz w:val="24"/>
          <w:szCs w:val="24"/>
        </w:rPr>
        <w:t xml:space="preserve"> Syrian War</w:t>
      </w:r>
      <w:r w:rsidR="00191B6A">
        <w:rPr>
          <w:rFonts w:ascii="Times New Roman" w:hAnsi="Times New Roman" w:cs="Times New Roman"/>
          <w:i/>
          <w:sz w:val="24"/>
          <w:szCs w:val="24"/>
        </w:rPr>
        <w:t xml:space="preserve">, </w:t>
      </w:r>
      <w:proofErr w:type="spellStart"/>
      <w:r w:rsidR="00191B6A">
        <w:rPr>
          <w:rFonts w:ascii="Times New Roman" w:hAnsi="Times New Roman" w:cs="Times New Roman"/>
          <w:sz w:val="24"/>
          <w:szCs w:val="24"/>
        </w:rPr>
        <w:t>Livius</w:t>
      </w:r>
      <w:proofErr w:type="spellEnd"/>
      <w:r w:rsidR="00191B6A">
        <w:rPr>
          <w:rFonts w:ascii="Times New Roman" w:hAnsi="Times New Roman" w:cs="Times New Roman"/>
          <w:sz w:val="24"/>
          <w:szCs w:val="24"/>
        </w:rPr>
        <w:t xml:space="preserve"> [online]. Available:</w:t>
      </w:r>
    </w:p>
    <w:p w14:paraId="613AB7A4" w14:textId="7EF0EEDA" w:rsidR="00191B6A" w:rsidRPr="00191B6A" w:rsidRDefault="00191B6A" w:rsidP="00191B6A">
      <w:pPr>
        <w:pStyle w:val="ListParagraph"/>
        <w:spacing w:line="360" w:lineRule="auto"/>
        <w:jc w:val="both"/>
        <w:rPr>
          <w:rFonts w:ascii="Times New Roman" w:hAnsi="Times New Roman" w:cs="Times New Roman"/>
          <w:sz w:val="24"/>
          <w:szCs w:val="24"/>
        </w:rPr>
      </w:pPr>
      <w:hyperlink r:id="rId8" w:history="1">
        <w:r w:rsidRPr="00191B6A">
          <w:rPr>
            <w:rStyle w:val="Hyperlink"/>
            <w:rFonts w:ascii="Times New Roman" w:hAnsi="Times New Roman" w:cs="Times New Roman"/>
            <w:sz w:val="24"/>
            <w:szCs w:val="24"/>
          </w:rPr>
          <w:t>https://www.livius.org/sources/content/appian/appian-the-syrian-wars/</w:t>
        </w:r>
      </w:hyperlink>
    </w:p>
    <w:p w14:paraId="503FD5F6" w14:textId="06B42438" w:rsidR="00B36F3F" w:rsidRPr="00B36F3F" w:rsidRDefault="00B36F3F" w:rsidP="00B36F3F">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sidR="00191B6A">
        <w:rPr>
          <w:rFonts w:ascii="Times New Roman" w:hAnsi="Times New Roman" w:cs="Times New Roman"/>
          <w:sz w:val="24"/>
          <w:szCs w:val="24"/>
        </w:rPr>
        <w:t xml:space="preserve"> </w:t>
      </w:r>
      <w:proofErr w:type="spellStart"/>
      <w:r w:rsidR="00191B6A">
        <w:rPr>
          <w:rFonts w:ascii="Times New Roman" w:hAnsi="Times New Roman" w:cs="Times New Roman"/>
          <w:sz w:val="24"/>
          <w:szCs w:val="24"/>
        </w:rPr>
        <w:t>Siculus</w:t>
      </w:r>
      <w:proofErr w:type="spellEnd"/>
      <w:r w:rsidR="00191B6A">
        <w:rPr>
          <w:rFonts w:ascii="Times New Roman" w:hAnsi="Times New Roman" w:cs="Times New Roman"/>
          <w:sz w:val="24"/>
          <w:szCs w:val="24"/>
        </w:rPr>
        <w:t xml:space="preserve">, </w:t>
      </w:r>
      <w:r w:rsidR="00191B6A" w:rsidRPr="00191B6A">
        <w:rPr>
          <w:rFonts w:ascii="Times New Roman" w:hAnsi="Times New Roman" w:cs="Times New Roman"/>
          <w:i/>
          <w:sz w:val="24"/>
          <w:szCs w:val="24"/>
        </w:rPr>
        <w:t xml:space="preserve">Bibliotheca </w:t>
      </w:r>
      <w:proofErr w:type="spellStart"/>
      <w:r w:rsidR="00191B6A" w:rsidRPr="00191B6A">
        <w:rPr>
          <w:rFonts w:ascii="Times New Roman" w:hAnsi="Times New Roman" w:cs="Times New Roman"/>
          <w:i/>
          <w:sz w:val="24"/>
          <w:szCs w:val="24"/>
        </w:rPr>
        <w:t>Historica</w:t>
      </w:r>
      <w:proofErr w:type="spellEnd"/>
      <w:r w:rsidR="00191B6A">
        <w:rPr>
          <w:rFonts w:ascii="Times New Roman" w:hAnsi="Times New Roman" w:cs="Times New Roman"/>
          <w:sz w:val="24"/>
          <w:szCs w:val="24"/>
        </w:rPr>
        <w:t>, Trans Robin Waterfield, (Oxford: Oxford University Press, 2019)</w:t>
      </w:r>
    </w:p>
    <w:p w14:paraId="635BABD4" w14:textId="34F70EDA" w:rsidR="00B36F3F" w:rsidRDefault="00B36F3F" w:rsidP="00B36F3F">
      <w:pPr>
        <w:spacing w:line="360" w:lineRule="auto"/>
        <w:jc w:val="both"/>
        <w:rPr>
          <w:rFonts w:ascii="Times New Roman" w:hAnsi="Times New Roman" w:cs="Times New Roman"/>
          <w:sz w:val="24"/>
          <w:szCs w:val="24"/>
        </w:rPr>
      </w:pPr>
      <w:r>
        <w:rPr>
          <w:rFonts w:ascii="Times New Roman" w:hAnsi="Times New Roman" w:cs="Times New Roman"/>
          <w:sz w:val="24"/>
          <w:szCs w:val="24"/>
        </w:rPr>
        <w:t>Secondary texts:</w:t>
      </w:r>
    </w:p>
    <w:p w14:paraId="639A63E4" w14:textId="02D6F23C" w:rsidR="00B36F3F" w:rsidRDefault="00B36F3F" w:rsidP="00B36F3F">
      <w:pPr>
        <w:pStyle w:val="ListParagraph"/>
        <w:numPr>
          <w:ilvl w:val="0"/>
          <w:numId w:val="1"/>
        </w:numPr>
        <w:spacing w:line="360" w:lineRule="auto"/>
        <w:jc w:val="both"/>
        <w:rPr>
          <w:rFonts w:ascii="Times New Roman" w:hAnsi="Times New Roman" w:cs="Times New Roman"/>
          <w:sz w:val="24"/>
          <w:szCs w:val="24"/>
        </w:rPr>
      </w:pPr>
      <w:r w:rsidRPr="00B36F3F">
        <w:rPr>
          <w:rFonts w:ascii="Times New Roman" w:hAnsi="Times New Roman" w:cs="Times New Roman"/>
          <w:sz w:val="24"/>
          <w:szCs w:val="24"/>
        </w:rPr>
        <w:t>Bar-</w:t>
      </w:r>
      <w:proofErr w:type="spellStart"/>
      <w:r w:rsidRPr="00B36F3F">
        <w:rPr>
          <w:rFonts w:ascii="Times New Roman" w:hAnsi="Times New Roman" w:cs="Times New Roman"/>
          <w:sz w:val="24"/>
          <w:szCs w:val="24"/>
        </w:rPr>
        <w:t>Kochva</w:t>
      </w:r>
      <w:proofErr w:type="spellEnd"/>
      <w:r w:rsidRPr="00B36F3F">
        <w:rPr>
          <w:rFonts w:ascii="Times New Roman" w:hAnsi="Times New Roman" w:cs="Times New Roman"/>
          <w:sz w:val="24"/>
          <w:szCs w:val="24"/>
        </w:rPr>
        <w:t xml:space="preserve">, B. </w:t>
      </w:r>
      <w:r w:rsidRPr="00B36F3F">
        <w:rPr>
          <w:rFonts w:ascii="Times New Roman" w:hAnsi="Times New Roman" w:cs="Times New Roman"/>
          <w:i/>
          <w:sz w:val="24"/>
          <w:szCs w:val="24"/>
        </w:rPr>
        <w:t>The Seleucid Army: Organization &amp; tactics in the Great Campaigns</w:t>
      </w:r>
      <w:r w:rsidRPr="00B36F3F">
        <w:rPr>
          <w:rFonts w:ascii="Times New Roman" w:hAnsi="Times New Roman" w:cs="Times New Roman"/>
          <w:sz w:val="24"/>
          <w:szCs w:val="24"/>
        </w:rPr>
        <w:t>, (</w:t>
      </w:r>
      <w:proofErr w:type="spellStart"/>
      <w:r w:rsidRPr="00B36F3F">
        <w:rPr>
          <w:rFonts w:ascii="Times New Roman" w:hAnsi="Times New Roman" w:cs="Times New Roman"/>
          <w:sz w:val="24"/>
          <w:szCs w:val="24"/>
        </w:rPr>
        <w:t>Cambride</w:t>
      </w:r>
      <w:proofErr w:type="spellEnd"/>
      <w:r w:rsidRPr="00B36F3F">
        <w:rPr>
          <w:rFonts w:ascii="Times New Roman" w:hAnsi="Times New Roman" w:cs="Times New Roman"/>
          <w:sz w:val="24"/>
          <w:szCs w:val="24"/>
        </w:rPr>
        <w:t>: Cambridge University Press, 1976)</w:t>
      </w:r>
    </w:p>
    <w:p w14:paraId="06B483AD" w14:textId="02219E03" w:rsidR="00B36F3F" w:rsidRDefault="00B36F3F" w:rsidP="00B36F3F">
      <w:pPr>
        <w:pStyle w:val="ListParagraph"/>
        <w:numPr>
          <w:ilvl w:val="0"/>
          <w:numId w:val="1"/>
        </w:numPr>
        <w:spacing w:line="360" w:lineRule="auto"/>
        <w:jc w:val="both"/>
        <w:rPr>
          <w:rFonts w:ascii="Times New Roman" w:hAnsi="Times New Roman" w:cs="Times New Roman"/>
          <w:sz w:val="24"/>
          <w:szCs w:val="24"/>
        </w:rPr>
      </w:pPr>
      <w:proofErr w:type="spellStart"/>
      <w:r w:rsidRPr="00B36F3F">
        <w:rPr>
          <w:rFonts w:ascii="Times New Roman" w:hAnsi="Times New Roman" w:cs="Times New Roman"/>
          <w:sz w:val="24"/>
          <w:szCs w:val="24"/>
        </w:rPr>
        <w:t>Baronowski</w:t>
      </w:r>
      <w:proofErr w:type="spellEnd"/>
      <w:r w:rsidRPr="00B36F3F">
        <w:rPr>
          <w:rFonts w:ascii="Times New Roman" w:hAnsi="Times New Roman" w:cs="Times New Roman"/>
          <w:sz w:val="24"/>
          <w:szCs w:val="24"/>
        </w:rPr>
        <w:t xml:space="preserve">, D.W. </w:t>
      </w:r>
      <w:r w:rsidRPr="00B36F3F">
        <w:rPr>
          <w:rFonts w:ascii="Times New Roman" w:hAnsi="Times New Roman" w:cs="Times New Roman"/>
          <w:i/>
          <w:sz w:val="24"/>
          <w:szCs w:val="24"/>
        </w:rPr>
        <w:t xml:space="preserve">Polybius and Roman Imperialism, </w:t>
      </w:r>
      <w:r w:rsidRPr="00B36F3F">
        <w:rPr>
          <w:rFonts w:ascii="Times New Roman" w:hAnsi="Times New Roman" w:cs="Times New Roman"/>
          <w:sz w:val="24"/>
          <w:szCs w:val="24"/>
        </w:rPr>
        <w:t>(London: Bristol Classics Press</w:t>
      </w:r>
      <w:r>
        <w:rPr>
          <w:rFonts w:ascii="Times New Roman" w:hAnsi="Times New Roman" w:cs="Times New Roman"/>
          <w:sz w:val="24"/>
          <w:szCs w:val="24"/>
        </w:rPr>
        <w:t>, 2011)</w:t>
      </w:r>
    </w:p>
    <w:p w14:paraId="5D3169B9" w14:textId="0B836450" w:rsidR="00B36F3F" w:rsidRDefault="00B36F3F" w:rsidP="00B36F3F">
      <w:pPr>
        <w:pStyle w:val="ListParagraph"/>
        <w:numPr>
          <w:ilvl w:val="0"/>
          <w:numId w:val="1"/>
        </w:numPr>
        <w:spacing w:line="360" w:lineRule="auto"/>
        <w:jc w:val="both"/>
        <w:rPr>
          <w:rFonts w:ascii="Times New Roman" w:hAnsi="Times New Roman" w:cs="Times New Roman"/>
          <w:sz w:val="24"/>
          <w:szCs w:val="24"/>
        </w:rPr>
      </w:pPr>
      <w:r w:rsidRPr="00B36F3F">
        <w:rPr>
          <w:rFonts w:ascii="Times New Roman" w:hAnsi="Times New Roman" w:cs="Times New Roman"/>
          <w:sz w:val="24"/>
          <w:szCs w:val="24"/>
        </w:rPr>
        <w:t xml:space="preserve">Grainger, J. </w:t>
      </w:r>
      <w:r w:rsidRPr="00B36F3F">
        <w:rPr>
          <w:rFonts w:ascii="Times New Roman" w:hAnsi="Times New Roman" w:cs="Times New Roman"/>
          <w:i/>
          <w:sz w:val="24"/>
          <w:szCs w:val="24"/>
        </w:rPr>
        <w:t xml:space="preserve">The </w:t>
      </w:r>
      <w:proofErr w:type="spellStart"/>
      <w:r w:rsidRPr="00B36F3F">
        <w:rPr>
          <w:rFonts w:ascii="Times New Roman" w:hAnsi="Times New Roman" w:cs="Times New Roman"/>
          <w:i/>
          <w:sz w:val="24"/>
          <w:szCs w:val="24"/>
        </w:rPr>
        <w:t>Seleukid</w:t>
      </w:r>
      <w:proofErr w:type="spellEnd"/>
      <w:r w:rsidRPr="00B36F3F">
        <w:rPr>
          <w:rFonts w:ascii="Times New Roman" w:hAnsi="Times New Roman" w:cs="Times New Roman"/>
          <w:i/>
          <w:sz w:val="24"/>
          <w:szCs w:val="24"/>
        </w:rPr>
        <w:t xml:space="preserve"> Empire of Antiochus III,</w:t>
      </w:r>
      <w:r w:rsidRPr="00B36F3F">
        <w:rPr>
          <w:rFonts w:ascii="Times New Roman" w:hAnsi="Times New Roman" w:cs="Times New Roman"/>
          <w:sz w:val="24"/>
          <w:szCs w:val="24"/>
        </w:rPr>
        <w:t xml:space="preserve"> (Yorkshire: Pe</w:t>
      </w:r>
      <w:r>
        <w:rPr>
          <w:rFonts w:ascii="Times New Roman" w:hAnsi="Times New Roman" w:cs="Times New Roman"/>
          <w:sz w:val="24"/>
          <w:szCs w:val="24"/>
        </w:rPr>
        <w:t>n and Sword Publishing, 2015)</w:t>
      </w:r>
    </w:p>
    <w:p w14:paraId="57322D65" w14:textId="419FD3FE" w:rsidR="00B36F3F" w:rsidRDefault="00B36F3F" w:rsidP="00B36F3F">
      <w:pPr>
        <w:pStyle w:val="ListParagraph"/>
        <w:numPr>
          <w:ilvl w:val="0"/>
          <w:numId w:val="1"/>
        </w:numPr>
        <w:spacing w:line="360" w:lineRule="auto"/>
        <w:jc w:val="both"/>
        <w:rPr>
          <w:rFonts w:ascii="Times New Roman" w:hAnsi="Times New Roman" w:cs="Times New Roman"/>
          <w:sz w:val="24"/>
          <w:szCs w:val="24"/>
        </w:rPr>
      </w:pPr>
      <w:r w:rsidRPr="00B36F3F">
        <w:rPr>
          <w:rFonts w:ascii="Times New Roman" w:hAnsi="Times New Roman" w:cs="Times New Roman"/>
          <w:sz w:val="24"/>
          <w:szCs w:val="24"/>
        </w:rPr>
        <w:t xml:space="preserve">Grainger, J.D. </w:t>
      </w:r>
      <w:r w:rsidRPr="00B36F3F">
        <w:rPr>
          <w:rFonts w:ascii="Times New Roman" w:hAnsi="Times New Roman" w:cs="Times New Roman"/>
          <w:i/>
          <w:sz w:val="24"/>
          <w:szCs w:val="24"/>
        </w:rPr>
        <w:t>Great Power Diplomacy in the Hellenistic World,</w:t>
      </w:r>
      <w:r w:rsidRPr="00B36F3F">
        <w:rPr>
          <w:rFonts w:ascii="Times New Roman" w:hAnsi="Times New Roman" w:cs="Times New Roman"/>
          <w:sz w:val="24"/>
          <w:szCs w:val="24"/>
        </w:rPr>
        <w:t xml:space="preserve"> (London: Routledge, 2017)</w:t>
      </w:r>
    </w:p>
    <w:p w14:paraId="6150C2EA" w14:textId="34FE8F31" w:rsidR="00796F89" w:rsidRPr="00796F89" w:rsidRDefault="00796F89" w:rsidP="00796F89">
      <w:pPr>
        <w:pStyle w:val="ListParagraph"/>
        <w:numPr>
          <w:ilvl w:val="0"/>
          <w:numId w:val="1"/>
        </w:numPr>
        <w:spacing w:line="360" w:lineRule="auto"/>
        <w:jc w:val="both"/>
        <w:rPr>
          <w:rFonts w:ascii="Times New Roman" w:hAnsi="Times New Roman" w:cs="Times New Roman"/>
          <w:sz w:val="24"/>
        </w:rPr>
      </w:pPr>
      <w:r w:rsidRPr="00796F89">
        <w:rPr>
          <w:rFonts w:ascii="Times New Roman" w:hAnsi="Times New Roman" w:cs="Times New Roman"/>
          <w:sz w:val="24"/>
        </w:rPr>
        <w:t xml:space="preserve">Green, P. </w:t>
      </w:r>
      <w:r w:rsidRPr="00796F89">
        <w:rPr>
          <w:rFonts w:ascii="Times New Roman" w:hAnsi="Times New Roman" w:cs="Times New Roman"/>
          <w:i/>
          <w:sz w:val="24"/>
        </w:rPr>
        <w:t>Alexander to Actium, the historical evolution of the Hellenistic Age</w:t>
      </w:r>
      <w:r w:rsidRPr="00796F89">
        <w:rPr>
          <w:rFonts w:ascii="Times New Roman" w:hAnsi="Times New Roman" w:cs="Times New Roman"/>
          <w:sz w:val="24"/>
        </w:rPr>
        <w:t>, (Berkeley: University of California Press, 1993)</w:t>
      </w:r>
    </w:p>
    <w:p w14:paraId="75326CB2" w14:textId="184BF4E4" w:rsidR="00796F89" w:rsidRPr="00796F89" w:rsidRDefault="00796F89" w:rsidP="00796F89">
      <w:pPr>
        <w:pStyle w:val="ListParagraph"/>
        <w:numPr>
          <w:ilvl w:val="0"/>
          <w:numId w:val="1"/>
        </w:numPr>
        <w:spacing w:line="360" w:lineRule="auto"/>
        <w:jc w:val="both"/>
        <w:rPr>
          <w:rFonts w:ascii="Times New Roman" w:hAnsi="Times New Roman" w:cs="Times New Roman"/>
          <w:sz w:val="24"/>
        </w:rPr>
      </w:pPr>
      <w:r w:rsidRPr="00796F89">
        <w:rPr>
          <w:rFonts w:ascii="Times New Roman" w:hAnsi="Times New Roman" w:cs="Times New Roman"/>
          <w:sz w:val="24"/>
        </w:rPr>
        <w:t xml:space="preserve">Grainger, J.D. </w:t>
      </w:r>
      <w:r w:rsidRPr="00796F89">
        <w:rPr>
          <w:rFonts w:ascii="Times New Roman" w:hAnsi="Times New Roman" w:cs="Times New Roman"/>
          <w:i/>
          <w:sz w:val="24"/>
        </w:rPr>
        <w:t>The Roman War of Antiochus the Great,</w:t>
      </w:r>
      <w:r w:rsidRPr="00796F89">
        <w:rPr>
          <w:rFonts w:ascii="Times New Roman" w:hAnsi="Times New Roman" w:cs="Times New Roman"/>
          <w:sz w:val="24"/>
        </w:rPr>
        <w:t xml:space="preserve"> (Boston: </w:t>
      </w:r>
      <w:r>
        <w:rPr>
          <w:rFonts w:ascii="Times New Roman" w:hAnsi="Times New Roman" w:cs="Times New Roman"/>
          <w:sz w:val="24"/>
        </w:rPr>
        <w:t>Brill Publishers, 2012)</w:t>
      </w:r>
    </w:p>
    <w:p w14:paraId="76E650B0" w14:textId="77777777" w:rsidR="00B36F3F" w:rsidRDefault="00B36F3F" w:rsidP="00B36F3F">
      <w:pPr>
        <w:pStyle w:val="ListParagraph"/>
        <w:numPr>
          <w:ilvl w:val="0"/>
          <w:numId w:val="1"/>
        </w:numPr>
        <w:spacing w:line="360" w:lineRule="auto"/>
        <w:jc w:val="both"/>
        <w:rPr>
          <w:rFonts w:ascii="Times New Roman" w:hAnsi="Times New Roman" w:cs="Times New Roman"/>
          <w:sz w:val="24"/>
          <w:szCs w:val="24"/>
        </w:rPr>
      </w:pPr>
      <w:proofErr w:type="spellStart"/>
      <w:r w:rsidRPr="00B36F3F">
        <w:rPr>
          <w:rFonts w:ascii="Times New Roman" w:hAnsi="Times New Roman" w:cs="Times New Roman"/>
          <w:sz w:val="24"/>
          <w:szCs w:val="24"/>
        </w:rPr>
        <w:lastRenderedPageBreak/>
        <w:t>Gruen</w:t>
      </w:r>
      <w:proofErr w:type="spellEnd"/>
      <w:r w:rsidRPr="00B36F3F">
        <w:rPr>
          <w:rFonts w:ascii="Times New Roman" w:hAnsi="Times New Roman" w:cs="Times New Roman"/>
          <w:sz w:val="24"/>
          <w:szCs w:val="24"/>
        </w:rPr>
        <w:t>, E. The Hellenistic World and the Coming of Rome, (Berkeley: University</w:t>
      </w:r>
      <w:r>
        <w:rPr>
          <w:rFonts w:ascii="Times New Roman" w:hAnsi="Times New Roman" w:cs="Times New Roman"/>
          <w:sz w:val="24"/>
          <w:szCs w:val="24"/>
        </w:rPr>
        <w:t xml:space="preserve"> </w:t>
      </w:r>
      <w:r w:rsidRPr="00B36F3F">
        <w:rPr>
          <w:rFonts w:ascii="Times New Roman" w:hAnsi="Times New Roman" w:cs="Times New Roman"/>
          <w:sz w:val="24"/>
          <w:szCs w:val="24"/>
        </w:rPr>
        <w:t>of California Pre</w:t>
      </w:r>
      <w:r>
        <w:rPr>
          <w:rFonts w:ascii="Times New Roman" w:hAnsi="Times New Roman" w:cs="Times New Roman"/>
          <w:sz w:val="24"/>
          <w:szCs w:val="24"/>
        </w:rPr>
        <w:t>ss, 1986)</w:t>
      </w:r>
    </w:p>
    <w:p w14:paraId="3A17D8F4" w14:textId="59081B32" w:rsidR="00796F89" w:rsidRDefault="00796F89" w:rsidP="00B36F3F">
      <w:pPr>
        <w:pStyle w:val="ListParagraph"/>
        <w:numPr>
          <w:ilvl w:val="0"/>
          <w:numId w:val="1"/>
        </w:numPr>
        <w:spacing w:line="360" w:lineRule="auto"/>
        <w:jc w:val="both"/>
        <w:rPr>
          <w:rFonts w:ascii="Times New Roman" w:hAnsi="Times New Roman" w:cs="Times New Roman"/>
          <w:sz w:val="24"/>
          <w:szCs w:val="24"/>
        </w:rPr>
      </w:pPr>
      <w:proofErr w:type="spellStart"/>
      <w:r w:rsidRPr="00796F89">
        <w:rPr>
          <w:rFonts w:ascii="Times New Roman" w:hAnsi="Times New Roman" w:cs="Times New Roman"/>
          <w:sz w:val="24"/>
          <w:szCs w:val="24"/>
        </w:rPr>
        <w:t>Holbl</w:t>
      </w:r>
      <w:proofErr w:type="spellEnd"/>
      <w:r w:rsidRPr="00796F89">
        <w:rPr>
          <w:rFonts w:ascii="Times New Roman" w:hAnsi="Times New Roman" w:cs="Times New Roman"/>
          <w:sz w:val="24"/>
          <w:szCs w:val="24"/>
        </w:rPr>
        <w:t xml:space="preserve">, G. </w:t>
      </w:r>
      <w:r w:rsidRPr="00796F89">
        <w:rPr>
          <w:rFonts w:ascii="Times New Roman" w:hAnsi="Times New Roman" w:cs="Times New Roman"/>
          <w:i/>
          <w:sz w:val="24"/>
          <w:szCs w:val="24"/>
        </w:rPr>
        <w:t>A history of the Ptolemaic Empire</w:t>
      </w:r>
      <w:r w:rsidRPr="00796F89">
        <w:rPr>
          <w:rFonts w:ascii="Times New Roman" w:hAnsi="Times New Roman" w:cs="Times New Roman"/>
          <w:sz w:val="24"/>
          <w:szCs w:val="24"/>
        </w:rPr>
        <w:t xml:space="preserve">, (London: Routledge, </w:t>
      </w:r>
      <w:r>
        <w:rPr>
          <w:rFonts w:ascii="Times New Roman" w:hAnsi="Times New Roman" w:cs="Times New Roman"/>
          <w:sz w:val="24"/>
          <w:szCs w:val="24"/>
        </w:rPr>
        <w:t>2000)</w:t>
      </w:r>
    </w:p>
    <w:p w14:paraId="250BBB31" w14:textId="63D409B7" w:rsidR="00796F89" w:rsidRDefault="00796F89" w:rsidP="00B36F3F">
      <w:pPr>
        <w:pStyle w:val="ListParagraph"/>
        <w:numPr>
          <w:ilvl w:val="0"/>
          <w:numId w:val="1"/>
        </w:numPr>
        <w:spacing w:line="360" w:lineRule="auto"/>
        <w:jc w:val="both"/>
        <w:rPr>
          <w:rFonts w:ascii="Times New Roman" w:hAnsi="Times New Roman" w:cs="Times New Roman"/>
          <w:sz w:val="24"/>
          <w:szCs w:val="24"/>
        </w:rPr>
      </w:pPr>
      <w:proofErr w:type="spellStart"/>
      <w:r w:rsidRPr="00796F89">
        <w:rPr>
          <w:rFonts w:ascii="Times New Roman" w:hAnsi="Times New Roman" w:cs="Times New Roman"/>
          <w:sz w:val="24"/>
          <w:szCs w:val="24"/>
        </w:rPr>
        <w:t>Hoyos</w:t>
      </w:r>
      <w:proofErr w:type="spellEnd"/>
      <w:r w:rsidRPr="00796F89">
        <w:rPr>
          <w:rFonts w:ascii="Times New Roman" w:hAnsi="Times New Roman" w:cs="Times New Roman"/>
          <w:sz w:val="24"/>
          <w:szCs w:val="24"/>
        </w:rPr>
        <w:t>, D. </w:t>
      </w:r>
      <w:r w:rsidRPr="00796F89">
        <w:rPr>
          <w:rFonts w:ascii="Times New Roman" w:hAnsi="Times New Roman" w:cs="Times New Roman"/>
          <w:i/>
          <w:iCs/>
          <w:sz w:val="24"/>
          <w:szCs w:val="24"/>
        </w:rPr>
        <w:t>Mastering the West: Rome and Carthage at War</w:t>
      </w:r>
      <w:r w:rsidRPr="00796F89">
        <w:rPr>
          <w:rFonts w:ascii="Times New Roman" w:hAnsi="Times New Roman" w:cs="Times New Roman"/>
          <w:sz w:val="24"/>
          <w:szCs w:val="24"/>
        </w:rPr>
        <w:t>, (Oxford: Oxford University Press, 2015)</w:t>
      </w:r>
    </w:p>
    <w:p w14:paraId="47F80377" w14:textId="762FF2DF" w:rsidR="00B36F3F" w:rsidRDefault="00B36F3F" w:rsidP="00B36F3F">
      <w:pPr>
        <w:pStyle w:val="ListParagraph"/>
        <w:numPr>
          <w:ilvl w:val="0"/>
          <w:numId w:val="1"/>
        </w:numPr>
        <w:spacing w:line="360" w:lineRule="auto"/>
        <w:jc w:val="both"/>
        <w:rPr>
          <w:rFonts w:ascii="Times New Roman" w:hAnsi="Times New Roman" w:cs="Times New Roman"/>
          <w:sz w:val="24"/>
          <w:szCs w:val="24"/>
        </w:rPr>
      </w:pPr>
      <w:proofErr w:type="spellStart"/>
      <w:r w:rsidRPr="00B36F3F">
        <w:rPr>
          <w:rFonts w:ascii="Times New Roman" w:hAnsi="Times New Roman" w:cs="Times New Roman"/>
          <w:sz w:val="24"/>
          <w:szCs w:val="24"/>
        </w:rPr>
        <w:t>Kagan</w:t>
      </w:r>
      <w:proofErr w:type="spellEnd"/>
      <w:r w:rsidRPr="00B36F3F">
        <w:rPr>
          <w:rFonts w:ascii="Times New Roman" w:hAnsi="Times New Roman" w:cs="Times New Roman"/>
          <w:sz w:val="24"/>
          <w:szCs w:val="24"/>
        </w:rPr>
        <w:t xml:space="preserve">, D. </w:t>
      </w:r>
      <w:r w:rsidRPr="00B36F3F">
        <w:rPr>
          <w:rFonts w:ascii="Times New Roman" w:hAnsi="Times New Roman" w:cs="Times New Roman"/>
          <w:i/>
          <w:sz w:val="24"/>
          <w:szCs w:val="24"/>
        </w:rPr>
        <w:t>The Peloponnesian War</w:t>
      </w:r>
      <w:r w:rsidRPr="00B36F3F">
        <w:rPr>
          <w:rFonts w:ascii="Times New Roman" w:hAnsi="Times New Roman" w:cs="Times New Roman"/>
          <w:sz w:val="24"/>
          <w:szCs w:val="24"/>
        </w:rPr>
        <w:t>, (New York: Viking, 2003)</w:t>
      </w:r>
    </w:p>
    <w:p w14:paraId="23DC22F9" w14:textId="78C33E1A" w:rsidR="00796F89" w:rsidRPr="00796F89" w:rsidRDefault="00796F89" w:rsidP="00796F89">
      <w:pPr>
        <w:pStyle w:val="ListParagraph"/>
        <w:numPr>
          <w:ilvl w:val="0"/>
          <w:numId w:val="1"/>
        </w:numPr>
        <w:spacing w:line="360" w:lineRule="auto"/>
        <w:jc w:val="both"/>
        <w:rPr>
          <w:rFonts w:ascii="Times New Roman" w:hAnsi="Times New Roman" w:cs="Times New Roman"/>
          <w:sz w:val="24"/>
          <w:szCs w:val="24"/>
        </w:rPr>
      </w:pPr>
      <w:proofErr w:type="spellStart"/>
      <w:r w:rsidRPr="00796F89">
        <w:rPr>
          <w:rFonts w:ascii="Times New Roman" w:hAnsi="Times New Roman" w:cs="Times New Roman"/>
          <w:sz w:val="24"/>
          <w:szCs w:val="24"/>
        </w:rPr>
        <w:t>Mahaffy</w:t>
      </w:r>
      <w:proofErr w:type="spellEnd"/>
      <w:r w:rsidRPr="00796F89">
        <w:rPr>
          <w:rFonts w:ascii="Times New Roman" w:hAnsi="Times New Roman" w:cs="Times New Roman"/>
          <w:sz w:val="24"/>
          <w:szCs w:val="24"/>
        </w:rPr>
        <w:t>, J.P. The Empire of the Ptolemies, (London: Macmillan and Co., 1895</w:t>
      </w:r>
      <w:r>
        <w:rPr>
          <w:rFonts w:ascii="Times New Roman" w:hAnsi="Times New Roman" w:cs="Times New Roman"/>
          <w:sz w:val="24"/>
          <w:szCs w:val="24"/>
        </w:rPr>
        <w:t>)</w:t>
      </w:r>
    </w:p>
    <w:p w14:paraId="4417FAB8" w14:textId="77777777" w:rsidR="00B36F3F" w:rsidRPr="00B36F3F" w:rsidRDefault="00B36F3F" w:rsidP="00B36F3F">
      <w:pPr>
        <w:spacing w:line="360" w:lineRule="auto"/>
        <w:jc w:val="both"/>
        <w:rPr>
          <w:rFonts w:ascii="Times New Roman" w:hAnsi="Times New Roman" w:cs="Times New Roman"/>
          <w:sz w:val="24"/>
          <w:szCs w:val="24"/>
        </w:rPr>
      </w:pPr>
    </w:p>
    <w:sectPr w:rsidR="00B36F3F" w:rsidRPr="00B36F3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9E9BC" w14:textId="77777777" w:rsidR="00F71FDB" w:rsidRDefault="00F71FDB" w:rsidP="000B33AC">
      <w:pPr>
        <w:spacing w:after="0" w:line="240" w:lineRule="auto"/>
      </w:pPr>
      <w:r>
        <w:separator/>
      </w:r>
    </w:p>
  </w:endnote>
  <w:endnote w:type="continuationSeparator" w:id="0">
    <w:p w14:paraId="0AD40813" w14:textId="77777777" w:rsidR="00F71FDB" w:rsidRDefault="00F71FDB" w:rsidP="000B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3470249"/>
      <w:docPartObj>
        <w:docPartGallery w:val="Page Numbers (Bottom of Page)"/>
        <w:docPartUnique/>
      </w:docPartObj>
    </w:sdtPr>
    <w:sdtEndPr>
      <w:rPr>
        <w:noProof/>
      </w:rPr>
    </w:sdtEndPr>
    <w:sdtContent>
      <w:p w14:paraId="70C34D5B" w14:textId="11665EC7" w:rsidR="003D7F61" w:rsidRDefault="003D7F61">
        <w:pPr>
          <w:pStyle w:val="Footer"/>
          <w:jc w:val="center"/>
        </w:pPr>
        <w:r>
          <w:fldChar w:fldCharType="begin"/>
        </w:r>
        <w:r>
          <w:instrText xml:space="preserve"> PAGE   \* MERGEFORMAT </w:instrText>
        </w:r>
        <w:r>
          <w:fldChar w:fldCharType="separate"/>
        </w:r>
        <w:r w:rsidR="00AD67E0">
          <w:rPr>
            <w:noProof/>
          </w:rPr>
          <w:t>14</w:t>
        </w:r>
        <w:r>
          <w:rPr>
            <w:noProof/>
          </w:rPr>
          <w:fldChar w:fldCharType="end"/>
        </w:r>
      </w:p>
    </w:sdtContent>
  </w:sdt>
  <w:p w14:paraId="44EAA312" w14:textId="77777777" w:rsidR="003D7F61" w:rsidRDefault="003D7F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FA34E" w14:textId="77777777" w:rsidR="00F71FDB" w:rsidRDefault="00F71FDB" w:rsidP="000B33AC">
      <w:pPr>
        <w:spacing w:after="0" w:line="240" w:lineRule="auto"/>
      </w:pPr>
      <w:r>
        <w:separator/>
      </w:r>
    </w:p>
  </w:footnote>
  <w:footnote w:type="continuationSeparator" w:id="0">
    <w:p w14:paraId="4D6A56FA" w14:textId="77777777" w:rsidR="00F71FDB" w:rsidRDefault="00F71FDB" w:rsidP="000B33AC">
      <w:pPr>
        <w:spacing w:after="0" w:line="240" w:lineRule="auto"/>
      </w:pPr>
      <w:r>
        <w:continuationSeparator/>
      </w:r>
    </w:p>
  </w:footnote>
  <w:footnote w:id="1">
    <w:p w14:paraId="4D7E0440" w14:textId="7016C0C3" w:rsidR="00386BF0" w:rsidRPr="00AD67E0" w:rsidRDefault="00386BF0">
      <w:pPr>
        <w:pStyle w:val="FootnoteText"/>
        <w:rPr>
          <w:rFonts w:ascii="Times New Roman" w:hAnsi="Times New Roman" w:cs="Times New Roman"/>
        </w:rPr>
      </w:pPr>
      <w:bookmarkStart w:id="0" w:name="_GoBack"/>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C2627F" w:rsidRPr="00AD67E0">
        <w:rPr>
          <w:rFonts w:ascii="Times New Roman" w:hAnsi="Times New Roman" w:cs="Times New Roman"/>
        </w:rPr>
        <w:t>Bar-</w:t>
      </w:r>
      <w:proofErr w:type="spellStart"/>
      <w:r w:rsidR="00C2627F" w:rsidRPr="00AD67E0">
        <w:rPr>
          <w:rFonts w:ascii="Times New Roman" w:hAnsi="Times New Roman" w:cs="Times New Roman"/>
        </w:rPr>
        <w:t>Kochva</w:t>
      </w:r>
      <w:proofErr w:type="spellEnd"/>
      <w:r w:rsidR="00C2627F" w:rsidRPr="00AD67E0">
        <w:rPr>
          <w:rFonts w:ascii="Times New Roman" w:hAnsi="Times New Roman" w:cs="Times New Roman"/>
        </w:rPr>
        <w:t xml:space="preserve">, B. </w:t>
      </w:r>
      <w:r w:rsidR="00C2627F" w:rsidRPr="00AD67E0">
        <w:rPr>
          <w:rFonts w:ascii="Times New Roman" w:hAnsi="Times New Roman" w:cs="Times New Roman"/>
          <w:i/>
        </w:rPr>
        <w:t>The Seleucid Army: Organization &amp; tactics in the Great Campaigns</w:t>
      </w:r>
      <w:r w:rsidR="00C2627F" w:rsidRPr="00AD67E0">
        <w:rPr>
          <w:rFonts w:ascii="Times New Roman" w:hAnsi="Times New Roman" w:cs="Times New Roman"/>
        </w:rPr>
        <w:t>, (</w:t>
      </w:r>
      <w:proofErr w:type="spellStart"/>
      <w:r w:rsidR="00C2627F" w:rsidRPr="00AD67E0">
        <w:rPr>
          <w:rFonts w:ascii="Times New Roman" w:hAnsi="Times New Roman" w:cs="Times New Roman"/>
        </w:rPr>
        <w:t>Cambride</w:t>
      </w:r>
      <w:proofErr w:type="spellEnd"/>
      <w:r w:rsidR="00C2627F" w:rsidRPr="00AD67E0">
        <w:rPr>
          <w:rFonts w:ascii="Times New Roman" w:hAnsi="Times New Roman" w:cs="Times New Roman"/>
        </w:rPr>
        <w:t>: Cambridge University Press, 1976), p. 165</w:t>
      </w:r>
    </w:p>
  </w:footnote>
  <w:footnote w:id="2">
    <w:p w14:paraId="7675FA5E" w14:textId="5A246330"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Polybius</w:t>
      </w:r>
      <w:r w:rsidR="00C2627F" w:rsidRPr="00AD67E0">
        <w:rPr>
          <w:rFonts w:ascii="Times New Roman" w:hAnsi="Times New Roman" w:cs="Times New Roman"/>
        </w:rPr>
        <w:t>,</w:t>
      </w:r>
      <w:r w:rsidRPr="00AD67E0">
        <w:rPr>
          <w:rFonts w:ascii="Times New Roman" w:hAnsi="Times New Roman" w:cs="Times New Roman"/>
        </w:rPr>
        <w:t xml:space="preserve"> 5.79</w:t>
      </w:r>
    </w:p>
  </w:footnote>
  <w:footnote w:id="3">
    <w:p w14:paraId="2712D04D" w14:textId="33EDE5C9"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C2627F" w:rsidRPr="00AD67E0">
        <w:rPr>
          <w:rFonts w:ascii="Times New Roman" w:hAnsi="Times New Roman" w:cs="Times New Roman"/>
        </w:rPr>
        <w:t>Bar-</w:t>
      </w:r>
      <w:proofErr w:type="spellStart"/>
      <w:r w:rsidR="00C2627F" w:rsidRPr="00AD67E0">
        <w:rPr>
          <w:rFonts w:ascii="Times New Roman" w:hAnsi="Times New Roman" w:cs="Times New Roman"/>
        </w:rPr>
        <w:t>Kochva</w:t>
      </w:r>
      <w:proofErr w:type="spellEnd"/>
      <w:r w:rsidR="00C2627F" w:rsidRPr="00AD67E0">
        <w:rPr>
          <w:rFonts w:ascii="Times New Roman" w:hAnsi="Times New Roman" w:cs="Times New Roman"/>
        </w:rPr>
        <w:t xml:space="preserve">, B. </w:t>
      </w:r>
      <w:r w:rsidR="00C2627F" w:rsidRPr="00AD67E0">
        <w:rPr>
          <w:rFonts w:ascii="Times New Roman" w:hAnsi="Times New Roman" w:cs="Times New Roman"/>
          <w:i/>
        </w:rPr>
        <w:t>The Seleucid Army: Organization &amp; tactics in the Great Campaigns,</w:t>
      </w:r>
      <w:r w:rsidR="00C2627F" w:rsidRPr="00AD67E0">
        <w:rPr>
          <w:rFonts w:ascii="Times New Roman" w:hAnsi="Times New Roman" w:cs="Times New Roman"/>
        </w:rPr>
        <w:t xml:space="preserve"> (</w:t>
      </w:r>
      <w:proofErr w:type="spellStart"/>
      <w:r w:rsidR="00C2627F" w:rsidRPr="00AD67E0">
        <w:rPr>
          <w:rFonts w:ascii="Times New Roman" w:hAnsi="Times New Roman" w:cs="Times New Roman"/>
        </w:rPr>
        <w:t>Cambride</w:t>
      </w:r>
      <w:proofErr w:type="spellEnd"/>
      <w:r w:rsidR="00C2627F" w:rsidRPr="00AD67E0">
        <w:rPr>
          <w:rFonts w:ascii="Times New Roman" w:hAnsi="Times New Roman" w:cs="Times New Roman"/>
        </w:rPr>
        <w:t>: Cambridge University Press, 1976), p. 165</w:t>
      </w:r>
    </w:p>
  </w:footnote>
  <w:footnote w:id="4">
    <w:p w14:paraId="17CDE009" w14:textId="40FE06D9"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C2627F" w:rsidRPr="00AD67E0">
        <w:rPr>
          <w:rFonts w:ascii="Times New Roman" w:hAnsi="Times New Roman" w:cs="Times New Roman"/>
        </w:rPr>
        <w:t>Livy, 37.40</w:t>
      </w:r>
    </w:p>
  </w:footnote>
  <w:footnote w:id="5">
    <w:p w14:paraId="50186660" w14:textId="31817D11"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C2627F" w:rsidRPr="00AD67E0">
        <w:rPr>
          <w:rFonts w:ascii="Times New Roman" w:hAnsi="Times New Roman" w:cs="Times New Roman"/>
        </w:rPr>
        <w:t xml:space="preserve">Grainger, J. </w:t>
      </w:r>
      <w:r w:rsidR="00C2627F" w:rsidRPr="00AD67E0">
        <w:rPr>
          <w:rFonts w:ascii="Times New Roman" w:hAnsi="Times New Roman" w:cs="Times New Roman"/>
          <w:i/>
        </w:rPr>
        <w:t xml:space="preserve">The </w:t>
      </w:r>
      <w:proofErr w:type="spellStart"/>
      <w:r w:rsidR="00C2627F" w:rsidRPr="00AD67E0">
        <w:rPr>
          <w:rFonts w:ascii="Times New Roman" w:hAnsi="Times New Roman" w:cs="Times New Roman"/>
          <w:i/>
        </w:rPr>
        <w:t>Seleukid</w:t>
      </w:r>
      <w:proofErr w:type="spellEnd"/>
      <w:r w:rsidR="00C2627F" w:rsidRPr="00AD67E0">
        <w:rPr>
          <w:rFonts w:ascii="Times New Roman" w:hAnsi="Times New Roman" w:cs="Times New Roman"/>
          <w:i/>
        </w:rPr>
        <w:t xml:space="preserve"> Empire of Antiochus III,</w:t>
      </w:r>
      <w:r w:rsidR="00C2627F" w:rsidRPr="00AD67E0">
        <w:rPr>
          <w:rFonts w:ascii="Times New Roman" w:hAnsi="Times New Roman" w:cs="Times New Roman"/>
        </w:rPr>
        <w:t xml:space="preserve"> (Yorkshire: Pen and Sword Publishing, 2015), p. 30</w:t>
      </w:r>
    </w:p>
  </w:footnote>
  <w:footnote w:id="6">
    <w:p w14:paraId="531C580D" w14:textId="2D796D61" w:rsidR="00386BF0" w:rsidRPr="00AD67E0" w:rsidRDefault="00386BF0" w:rsidP="001360E0">
      <w:pPr>
        <w:pStyle w:val="FootnoteText"/>
        <w:rPr>
          <w:rFonts w:ascii="Times New Roman" w:hAnsi="Times New Roman" w:cs="Times New Roman"/>
        </w:rPr>
      </w:pPr>
      <w:r>
        <w:rPr>
          <w:rStyle w:val="FootnoteReference"/>
        </w:rPr>
        <w:footnoteRef/>
      </w:r>
      <w:r w:rsidR="00C2627F">
        <w:t xml:space="preserve"> </w:t>
      </w:r>
      <w:proofErr w:type="spellStart"/>
      <w:r w:rsidR="00C2627F" w:rsidRPr="00AD67E0">
        <w:rPr>
          <w:rFonts w:ascii="Times New Roman" w:hAnsi="Times New Roman" w:cs="Times New Roman"/>
        </w:rPr>
        <w:t>Gruen</w:t>
      </w:r>
      <w:proofErr w:type="spellEnd"/>
      <w:r w:rsidR="00C2627F" w:rsidRPr="00AD67E0">
        <w:rPr>
          <w:rFonts w:ascii="Times New Roman" w:hAnsi="Times New Roman" w:cs="Times New Roman"/>
        </w:rPr>
        <w:t>, E.</w:t>
      </w:r>
      <w:r w:rsidRPr="00AD67E0">
        <w:rPr>
          <w:rFonts w:ascii="Times New Roman" w:hAnsi="Times New Roman" w:cs="Times New Roman"/>
        </w:rPr>
        <w:t xml:space="preserve"> </w:t>
      </w:r>
      <w:r w:rsidRPr="00AD67E0">
        <w:rPr>
          <w:rFonts w:ascii="Times New Roman" w:hAnsi="Times New Roman" w:cs="Times New Roman"/>
          <w:i/>
        </w:rPr>
        <w:t>The Hellenisti</w:t>
      </w:r>
      <w:r w:rsidR="00C2627F" w:rsidRPr="00AD67E0">
        <w:rPr>
          <w:rFonts w:ascii="Times New Roman" w:hAnsi="Times New Roman" w:cs="Times New Roman"/>
          <w:i/>
        </w:rPr>
        <w:t xml:space="preserve">c World and the Coming of Rome, </w:t>
      </w:r>
      <w:r w:rsidR="00C2627F" w:rsidRPr="00AD67E0">
        <w:rPr>
          <w:rFonts w:ascii="Times New Roman" w:hAnsi="Times New Roman" w:cs="Times New Roman"/>
        </w:rPr>
        <w:t>(Berkeley:</w:t>
      </w:r>
      <w:r w:rsidRPr="00AD67E0">
        <w:rPr>
          <w:rFonts w:ascii="Times New Roman" w:hAnsi="Times New Roman" w:cs="Times New Roman"/>
        </w:rPr>
        <w:t xml:space="preserve"> University</w:t>
      </w:r>
    </w:p>
    <w:p w14:paraId="016AC923" w14:textId="06F6E836" w:rsidR="00386BF0" w:rsidRPr="00AD67E0" w:rsidRDefault="00C2627F" w:rsidP="001360E0">
      <w:pPr>
        <w:pStyle w:val="FootnoteText"/>
        <w:rPr>
          <w:rFonts w:ascii="Times New Roman" w:hAnsi="Times New Roman" w:cs="Times New Roman"/>
        </w:rPr>
      </w:pPr>
      <w:r w:rsidRPr="00AD67E0">
        <w:rPr>
          <w:rFonts w:ascii="Times New Roman" w:hAnsi="Times New Roman" w:cs="Times New Roman"/>
        </w:rPr>
        <w:t>of California Press, 1986),</w:t>
      </w:r>
      <w:r w:rsidR="00386BF0" w:rsidRPr="00AD67E0">
        <w:rPr>
          <w:rFonts w:ascii="Times New Roman" w:hAnsi="Times New Roman" w:cs="Times New Roman"/>
        </w:rPr>
        <w:t xml:space="preserve"> </w:t>
      </w:r>
      <w:r w:rsidRPr="00AD67E0">
        <w:rPr>
          <w:rFonts w:ascii="Times New Roman" w:hAnsi="Times New Roman" w:cs="Times New Roman"/>
        </w:rPr>
        <w:t xml:space="preserve">pp. </w:t>
      </w:r>
      <w:r w:rsidR="00386BF0" w:rsidRPr="00AD67E0">
        <w:rPr>
          <w:rFonts w:ascii="Times New Roman" w:hAnsi="Times New Roman" w:cs="Times New Roman"/>
        </w:rPr>
        <w:t>620-636</w:t>
      </w:r>
    </w:p>
  </w:footnote>
  <w:footnote w:id="7">
    <w:p w14:paraId="78B2F218" w14:textId="4F119289"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C2627F" w:rsidRPr="00AD67E0">
        <w:rPr>
          <w:rFonts w:ascii="Times New Roman" w:hAnsi="Times New Roman" w:cs="Times New Roman"/>
        </w:rPr>
        <w:t>Baronowski</w:t>
      </w:r>
      <w:proofErr w:type="spellEnd"/>
      <w:r w:rsidR="00C2627F" w:rsidRPr="00AD67E0">
        <w:rPr>
          <w:rFonts w:ascii="Times New Roman" w:hAnsi="Times New Roman" w:cs="Times New Roman"/>
        </w:rPr>
        <w:t xml:space="preserve">, D.W. </w:t>
      </w:r>
      <w:r w:rsidR="00C2627F" w:rsidRPr="00AD67E0">
        <w:rPr>
          <w:rFonts w:ascii="Times New Roman" w:hAnsi="Times New Roman" w:cs="Times New Roman"/>
          <w:i/>
        </w:rPr>
        <w:t xml:space="preserve">Polybius and Roman Imperialism, </w:t>
      </w:r>
      <w:r w:rsidR="00C2627F" w:rsidRPr="00AD67E0">
        <w:rPr>
          <w:rFonts w:ascii="Times New Roman" w:hAnsi="Times New Roman" w:cs="Times New Roman"/>
        </w:rPr>
        <w:t xml:space="preserve">(London: Bristol Classics Press, 2011), p. </w:t>
      </w:r>
      <w:r w:rsidR="00A857F0" w:rsidRPr="00AD67E0">
        <w:rPr>
          <w:rFonts w:ascii="Times New Roman" w:hAnsi="Times New Roman" w:cs="Times New Roman"/>
        </w:rPr>
        <w:t>2</w:t>
      </w:r>
    </w:p>
  </w:footnote>
  <w:footnote w:id="8">
    <w:p w14:paraId="03FE6D46" w14:textId="1965007D"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C2627F" w:rsidRPr="00AD67E0">
        <w:rPr>
          <w:rFonts w:ascii="Times New Roman" w:hAnsi="Times New Roman" w:cs="Times New Roman"/>
        </w:rPr>
        <w:t xml:space="preserve">Grainger, J.D. </w:t>
      </w:r>
      <w:r w:rsidR="00C2627F" w:rsidRPr="00AD67E0">
        <w:rPr>
          <w:rFonts w:ascii="Times New Roman" w:hAnsi="Times New Roman" w:cs="Times New Roman"/>
          <w:i/>
        </w:rPr>
        <w:t>Great Power Diplomacy in the Hellenistic World,</w:t>
      </w:r>
      <w:r w:rsidR="00C2627F" w:rsidRPr="00AD67E0">
        <w:rPr>
          <w:rFonts w:ascii="Times New Roman" w:hAnsi="Times New Roman" w:cs="Times New Roman"/>
        </w:rPr>
        <w:t xml:space="preserve"> (London: Routledge, 2017), p. 11</w:t>
      </w:r>
    </w:p>
  </w:footnote>
  <w:footnote w:id="9">
    <w:p w14:paraId="52B2BA52" w14:textId="3BC79B1E"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A857F0" w:rsidRPr="00AD67E0">
        <w:rPr>
          <w:rFonts w:ascii="Times New Roman" w:hAnsi="Times New Roman" w:cs="Times New Roman"/>
        </w:rPr>
        <w:t xml:space="preserve">Grainger, J.D. </w:t>
      </w:r>
      <w:r w:rsidR="00A857F0" w:rsidRPr="00AD67E0">
        <w:rPr>
          <w:rFonts w:ascii="Times New Roman" w:hAnsi="Times New Roman" w:cs="Times New Roman"/>
          <w:i/>
        </w:rPr>
        <w:t>Great Power Diplomacy in the Hellenistic World,</w:t>
      </w:r>
      <w:r w:rsidR="00A857F0" w:rsidRPr="00AD67E0">
        <w:rPr>
          <w:rFonts w:ascii="Times New Roman" w:hAnsi="Times New Roman" w:cs="Times New Roman"/>
        </w:rPr>
        <w:t xml:space="preserve"> (London: Routledge, 2017), p. 13</w:t>
      </w:r>
    </w:p>
  </w:footnote>
  <w:footnote w:id="10">
    <w:p w14:paraId="2DA2B5DB" w14:textId="17CAA278"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Pr="00AD67E0">
        <w:rPr>
          <w:rFonts w:ascii="Times New Roman" w:hAnsi="Times New Roman" w:cs="Times New Roman"/>
        </w:rPr>
        <w:t>Diodorus</w:t>
      </w:r>
      <w:proofErr w:type="spellEnd"/>
      <w:r w:rsidRPr="00AD67E0">
        <w:rPr>
          <w:rFonts w:ascii="Times New Roman" w:hAnsi="Times New Roman" w:cs="Times New Roman"/>
        </w:rPr>
        <w:t xml:space="preserve"> 20.19.3-6</w:t>
      </w:r>
    </w:p>
  </w:footnote>
  <w:footnote w:id="11">
    <w:p w14:paraId="562752C5" w14:textId="5F5E5BA5"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A857F0" w:rsidRPr="00AD67E0">
        <w:rPr>
          <w:rFonts w:ascii="Times New Roman" w:hAnsi="Times New Roman" w:cs="Times New Roman"/>
        </w:rPr>
        <w:t>Kagan</w:t>
      </w:r>
      <w:proofErr w:type="spellEnd"/>
      <w:r w:rsidR="00A857F0" w:rsidRPr="00AD67E0">
        <w:rPr>
          <w:rFonts w:ascii="Times New Roman" w:hAnsi="Times New Roman" w:cs="Times New Roman"/>
        </w:rPr>
        <w:t xml:space="preserve">, D. </w:t>
      </w:r>
      <w:r w:rsidR="00A857F0" w:rsidRPr="00AD67E0">
        <w:rPr>
          <w:rFonts w:ascii="Times New Roman" w:hAnsi="Times New Roman" w:cs="Times New Roman"/>
          <w:i/>
        </w:rPr>
        <w:t>The Peloponnesian War</w:t>
      </w:r>
      <w:r w:rsidR="00A857F0" w:rsidRPr="00AD67E0">
        <w:rPr>
          <w:rFonts w:ascii="Times New Roman" w:hAnsi="Times New Roman" w:cs="Times New Roman"/>
        </w:rPr>
        <w:t>, (New York: Viking, 2003), p. 18.</w:t>
      </w:r>
    </w:p>
  </w:footnote>
  <w:footnote w:id="12">
    <w:p w14:paraId="3D9F42F5" w14:textId="46FACFFD"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A857F0" w:rsidRPr="00AD67E0">
        <w:rPr>
          <w:rFonts w:ascii="Times New Roman" w:hAnsi="Times New Roman" w:cs="Times New Roman"/>
        </w:rPr>
        <w:t xml:space="preserve">Grainger, J.D. </w:t>
      </w:r>
      <w:r w:rsidR="00A857F0" w:rsidRPr="00AD67E0">
        <w:rPr>
          <w:rFonts w:ascii="Times New Roman" w:hAnsi="Times New Roman" w:cs="Times New Roman"/>
          <w:i/>
        </w:rPr>
        <w:t>Great Power Diplomacy in the Hellenistic World,</w:t>
      </w:r>
      <w:r w:rsidR="00A857F0" w:rsidRPr="00AD67E0">
        <w:rPr>
          <w:rFonts w:ascii="Times New Roman" w:hAnsi="Times New Roman" w:cs="Times New Roman"/>
        </w:rPr>
        <w:t xml:space="preserve"> (London: Routledge, 2017), p. 15</w:t>
      </w:r>
    </w:p>
  </w:footnote>
  <w:footnote w:id="13">
    <w:p w14:paraId="21D8805B" w14:textId="41AE52D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A857F0" w:rsidRPr="00AD67E0">
        <w:rPr>
          <w:rFonts w:ascii="Times New Roman" w:hAnsi="Times New Roman" w:cs="Times New Roman"/>
        </w:rPr>
        <w:t xml:space="preserve">Grainger, J. </w:t>
      </w:r>
      <w:r w:rsidR="00A857F0" w:rsidRPr="00AD67E0">
        <w:rPr>
          <w:rFonts w:ascii="Times New Roman" w:hAnsi="Times New Roman" w:cs="Times New Roman"/>
          <w:i/>
        </w:rPr>
        <w:t xml:space="preserve">The </w:t>
      </w:r>
      <w:proofErr w:type="spellStart"/>
      <w:r w:rsidR="00A857F0" w:rsidRPr="00AD67E0">
        <w:rPr>
          <w:rFonts w:ascii="Times New Roman" w:hAnsi="Times New Roman" w:cs="Times New Roman"/>
          <w:i/>
        </w:rPr>
        <w:t>Seleukid</w:t>
      </w:r>
      <w:proofErr w:type="spellEnd"/>
      <w:r w:rsidR="00A857F0" w:rsidRPr="00AD67E0">
        <w:rPr>
          <w:rFonts w:ascii="Times New Roman" w:hAnsi="Times New Roman" w:cs="Times New Roman"/>
          <w:i/>
        </w:rPr>
        <w:t xml:space="preserve"> Empire of Antiochus III,</w:t>
      </w:r>
      <w:r w:rsidR="00A857F0" w:rsidRPr="00AD67E0">
        <w:rPr>
          <w:rFonts w:ascii="Times New Roman" w:hAnsi="Times New Roman" w:cs="Times New Roman"/>
        </w:rPr>
        <w:t xml:space="preserve"> (Yorkshire: Pen and Sword Publishing, 2015), p. 15</w:t>
      </w:r>
    </w:p>
  </w:footnote>
  <w:footnote w:id="14">
    <w:p w14:paraId="09C0E440" w14:textId="7918327B"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rPr>
        <w:t xml:space="preserve">Grainger, J.D. </w:t>
      </w:r>
      <w:r w:rsidR="00684584" w:rsidRPr="00AD67E0">
        <w:rPr>
          <w:rFonts w:ascii="Times New Roman" w:hAnsi="Times New Roman" w:cs="Times New Roman"/>
          <w:i/>
        </w:rPr>
        <w:t>Great Power Diplomacy in the Hellenistic World,</w:t>
      </w:r>
      <w:r w:rsidR="00684584" w:rsidRPr="00AD67E0">
        <w:rPr>
          <w:rFonts w:ascii="Times New Roman" w:hAnsi="Times New Roman" w:cs="Times New Roman"/>
        </w:rPr>
        <w:t xml:space="preserve"> (London: Routledge, 2017), p. 105</w:t>
      </w:r>
    </w:p>
  </w:footnote>
  <w:footnote w:id="15">
    <w:p w14:paraId="48011FC6" w14:textId="4FBDDD13"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i/>
        </w:rPr>
        <w:t>Ibid.,</w:t>
      </w:r>
      <w:r w:rsidR="00684584" w:rsidRPr="00AD67E0">
        <w:rPr>
          <w:rFonts w:ascii="Times New Roman" w:hAnsi="Times New Roman" w:cs="Times New Roman"/>
        </w:rPr>
        <w:t xml:space="preserve"> p. 109</w:t>
      </w:r>
    </w:p>
  </w:footnote>
  <w:footnote w:id="16">
    <w:p w14:paraId="6E2CD56E" w14:textId="2D656480"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i/>
        </w:rPr>
        <w:t>Ibid.,</w:t>
      </w:r>
      <w:r w:rsidR="00684584" w:rsidRPr="00AD67E0">
        <w:rPr>
          <w:rFonts w:ascii="Times New Roman" w:hAnsi="Times New Roman" w:cs="Times New Roman"/>
        </w:rPr>
        <w:t xml:space="preserve"> p. 105</w:t>
      </w:r>
    </w:p>
  </w:footnote>
  <w:footnote w:id="17">
    <w:p w14:paraId="4904C962" w14:textId="3D821709"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i/>
        </w:rPr>
        <w:t>Ibid.,</w:t>
      </w:r>
      <w:r w:rsidR="00684584" w:rsidRPr="00AD67E0">
        <w:rPr>
          <w:rFonts w:ascii="Times New Roman" w:hAnsi="Times New Roman" w:cs="Times New Roman"/>
        </w:rPr>
        <w:t xml:space="preserve"> p. 113</w:t>
      </w:r>
    </w:p>
  </w:footnote>
  <w:footnote w:id="18">
    <w:p w14:paraId="57AE8825" w14:textId="42BA97C6" w:rsidR="00386BF0" w:rsidRDefault="00386BF0">
      <w:pPr>
        <w:pStyle w:val="FootnoteText"/>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i/>
        </w:rPr>
        <w:t>Ibid.,</w:t>
      </w:r>
      <w:r w:rsidR="00684584" w:rsidRPr="00AD67E0">
        <w:rPr>
          <w:rFonts w:ascii="Times New Roman" w:hAnsi="Times New Roman" w:cs="Times New Roman"/>
        </w:rPr>
        <w:t xml:space="preserve"> p. 112</w:t>
      </w:r>
    </w:p>
  </w:footnote>
  <w:footnote w:id="19">
    <w:p w14:paraId="5DA9E196" w14:textId="725C1E28"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684584" w:rsidRPr="00AD67E0">
        <w:rPr>
          <w:rFonts w:ascii="Times New Roman" w:hAnsi="Times New Roman" w:cs="Times New Roman"/>
        </w:rPr>
        <w:t>Holbl</w:t>
      </w:r>
      <w:proofErr w:type="spellEnd"/>
      <w:r w:rsidR="00684584" w:rsidRPr="00AD67E0">
        <w:rPr>
          <w:rFonts w:ascii="Times New Roman" w:hAnsi="Times New Roman" w:cs="Times New Roman"/>
        </w:rPr>
        <w:t xml:space="preserve">, G. </w:t>
      </w:r>
      <w:r w:rsidR="00684584" w:rsidRPr="00AD67E0">
        <w:rPr>
          <w:rFonts w:ascii="Times New Roman" w:hAnsi="Times New Roman" w:cs="Times New Roman"/>
          <w:i/>
        </w:rPr>
        <w:t>A history of the Ptolemaic Empire</w:t>
      </w:r>
      <w:r w:rsidR="00684584" w:rsidRPr="00AD67E0">
        <w:rPr>
          <w:rFonts w:ascii="Times New Roman" w:hAnsi="Times New Roman" w:cs="Times New Roman"/>
        </w:rPr>
        <w:t>, (London: Routledge, 2000), pp. 127-130</w:t>
      </w:r>
    </w:p>
  </w:footnote>
  <w:footnote w:id="20">
    <w:p w14:paraId="594011C8"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Polybius 15.25.13</w:t>
      </w:r>
    </w:p>
  </w:footnote>
  <w:footnote w:id="21">
    <w:p w14:paraId="09F6FAC7" w14:textId="3E73DCBE" w:rsidR="00386BF0" w:rsidRDefault="00386BF0">
      <w:pPr>
        <w:pStyle w:val="FootnoteText"/>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rPr>
        <w:t xml:space="preserve">Grainger, J.D. </w:t>
      </w:r>
      <w:r w:rsidR="00684584" w:rsidRPr="00AD67E0">
        <w:rPr>
          <w:rFonts w:ascii="Times New Roman" w:hAnsi="Times New Roman" w:cs="Times New Roman"/>
          <w:i/>
        </w:rPr>
        <w:t>Great Power Diplomacy in the Hellenistic World,</w:t>
      </w:r>
      <w:r w:rsidR="00684584" w:rsidRPr="00AD67E0">
        <w:rPr>
          <w:rFonts w:ascii="Times New Roman" w:hAnsi="Times New Roman" w:cs="Times New Roman"/>
        </w:rPr>
        <w:t xml:space="preserve"> (London: Routledge, 2017), p. 14</w:t>
      </w:r>
    </w:p>
  </w:footnote>
  <w:footnote w:id="22">
    <w:p w14:paraId="62FF64F4" w14:textId="00634468"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684584" w:rsidRPr="00AD67E0">
        <w:rPr>
          <w:rFonts w:ascii="Times New Roman" w:hAnsi="Times New Roman" w:cs="Times New Roman"/>
        </w:rPr>
        <w:t>Hoyos</w:t>
      </w:r>
      <w:proofErr w:type="spellEnd"/>
      <w:r w:rsidR="00684584" w:rsidRPr="00AD67E0">
        <w:rPr>
          <w:rFonts w:ascii="Times New Roman" w:hAnsi="Times New Roman" w:cs="Times New Roman"/>
        </w:rPr>
        <w:t>, D. </w:t>
      </w:r>
      <w:r w:rsidR="00684584" w:rsidRPr="00AD67E0">
        <w:rPr>
          <w:rFonts w:ascii="Times New Roman" w:hAnsi="Times New Roman" w:cs="Times New Roman"/>
          <w:i/>
          <w:iCs/>
        </w:rPr>
        <w:t>Mastering the West: Rome and Carthage at War</w:t>
      </w:r>
      <w:r w:rsidR="00684584" w:rsidRPr="00AD67E0">
        <w:rPr>
          <w:rFonts w:ascii="Times New Roman" w:hAnsi="Times New Roman" w:cs="Times New Roman"/>
        </w:rPr>
        <w:t>, (Oxford: Oxford University Press, 2015), p. 127</w:t>
      </w:r>
    </w:p>
  </w:footnote>
  <w:footnote w:id="23">
    <w:p w14:paraId="7AD0DB79"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31.2.3</w:t>
      </w:r>
    </w:p>
  </w:footnote>
  <w:footnote w:id="24">
    <w:p w14:paraId="3980B44F" w14:textId="3E7D0A08"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684584" w:rsidRPr="00AD67E0">
        <w:rPr>
          <w:rFonts w:ascii="Times New Roman" w:hAnsi="Times New Roman" w:cs="Times New Roman"/>
        </w:rPr>
        <w:t>Holbl</w:t>
      </w:r>
      <w:proofErr w:type="spellEnd"/>
      <w:r w:rsidR="00684584" w:rsidRPr="00AD67E0">
        <w:rPr>
          <w:rFonts w:ascii="Times New Roman" w:hAnsi="Times New Roman" w:cs="Times New Roman"/>
        </w:rPr>
        <w:t xml:space="preserve">, G. </w:t>
      </w:r>
      <w:r w:rsidR="00684584" w:rsidRPr="00AD67E0">
        <w:rPr>
          <w:rFonts w:ascii="Times New Roman" w:hAnsi="Times New Roman" w:cs="Times New Roman"/>
          <w:i/>
        </w:rPr>
        <w:t>A history of the Ptolemaic Empire</w:t>
      </w:r>
      <w:r w:rsidR="00684584" w:rsidRPr="00AD67E0">
        <w:rPr>
          <w:rFonts w:ascii="Times New Roman" w:hAnsi="Times New Roman" w:cs="Times New Roman"/>
        </w:rPr>
        <w:t>, (London: Routledge, 2000), p. 140</w:t>
      </w:r>
    </w:p>
  </w:footnote>
  <w:footnote w:id="25">
    <w:p w14:paraId="1991FE36" w14:textId="39FC59CE"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84584" w:rsidRPr="00AD67E0">
        <w:rPr>
          <w:rFonts w:ascii="Times New Roman" w:hAnsi="Times New Roman" w:cs="Times New Roman"/>
        </w:rPr>
        <w:t xml:space="preserve">Grainger, J.D. </w:t>
      </w:r>
      <w:r w:rsidR="00684584" w:rsidRPr="00AD67E0">
        <w:rPr>
          <w:rFonts w:ascii="Times New Roman" w:hAnsi="Times New Roman" w:cs="Times New Roman"/>
          <w:i/>
        </w:rPr>
        <w:t>Great Power Diplomacy in the Hellenistic World,</w:t>
      </w:r>
      <w:r w:rsidR="00684584" w:rsidRPr="00AD67E0">
        <w:rPr>
          <w:rFonts w:ascii="Times New Roman" w:hAnsi="Times New Roman" w:cs="Times New Roman"/>
        </w:rPr>
        <w:t xml:space="preserve"> (London: Routledge, 2017), p. 179</w:t>
      </w:r>
    </w:p>
  </w:footnote>
  <w:footnote w:id="26">
    <w:p w14:paraId="10D22A59" w14:textId="40B20254" w:rsidR="00386BF0" w:rsidRDefault="00386BF0">
      <w:pPr>
        <w:pStyle w:val="FootnoteText"/>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684584" w:rsidRPr="00AD67E0">
        <w:rPr>
          <w:rFonts w:ascii="Times New Roman" w:hAnsi="Times New Roman" w:cs="Times New Roman"/>
        </w:rPr>
        <w:t>Mahaffy</w:t>
      </w:r>
      <w:proofErr w:type="spellEnd"/>
      <w:r w:rsidR="00684584" w:rsidRPr="00AD67E0">
        <w:rPr>
          <w:rFonts w:ascii="Times New Roman" w:hAnsi="Times New Roman" w:cs="Times New Roman"/>
        </w:rPr>
        <w:t>, J.P. The Empire of the Ptolemies, (London: Macmillan and Co., 1895), p.</w:t>
      </w:r>
      <w:r w:rsidR="006E5281" w:rsidRPr="00AD67E0">
        <w:rPr>
          <w:rFonts w:ascii="Times New Roman" w:hAnsi="Times New Roman" w:cs="Times New Roman"/>
        </w:rPr>
        <w:t xml:space="preserve"> 217</w:t>
      </w:r>
    </w:p>
  </w:footnote>
  <w:footnote w:id="27">
    <w:p w14:paraId="69AF4BCE" w14:textId="61B33C35"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rPr>
        <w:t xml:space="preserve">Grainger, J.D. </w:t>
      </w:r>
      <w:r w:rsidR="006E5281" w:rsidRPr="00AD67E0">
        <w:rPr>
          <w:rFonts w:ascii="Times New Roman" w:hAnsi="Times New Roman" w:cs="Times New Roman"/>
          <w:i/>
        </w:rPr>
        <w:t>Great Power Diplomacy in the Hellenistic World,</w:t>
      </w:r>
      <w:r w:rsidR="006E5281" w:rsidRPr="00AD67E0">
        <w:rPr>
          <w:rFonts w:ascii="Times New Roman" w:hAnsi="Times New Roman" w:cs="Times New Roman"/>
        </w:rPr>
        <w:t xml:space="preserve"> (London: Routledge, 2017), p. 181</w:t>
      </w:r>
    </w:p>
  </w:footnote>
  <w:footnote w:id="28">
    <w:p w14:paraId="04FC15E0" w14:textId="792851DB"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i/>
        </w:rPr>
        <w:t>Ibid.,</w:t>
      </w:r>
      <w:r w:rsidR="006E5281" w:rsidRPr="00AD67E0">
        <w:rPr>
          <w:rFonts w:ascii="Times New Roman" w:hAnsi="Times New Roman" w:cs="Times New Roman"/>
        </w:rPr>
        <w:t xml:space="preserve"> p. 183</w:t>
      </w:r>
    </w:p>
  </w:footnote>
  <w:footnote w:id="29">
    <w:p w14:paraId="55DFE566" w14:textId="1FE8CD21"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rPr>
        <w:t xml:space="preserve">Green, P. </w:t>
      </w:r>
      <w:r w:rsidR="006E5281" w:rsidRPr="00AD67E0">
        <w:rPr>
          <w:rFonts w:ascii="Times New Roman" w:hAnsi="Times New Roman" w:cs="Times New Roman"/>
          <w:i/>
        </w:rPr>
        <w:t>Alexander to Actium, the historical evolution of the Hellenistic Age</w:t>
      </w:r>
      <w:r w:rsidR="006E5281" w:rsidRPr="00AD67E0">
        <w:rPr>
          <w:rFonts w:ascii="Times New Roman" w:hAnsi="Times New Roman" w:cs="Times New Roman"/>
        </w:rPr>
        <w:t>, (Berkeley: University of California Press, 1993), pp. 305–311</w:t>
      </w:r>
    </w:p>
  </w:footnote>
  <w:footnote w:id="30">
    <w:p w14:paraId="09706EA6" w14:textId="66EE1AAB"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Grainger,</w:t>
      </w:r>
      <w:r w:rsidR="006E5281" w:rsidRPr="00AD67E0">
        <w:rPr>
          <w:rFonts w:ascii="Times New Roman" w:hAnsi="Times New Roman" w:cs="Times New Roman"/>
        </w:rPr>
        <w:t xml:space="preserve"> J.D.</w:t>
      </w:r>
      <w:r w:rsidRPr="00AD67E0">
        <w:rPr>
          <w:rFonts w:ascii="Times New Roman" w:hAnsi="Times New Roman" w:cs="Times New Roman"/>
        </w:rPr>
        <w:t xml:space="preserve"> </w:t>
      </w:r>
      <w:r w:rsidR="006E5281" w:rsidRPr="00AD67E0">
        <w:rPr>
          <w:rFonts w:ascii="Times New Roman" w:hAnsi="Times New Roman" w:cs="Times New Roman"/>
          <w:i/>
        </w:rPr>
        <w:t xml:space="preserve">The </w:t>
      </w:r>
      <w:r w:rsidRPr="00AD67E0">
        <w:rPr>
          <w:rFonts w:ascii="Times New Roman" w:hAnsi="Times New Roman" w:cs="Times New Roman"/>
          <w:i/>
        </w:rPr>
        <w:t>Roman War</w:t>
      </w:r>
      <w:r w:rsidR="006E5281" w:rsidRPr="00AD67E0">
        <w:rPr>
          <w:rFonts w:ascii="Times New Roman" w:hAnsi="Times New Roman" w:cs="Times New Roman"/>
          <w:i/>
        </w:rPr>
        <w:t xml:space="preserve"> of Antiochus the Great</w:t>
      </w:r>
      <w:r w:rsidRPr="00AD67E0">
        <w:rPr>
          <w:rFonts w:ascii="Times New Roman" w:hAnsi="Times New Roman" w:cs="Times New Roman"/>
          <w:i/>
        </w:rPr>
        <w:t>,</w:t>
      </w:r>
      <w:r w:rsidRPr="00AD67E0">
        <w:rPr>
          <w:rFonts w:ascii="Times New Roman" w:hAnsi="Times New Roman" w:cs="Times New Roman"/>
        </w:rPr>
        <w:t xml:space="preserve"> </w:t>
      </w:r>
      <w:r w:rsidR="006E5281" w:rsidRPr="00AD67E0">
        <w:rPr>
          <w:rFonts w:ascii="Times New Roman" w:hAnsi="Times New Roman" w:cs="Times New Roman"/>
        </w:rPr>
        <w:t>(Boston: Brill Publishers, 2012), p. 102</w:t>
      </w:r>
    </w:p>
  </w:footnote>
  <w:footnote w:id="31">
    <w:p w14:paraId="39517BB2" w14:textId="1B3B3150"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006E5281" w:rsidRPr="00AD67E0">
        <w:rPr>
          <w:rFonts w:ascii="Times New Roman" w:hAnsi="Times New Roman" w:cs="Times New Roman"/>
        </w:rPr>
        <w:t xml:space="preserve"> </w:t>
      </w:r>
      <w:r w:rsidR="00B36F3F" w:rsidRPr="00AD67E0">
        <w:rPr>
          <w:rFonts w:ascii="Times New Roman" w:hAnsi="Times New Roman" w:cs="Times New Roman"/>
          <w:i/>
        </w:rPr>
        <w:t>Ibid.</w:t>
      </w:r>
      <w:r w:rsidR="006E5281" w:rsidRPr="00AD67E0">
        <w:rPr>
          <w:rFonts w:ascii="Times New Roman" w:hAnsi="Times New Roman" w:cs="Times New Roman"/>
        </w:rPr>
        <w:t>, p. 106</w:t>
      </w:r>
    </w:p>
  </w:footnote>
  <w:footnote w:id="32">
    <w:p w14:paraId="060327A5" w14:textId="1F0C25BE"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rPr>
        <w:t xml:space="preserve">Green, P. </w:t>
      </w:r>
      <w:r w:rsidR="006E5281" w:rsidRPr="00AD67E0">
        <w:rPr>
          <w:rFonts w:ascii="Times New Roman" w:hAnsi="Times New Roman" w:cs="Times New Roman"/>
          <w:i/>
        </w:rPr>
        <w:t>Alexander to Actium, the historical evolution of the Hellenistic Age</w:t>
      </w:r>
      <w:r w:rsidR="006E5281" w:rsidRPr="00AD67E0">
        <w:rPr>
          <w:rFonts w:ascii="Times New Roman" w:hAnsi="Times New Roman" w:cs="Times New Roman"/>
        </w:rPr>
        <w:t>, (Berkeley: University of California Press, 1993), p. 316</w:t>
      </w:r>
    </w:p>
  </w:footnote>
  <w:footnote w:id="33">
    <w:p w14:paraId="42149F76" w14:textId="7F569321"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rPr>
        <w:t xml:space="preserve">Grainger, J.D. </w:t>
      </w:r>
      <w:r w:rsidR="006E5281" w:rsidRPr="00AD67E0">
        <w:rPr>
          <w:rFonts w:ascii="Times New Roman" w:hAnsi="Times New Roman" w:cs="Times New Roman"/>
          <w:i/>
        </w:rPr>
        <w:t>Great Power Diplomacy in the Hellenistic World,</w:t>
      </w:r>
      <w:r w:rsidR="006E5281" w:rsidRPr="00AD67E0">
        <w:rPr>
          <w:rFonts w:ascii="Times New Roman" w:hAnsi="Times New Roman" w:cs="Times New Roman"/>
        </w:rPr>
        <w:t xml:space="preserve"> (London: Routledge, 2017), p. 190</w:t>
      </w:r>
    </w:p>
  </w:footnote>
  <w:footnote w:id="34">
    <w:p w14:paraId="2C364663" w14:textId="7FCB74F9" w:rsidR="00386BF0" w:rsidRDefault="00386BF0">
      <w:pPr>
        <w:pStyle w:val="FootnoteText"/>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i/>
        </w:rPr>
        <w:t>Ibid.</w:t>
      </w:r>
      <w:r w:rsidR="006E5281" w:rsidRPr="00AD67E0">
        <w:rPr>
          <w:rFonts w:ascii="Times New Roman" w:hAnsi="Times New Roman" w:cs="Times New Roman"/>
        </w:rPr>
        <w:t>, p. 189</w:t>
      </w:r>
    </w:p>
  </w:footnote>
  <w:footnote w:id="35">
    <w:p w14:paraId="3937199C" w14:textId="7CD27F2A"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rPr>
        <w:t xml:space="preserve">Grainger, J.D. </w:t>
      </w:r>
      <w:r w:rsidR="006E5281" w:rsidRPr="00AD67E0">
        <w:rPr>
          <w:rFonts w:ascii="Times New Roman" w:hAnsi="Times New Roman" w:cs="Times New Roman"/>
          <w:i/>
        </w:rPr>
        <w:t>Great Power Diplomacy in the Hellenistic World,</w:t>
      </w:r>
      <w:r w:rsidR="006E5281" w:rsidRPr="00AD67E0">
        <w:rPr>
          <w:rFonts w:ascii="Times New Roman" w:hAnsi="Times New Roman" w:cs="Times New Roman"/>
        </w:rPr>
        <w:t xml:space="preserve"> (London: Routledge, 2017), p. 192</w:t>
      </w:r>
    </w:p>
  </w:footnote>
  <w:footnote w:id="36">
    <w:p w14:paraId="11DE40C1" w14:textId="05026505"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6E5281" w:rsidRPr="00AD67E0">
        <w:rPr>
          <w:rFonts w:ascii="Times New Roman" w:hAnsi="Times New Roman" w:cs="Times New Roman"/>
          <w:i/>
        </w:rPr>
        <w:t xml:space="preserve">Ibid., </w:t>
      </w:r>
      <w:r w:rsidR="006E5281" w:rsidRPr="00AD67E0">
        <w:rPr>
          <w:rFonts w:ascii="Times New Roman" w:hAnsi="Times New Roman" w:cs="Times New Roman"/>
        </w:rPr>
        <w:t>p. 192</w:t>
      </w:r>
    </w:p>
  </w:footnote>
  <w:footnote w:id="37">
    <w:p w14:paraId="1666DFBE" w14:textId="514CA5B8"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proofErr w:type="spellStart"/>
      <w:r w:rsidR="006E5281" w:rsidRPr="00AD67E0">
        <w:rPr>
          <w:rFonts w:ascii="Times New Roman" w:hAnsi="Times New Roman" w:cs="Times New Roman"/>
        </w:rPr>
        <w:t>Baronowski</w:t>
      </w:r>
      <w:proofErr w:type="spellEnd"/>
      <w:r w:rsidR="006E5281" w:rsidRPr="00AD67E0">
        <w:rPr>
          <w:rFonts w:ascii="Times New Roman" w:hAnsi="Times New Roman" w:cs="Times New Roman"/>
        </w:rPr>
        <w:t xml:space="preserve">, D.W. </w:t>
      </w:r>
      <w:r w:rsidR="006E5281" w:rsidRPr="00AD67E0">
        <w:rPr>
          <w:rFonts w:ascii="Times New Roman" w:hAnsi="Times New Roman" w:cs="Times New Roman"/>
          <w:i/>
        </w:rPr>
        <w:t xml:space="preserve">Polybius and Roman Imperialism, </w:t>
      </w:r>
      <w:r w:rsidR="006E5281" w:rsidRPr="00AD67E0">
        <w:rPr>
          <w:rFonts w:ascii="Times New Roman" w:hAnsi="Times New Roman" w:cs="Times New Roman"/>
        </w:rPr>
        <w:t>(London: Bristol Classics Press, 2011), p. 5</w:t>
      </w:r>
    </w:p>
  </w:footnote>
  <w:footnote w:id="38">
    <w:p w14:paraId="03A23546" w14:textId="403C102D"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i/>
        </w:rPr>
        <w:t xml:space="preserve">Ibid., </w:t>
      </w:r>
      <w:r w:rsidR="00B36F3F" w:rsidRPr="00AD67E0">
        <w:rPr>
          <w:rFonts w:ascii="Times New Roman" w:hAnsi="Times New Roman" w:cs="Times New Roman"/>
        </w:rPr>
        <w:t>p. 35</w:t>
      </w:r>
    </w:p>
  </w:footnote>
  <w:footnote w:id="39">
    <w:p w14:paraId="00E26938"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w:t>
      </w:r>
    </w:p>
  </w:footnote>
  <w:footnote w:id="40">
    <w:p w14:paraId="08EB31F5"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w:t>
      </w:r>
    </w:p>
  </w:footnote>
  <w:footnote w:id="41">
    <w:p w14:paraId="41E848B7"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Appian Syrian war 32</w:t>
      </w:r>
    </w:p>
  </w:footnote>
  <w:footnote w:id="42">
    <w:p w14:paraId="073A691E"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 Appian Syrian war 32</w:t>
      </w:r>
    </w:p>
  </w:footnote>
  <w:footnote w:id="43">
    <w:p w14:paraId="66DF4A69"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w:t>
      </w:r>
    </w:p>
  </w:footnote>
  <w:footnote w:id="44">
    <w:p w14:paraId="1F3685EC"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w:t>
      </w:r>
    </w:p>
  </w:footnote>
  <w:footnote w:id="45">
    <w:p w14:paraId="09BC782B" w14:textId="0A0A0467" w:rsidR="00386BF0" w:rsidRDefault="00386BF0">
      <w:pPr>
        <w:pStyle w:val="FootnoteText"/>
      </w:pPr>
      <w:r w:rsidRPr="00AD67E0">
        <w:rPr>
          <w:rStyle w:val="FootnoteReference"/>
          <w:rFonts w:ascii="Times New Roman" w:hAnsi="Times New Roman" w:cs="Times New Roman"/>
        </w:rPr>
        <w:footnoteRef/>
      </w:r>
      <w:r w:rsidR="006E5281" w:rsidRPr="00AD67E0">
        <w:rPr>
          <w:rFonts w:ascii="Times New Roman" w:hAnsi="Times New Roman" w:cs="Times New Roman"/>
        </w:rPr>
        <w:t xml:space="preserve"> Grainger, J.D. </w:t>
      </w:r>
      <w:r w:rsidR="006E5281" w:rsidRPr="00AD67E0">
        <w:rPr>
          <w:rFonts w:ascii="Times New Roman" w:hAnsi="Times New Roman" w:cs="Times New Roman"/>
          <w:i/>
        </w:rPr>
        <w:t>The Roman War of Antiochus the Great,</w:t>
      </w:r>
      <w:r w:rsidR="006E5281" w:rsidRPr="00AD67E0">
        <w:rPr>
          <w:rFonts w:ascii="Times New Roman" w:hAnsi="Times New Roman" w:cs="Times New Roman"/>
        </w:rPr>
        <w:t xml:space="preserve"> (Boston: Brill Publishers, 2012), p. 314</w:t>
      </w:r>
    </w:p>
  </w:footnote>
  <w:footnote w:id="46">
    <w:p w14:paraId="1E5ABD66" w14:textId="77777777"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Polybius 5.79-82</w:t>
      </w:r>
    </w:p>
  </w:footnote>
  <w:footnote w:id="47">
    <w:p w14:paraId="1A20B93D" w14:textId="43925A3D"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rPr>
        <w:t xml:space="preserve">Grainger, J.D. </w:t>
      </w:r>
      <w:r w:rsidR="00B36F3F" w:rsidRPr="00AD67E0">
        <w:rPr>
          <w:rFonts w:ascii="Times New Roman" w:hAnsi="Times New Roman" w:cs="Times New Roman"/>
          <w:i/>
        </w:rPr>
        <w:t>Great Power Diplomacy in the Hellenistic World,</w:t>
      </w:r>
      <w:r w:rsidR="00B36F3F" w:rsidRPr="00AD67E0">
        <w:rPr>
          <w:rFonts w:ascii="Times New Roman" w:hAnsi="Times New Roman" w:cs="Times New Roman"/>
        </w:rPr>
        <w:t xml:space="preserve"> (London: Routledge, 2017), p. 192</w:t>
      </w:r>
    </w:p>
  </w:footnote>
  <w:footnote w:id="48">
    <w:p w14:paraId="746F2210" w14:textId="24D14B21" w:rsidR="00386BF0" w:rsidRPr="00AD67E0" w:rsidRDefault="00386BF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rPr>
        <w:t>Bar-</w:t>
      </w:r>
      <w:proofErr w:type="spellStart"/>
      <w:r w:rsidR="00B36F3F" w:rsidRPr="00AD67E0">
        <w:rPr>
          <w:rFonts w:ascii="Times New Roman" w:hAnsi="Times New Roman" w:cs="Times New Roman"/>
        </w:rPr>
        <w:t>Kochva</w:t>
      </w:r>
      <w:proofErr w:type="spellEnd"/>
      <w:r w:rsidR="00B36F3F" w:rsidRPr="00AD67E0">
        <w:rPr>
          <w:rFonts w:ascii="Times New Roman" w:hAnsi="Times New Roman" w:cs="Times New Roman"/>
        </w:rPr>
        <w:t xml:space="preserve">, B. </w:t>
      </w:r>
      <w:r w:rsidR="00B36F3F" w:rsidRPr="00AD67E0">
        <w:rPr>
          <w:rFonts w:ascii="Times New Roman" w:hAnsi="Times New Roman" w:cs="Times New Roman"/>
          <w:i/>
        </w:rPr>
        <w:t>The Seleucid Army: Organization &amp; tactics in the Great Campaigns,</w:t>
      </w:r>
      <w:r w:rsidR="00B36F3F" w:rsidRPr="00AD67E0">
        <w:rPr>
          <w:rFonts w:ascii="Times New Roman" w:hAnsi="Times New Roman" w:cs="Times New Roman"/>
        </w:rPr>
        <w:t xml:space="preserve"> (</w:t>
      </w:r>
      <w:proofErr w:type="spellStart"/>
      <w:r w:rsidR="00B36F3F" w:rsidRPr="00AD67E0">
        <w:rPr>
          <w:rFonts w:ascii="Times New Roman" w:hAnsi="Times New Roman" w:cs="Times New Roman"/>
        </w:rPr>
        <w:t>Cambride</w:t>
      </w:r>
      <w:proofErr w:type="spellEnd"/>
      <w:r w:rsidR="00B36F3F" w:rsidRPr="00AD67E0">
        <w:rPr>
          <w:rFonts w:ascii="Times New Roman" w:hAnsi="Times New Roman" w:cs="Times New Roman"/>
        </w:rPr>
        <w:t>: Cambridge University Press, 1976), p. 166</w:t>
      </w:r>
    </w:p>
  </w:footnote>
  <w:footnote w:id="49">
    <w:p w14:paraId="667AB5E6" w14:textId="35CD6659" w:rsidR="003122E6" w:rsidRPr="00AD67E0" w:rsidRDefault="003122E6">
      <w:pPr>
        <w:pStyle w:val="FootnoteText"/>
        <w:rPr>
          <w:rFonts w:ascii="Times New Roman" w:hAnsi="Times New Roman" w:cs="Times New Roman"/>
        </w:rPr>
      </w:pPr>
      <w:r w:rsidRPr="00AD67E0">
        <w:rPr>
          <w:rStyle w:val="FootnoteReference"/>
          <w:rFonts w:ascii="Times New Roman" w:hAnsi="Times New Roman" w:cs="Times New Roman"/>
        </w:rPr>
        <w:footnoteRef/>
      </w:r>
      <w:r w:rsidR="00796F89" w:rsidRPr="00AD67E0">
        <w:rPr>
          <w:rFonts w:ascii="Times New Roman" w:hAnsi="Times New Roman" w:cs="Times New Roman"/>
          <w:i/>
        </w:rPr>
        <w:t xml:space="preserve"> Ibid.</w:t>
      </w:r>
      <w:r w:rsidR="00B36F3F" w:rsidRPr="00AD67E0">
        <w:rPr>
          <w:rFonts w:ascii="Times New Roman" w:hAnsi="Times New Roman" w:cs="Times New Roman"/>
        </w:rPr>
        <w:t>, p. 167</w:t>
      </w:r>
    </w:p>
  </w:footnote>
  <w:footnote w:id="50">
    <w:p w14:paraId="0CA11C96" w14:textId="7144D1B1" w:rsidR="003122E6" w:rsidRPr="00AD67E0" w:rsidRDefault="003122E6" w:rsidP="00AD67E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rPr>
        <w:t>Bar-</w:t>
      </w:r>
      <w:proofErr w:type="spellStart"/>
      <w:r w:rsidR="00B36F3F" w:rsidRPr="00AD67E0">
        <w:rPr>
          <w:rFonts w:ascii="Times New Roman" w:hAnsi="Times New Roman" w:cs="Times New Roman"/>
        </w:rPr>
        <w:t>Kochva</w:t>
      </w:r>
      <w:proofErr w:type="spellEnd"/>
      <w:r w:rsidR="00B36F3F" w:rsidRPr="00AD67E0">
        <w:rPr>
          <w:rFonts w:ascii="Times New Roman" w:hAnsi="Times New Roman" w:cs="Times New Roman"/>
        </w:rPr>
        <w:t xml:space="preserve">, B. </w:t>
      </w:r>
      <w:r w:rsidR="00B36F3F" w:rsidRPr="00AD67E0">
        <w:rPr>
          <w:rFonts w:ascii="Times New Roman" w:hAnsi="Times New Roman" w:cs="Times New Roman"/>
          <w:i/>
        </w:rPr>
        <w:t>The Seleucid Army: Organization &amp; tactics in the Great Campaigns,</w:t>
      </w:r>
      <w:r w:rsidR="00B36F3F" w:rsidRPr="00AD67E0">
        <w:rPr>
          <w:rFonts w:ascii="Times New Roman" w:hAnsi="Times New Roman" w:cs="Times New Roman"/>
        </w:rPr>
        <w:t xml:space="preserve"> (</w:t>
      </w:r>
      <w:proofErr w:type="spellStart"/>
      <w:r w:rsidR="00B36F3F" w:rsidRPr="00AD67E0">
        <w:rPr>
          <w:rFonts w:ascii="Times New Roman" w:hAnsi="Times New Roman" w:cs="Times New Roman"/>
        </w:rPr>
        <w:t>Cambride</w:t>
      </w:r>
      <w:proofErr w:type="spellEnd"/>
      <w:r w:rsidR="00B36F3F" w:rsidRPr="00AD67E0">
        <w:rPr>
          <w:rFonts w:ascii="Times New Roman" w:hAnsi="Times New Roman" w:cs="Times New Roman"/>
        </w:rPr>
        <w:t>: Cambridge University Press, 1976), p. 168</w:t>
      </w:r>
    </w:p>
  </w:footnote>
  <w:footnote w:id="51">
    <w:p w14:paraId="1BD26CC7" w14:textId="77777777" w:rsidR="003122E6" w:rsidRPr="00AD67E0" w:rsidRDefault="003122E6" w:rsidP="00AD67E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Livy 37.40, Appian Syrian war 32</w:t>
      </w:r>
    </w:p>
  </w:footnote>
  <w:footnote w:id="52">
    <w:p w14:paraId="41E3BF2F" w14:textId="0BEC7305" w:rsidR="00B36F3F" w:rsidRPr="00AD67E0" w:rsidRDefault="001F0FDB" w:rsidP="00AD67E0">
      <w:pPr>
        <w:pStyle w:val="FootnoteText"/>
        <w:rPr>
          <w:rFonts w:ascii="Times New Roman" w:hAnsi="Times New Roman" w:cs="Times New Roman"/>
        </w:rPr>
      </w:pPr>
      <w:r w:rsidRPr="00AD67E0">
        <w:rPr>
          <w:rStyle w:val="FootnoteReference"/>
          <w:rFonts w:ascii="Times New Roman" w:hAnsi="Times New Roman" w:cs="Times New Roman"/>
        </w:rPr>
        <w:footnoteRef/>
      </w:r>
      <w:r w:rsidRPr="00AD67E0">
        <w:rPr>
          <w:rFonts w:ascii="Times New Roman" w:hAnsi="Times New Roman" w:cs="Times New Roman"/>
        </w:rPr>
        <w:t xml:space="preserve"> </w:t>
      </w:r>
      <w:r w:rsidR="00B36F3F" w:rsidRPr="00AD67E0">
        <w:rPr>
          <w:rFonts w:ascii="Times New Roman" w:hAnsi="Times New Roman" w:cs="Times New Roman"/>
        </w:rPr>
        <w:t>Bar-</w:t>
      </w:r>
      <w:proofErr w:type="spellStart"/>
      <w:r w:rsidR="00B36F3F" w:rsidRPr="00AD67E0">
        <w:rPr>
          <w:rFonts w:ascii="Times New Roman" w:hAnsi="Times New Roman" w:cs="Times New Roman"/>
        </w:rPr>
        <w:t>Kochva</w:t>
      </w:r>
      <w:proofErr w:type="spellEnd"/>
      <w:r w:rsidR="00B36F3F" w:rsidRPr="00AD67E0">
        <w:rPr>
          <w:rFonts w:ascii="Times New Roman" w:hAnsi="Times New Roman" w:cs="Times New Roman"/>
        </w:rPr>
        <w:t xml:space="preserve">, B. </w:t>
      </w:r>
      <w:r w:rsidR="00B36F3F" w:rsidRPr="00AD67E0">
        <w:rPr>
          <w:rFonts w:ascii="Times New Roman" w:hAnsi="Times New Roman" w:cs="Times New Roman"/>
          <w:i/>
        </w:rPr>
        <w:t>The Seleucid Army: Organization &amp; tactics in the Great Campaigns,</w:t>
      </w:r>
      <w:r w:rsidR="00B36F3F" w:rsidRPr="00AD67E0">
        <w:rPr>
          <w:rFonts w:ascii="Times New Roman" w:hAnsi="Times New Roman" w:cs="Times New Roman"/>
        </w:rPr>
        <w:t xml:space="preserve"> (</w:t>
      </w:r>
      <w:proofErr w:type="spellStart"/>
      <w:r w:rsidR="00B36F3F" w:rsidRPr="00AD67E0">
        <w:rPr>
          <w:rFonts w:ascii="Times New Roman" w:hAnsi="Times New Roman" w:cs="Times New Roman"/>
        </w:rPr>
        <w:t>Cambride</w:t>
      </w:r>
      <w:proofErr w:type="spellEnd"/>
      <w:r w:rsidR="00B36F3F" w:rsidRPr="00AD67E0">
        <w:rPr>
          <w:rFonts w:ascii="Times New Roman" w:hAnsi="Times New Roman" w:cs="Times New Roman"/>
        </w:rPr>
        <w:t>: Cambridge University Press, 1976), p. 50</w:t>
      </w:r>
    </w:p>
    <w:p w14:paraId="72A3D04D" w14:textId="77777777" w:rsidR="001F0FDB" w:rsidRDefault="001F0FD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D97EA" w14:textId="77777777" w:rsidR="00386BF0" w:rsidRDefault="00386BF0">
    <w:pPr>
      <w:pStyle w:val="Header"/>
    </w:pPr>
    <w:r>
      <w:t>Alex Elliott</w:t>
    </w:r>
  </w:p>
  <w:p w14:paraId="42B9C89F" w14:textId="77777777" w:rsidR="00386BF0" w:rsidRDefault="00386BF0">
    <w:pPr>
      <w:pStyle w:val="Header"/>
    </w:pPr>
    <w:r>
      <w:t>1500087</w:t>
    </w:r>
  </w:p>
  <w:p w14:paraId="6C5242B7" w14:textId="77777777" w:rsidR="00386BF0" w:rsidRDefault="00386BF0">
    <w:pPr>
      <w:pStyle w:val="Header"/>
    </w:pPr>
    <w:r>
      <w:t>CLAH7010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1258B"/>
    <w:multiLevelType w:val="hybridMultilevel"/>
    <w:tmpl w:val="23BC6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F6F9C"/>
    <w:multiLevelType w:val="hybridMultilevel"/>
    <w:tmpl w:val="232EF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0DA"/>
    <w:rsid w:val="00021254"/>
    <w:rsid w:val="00046891"/>
    <w:rsid w:val="00063D28"/>
    <w:rsid w:val="00074204"/>
    <w:rsid w:val="000B33AC"/>
    <w:rsid w:val="000F578F"/>
    <w:rsid w:val="001360E0"/>
    <w:rsid w:val="00161E78"/>
    <w:rsid w:val="00183DE7"/>
    <w:rsid w:val="00191B6A"/>
    <w:rsid w:val="001A3D86"/>
    <w:rsid w:val="001A6874"/>
    <w:rsid w:val="001F0FDB"/>
    <w:rsid w:val="00205A38"/>
    <w:rsid w:val="002178FA"/>
    <w:rsid w:val="002738FD"/>
    <w:rsid w:val="002A1DD2"/>
    <w:rsid w:val="00301E77"/>
    <w:rsid w:val="003122E6"/>
    <w:rsid w:val="003216EC"/>
    <w:rsid w:val="00386BF0"/>
    <w:rsid w:val="003A1083"/>
    <w:rsid w:val="003D7D1B"/>
    <w:rsid w:val="003D7F61"/>
    <w:rsid w:val="003E2119"/>
    <w:rsid w:val="00440089"/>
    <w:rsid w:val="004B3A08"/>
    <w:rsid w:val="004F5152"/>
    <w:rsid w:val="00551812"/>
    <w:rsid w:val="005F3110"/>
    <w:rsid w:val="00602485"/>
    <w:rsid w:val="006544ED"/>
    <w:rsid w:val="00664D47"/>
    <w:rsid w:val="00684584"/>
    <w:rsid w:val="006C2B8A"/>
    <w:rsid w:val="006D7E9E"/>
    <w:rsid w:val="006E5281"/>
    <w:rsid w:val="007308C5"/>
    <w:rsid w:val="00796F89"/>
    <w:rsid w:val="007D2DFA"/>
    <w:rsid w:val="007E5984"/>
    <w:rsid w:val="007E66DB"/>
    <w:rsid w:val="00820CF1"/>
    <w:rsid w:val="008350A2"/>
    <w:rsid w:val="00843D1B"/>
    <w:rsid w:val="0086009A"/>
    <w:rsid w:val="008732A1"/>
    <w:rsid w:val="00886824"/>
    <w:rsid w:val="008C1EF5"/>
    <w:rsid w:val="008E49FC"/>
    <w:rsid w:val="009823A9"/>
    <w:rsid w:val="009903C3"/>
    <w:rsid w:val="00A46AEE"/>
    <w:rsid w:val="00A857F0"/>
    <w:rsid w:val="00AD67E0"/>
    <w:rsid w:val="00AF10E3"/>
    <w:rsid w:val="00B36F3F"/>
    <w:rsid w:val="00B50106"/>
    <w:rsid w:val="00B56546"/>
    <w:rsid w:val="00B94932"/>
    <w:rsid w:val="00BA7290"/>
    <w:rsid w:val="00BC252F"/>
    <w:rsid w:val="00BD7E8A"/>
    <w:rsid w:val="00BE40DA"/>
    <w:rsid w:val="00C2627F"/>
    <w:rsid w:val="00C549A9"/>
    <w:rsid w:val="00C66A91"/>
    <w:rsid w:val="00C80B95"/>
    <w:rsid w:val="00CC6FD8"/>
    <w:rsid w:val="00CD11DC"/>
    <w:rsid w:val="00D1544B"/>
    <w:rsid w:val="00D41410"/>
    <w:rsid w:val="00D9272E"/>
    <w:rsid w:val="00D954D2"/>
    <w:rsid w:val="00D97D51"/>
    <w:rsid w:val="00E1492D"/>
    <w:rsid w:val="00E32412"/>
    <w:rsid w:val="00E427FE"/>
    <w:rsid w:val="00F33CCC"/>
    <w:rsid w:val="00F64C95"/>
    <w:rsid w:val="00F71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5B3C8"/>
  <w15:chartTrackingRefBased/>
  <w15:docId w15:val="{72663D76-A80B-4F01-BA0F-F929CB305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40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0D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0B33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33AC"/>
    <w:rPr>
      <w:sz w:val="20"/>
      <w:szCs w:val="20"/>
    </w:rPr>
  </w:style>
  <w:style w:type="character" w:styleId="FootnoteReference">
    <w:name w:val="footnote reference"/>
    <w:basedOn w:val="DefaultParagraphFont"/>
    <w:uiPriority w:val="99"/>
    <w:semiHidden/>
    <w:unhideWhenUsed/>
    <w:rsid w:val="000B33AC"/>
    <w:rPr>
      <w:vertAlign w:val="superscript"/>
    </w:rPr>
  </w:style>
  <w:style w:type="paragraph" w:styleId="Header">
    <w:name w:val="header"/>
    <w:basedOn w:val="Normal"/>
    <w:link w:val="HeaderChar"/>
    <w:uiPriority w:val="99"/>
    <w:unhideWhenUsed/>
    <w:rsid w:val="00074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204"/>
  </w:style>
  <w:style w:type="paragraph" w:styleId="Footer">
    <w:name w:val="footer"/>
    <w:basedOn w:val="Normal"/>
    <w:link w:val="FooterChar"/>
    <w:uiPriority w:val="99"/>
    <w:unhideWhenUsed/>
    <w:rsid w:val="00074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204"/>
  </w:style>
  <w:style w:type="paragraph" w:styleId="ListParagraph">
    <w:name w:val="List Paragraph"/>
    <w:basedOn w:val="Normal"/>
    <w:uiPriority w:val="34"/>
    <w:qFormat/>
    <w:rsid w:val="00B36F3F"/>
    <w:pPr>
      <w:ind w:left="720"/>
      <w:contextualSpacing/>
    </w:pPr>
  </w:style>
  <w:style w:type="character" w:styleId="Hyperlink">
    <w:name w:val="Hyperlink"/>
    <w:basedOn w:val="DefaultParagraphFont"/>
    <w:uiPriority w:val="99"/>
    <w:unhideWhenUsed/>
    <w:rsid w:val="00191B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ius.org/sources/content/appian/appian-the-syrian-w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2AF9C-F6FA-435B-8564-F87D1878D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4853</Words>
  <Characters>27664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10</cp:revision>
  <dcterms:created xsi:type="dcterms:W3CDTF">2019-05-24T22:45:00Z</dcterms:created>
  <dcterms:modified xsi:type="dcterms:W3CDTF">2019-05-24T22:48:00Z</dcterms:modified>
</cp:coreProperties>
</file>