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AF23F" w14:textId="77777777" w:rsidR="007C2490" w:rsidRDefault="007C2490" w:rsidP="00C56F62">
      <w:pPr>
        <w:spacing w:line="360" w:lineRule="auto"/>
        <w:jc w:val="both"/>
        <w:rPr>
          <w:rFonts w:ascii="Arial" w:hAnsi="Arial" w:cs="Arial"/>
          <w:b/>
          <w:sz w:val="24"/>
          <w:szCs w:val="24"/>
        </w:rPr>
      </w:pPr>
    </w:p>
    <w:p w14:paraId="0339890A" w14:textId="11D1C011" w:rsidR="007C2490" w:rsidRDefault="007C2490" w:rsidP="00C56F62">
      <w:pPr>
        <w:spacing w:line="360" w:lineRule="auto"/>
        <w:jc w:val="both"/>
        <w:rPr>
          <w:rFonts w:ascii="Arial" w:hAnsi="Arial" w:cs="Arial"/>
          <w:b/>
          <w:sz w:val="24"/>
          <w:szCs w:val="24"/>
        </w:rPr>
      </w:pPr>
      <w:r>
        <w:rPr>
          <w:noProof/>
        </w:rPr>
        <w:drawing>
          <wp:inline distT="0" distB="0" distL="0" distR="0" wp14:anchorId="36C1F5E9" wp14:editId="23F796EB">
            <wp:extent cx="5972175" cy="2438400"/>
            <wp:effectExtent l="0" t="0" r="0" b="0"/>
            <wp:docPr id="9177566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756662"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78956" cy="2441169"/>
                    </a:xfrm>
                    <a:prstGeom prst="rect">
                      <a:avLst/>
                    </a:prstGeom>
                  </pic:spPr>
                </pic:pic>
              </a:graphicData>
            </a:graphic>
          </wp:inline>
        </w:drawing>
      </w:r>
    </w:p>
    <w:p w14:paraId="4145DC91" w14:textId="47C9E99A" w:rsidR="007C2490" w:rsidRPr="0042175E" w:rsidRDefault="007C2490" w:rsidP="00C56F62">
      <w:pPr>
        <w:spacing w:line="360" w:lineRule="auto"/>
        <w:jc w:val="both"/>
        <w:rPr>
          <w:rFonts w:ascii="Arial" w:hAnsi="Arial" w:cs="Arial"/>
          <w:b/>
          <w:color w:val="4BACC6"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2"/>
            </w14:solidFill>
            <w14:prstDash w14:val="solid"/>
            <w14:round/>
          </w14:textOutline>
        </w:rPr>
      </w:pPr>
      <w:r w:rsidRPr="0042175E">
        <w:rPr>
          <w:rFonts w:ascii="Arial" w:hAnsi="Arial" w:cs="Arial"/>
          <w:b/>
          <w:color w:val="4BACC6"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2"/>
            </w14:solidFill>
            <w14:prstDash w14:val="solid"/>
            <w14:round/>
          </w14:textOutline>
        </w:rPr>
        <w:t xml:space="preserve">                </w:t>
      </w:r>
      <w:r w:rsidR="0042175E" w:rsidRPr="0042175E">
        <w:rPr>
          <w:rFonts w:ascii="Arial" w:hAnsi="Arial" w:cs="Arial"/>
          <w:b/>
          <w:color w:val="4BACC6"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2"/>
            </w14:solidFill>
            <w14:prstDash w14:val="solid"/>
            <w14:round/>
          </w14:textOutline>
        </w:rPr>
        <w:t xml:space="preserve"> </w:t>
      </w:r>
      <w:r w:rsidRPr="0042175E">
        <w:rPr>
          <w:rFonts w:ascii="Arial" w:hAnsi="Arial" w:cs="Arial"/>
          <w:b/>
          <w:color w:val="4BACC6"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2"/>
            </w14:solidFill>
            <w14:prstDash w14:val="solid"/>
            <w14:round/>
          </w14:textOutline>
        </w:rPr>
        <w:t xml:space="preserve"> </w:t>
      </w:r>
      <w:r w:rsidR="0042175E" w:rsidRPr="0042175E">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tx2"/>
            </w14:solidFill>
            <w14:prstDash w14:val="solid"/>
            <w14:round/>
          </w14:textOutline>
        </w:rPr>
        <w:t xml:space="preserve">Assignment Title: Coursework Essay </w:t>
      </w:r>
    </w:p>
    <w:p w14:paraId="11EA5B15" w14:textId="77777777" w:rsidR="0042175E" w:rsidRDefault="0042175E" w:rsidP="00C56F62">
      <w:pPr>
        <w:spacing w:line="360" w:lineRule="auto"/>
        <w:jc w:val="both"/>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FEED114" w14:textId="28139290" w:rsidR="0042175E" w:rsidRDefault="0042175E" w:rsidP="00C56F62">
      <w:pPr>
        <w:spacing w:line="360" w:lineRule="auto"/>
        <w:jc w:val="both"/>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roofErr w:type="spellStart"/>
      <w:r>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Programme</w:t>
      </w:r>
      <w:proofErr w:type="spellEnd"/>
      <w:r>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BA Business Management</w:t>
      </w:r>
    </w:p>
    <w:p w14:paraId="00736C71" w14:textId="5692813D" w:rsidR="0042175E" w:rsidRDefault="0042175E" w:rsidP="00C56F62">
      <w:pPr>
        <w:spacing w:line="360" w:lineRule="auto"/>
        <w:jc w:val="both"/>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Managing People</w:t>
      </w:r>
    </w:p>
    <w:p w14:paraId="16C8E343" w14:textId="0AB9CC5D" w:rsidR="0042175E" w:rsidRDefault="0042175E" w:rsidP="00C56F62">
      <w:pPr>
        <w:spacing w:line="360" w:lineRule="auto"/>
        <w:jc w:val="both"/>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code: LCBB5004</w:t>
      </w:r>
    </w:p>
    <w:p w14:paraId="3271FA96" w14:textId="2745EAA5" w:rsidR="0042175E" w:rsidRDefault="0042175E" w:rsidP="00C56F62">
      <w:pPr>
        <w:spacing w:line="360" w:lineRule="auto"/>
        <w:jc w:val="both"/>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Student name: Desislava Nikolova </w:t>
      </w:r>
    </w:p>
    <w:p w14:paraId="3AED560D" w14:textId="4B6B14BA" w:rsidR="0042175E" w:rsidRDefault="0042175E" w:rsidP="00C56F62">
      <w:pPr>
        <w:spacing w:line="360" w:lineRule="auto"/>
        <w:jc w:val="both"/>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ID:2120861</w:t>
      </w:r>
    </w:p>
    <w:p w14:paraId="2EB0656C" w14:textId="69F8DC30" w:rsidR="00C56F62" w:rsidRPr="0042175E" w:rsidRDefault="00000000" w:rsidP="00C56F62">
      <w:pPr>
        <w:spacing w:line="360" w:lineRule="auto"/>
        <w:jc w:val="both"/>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2175E">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Words: 2, </w:t>
      </w:r>
      <w:r w:rsidR="00C56F62" w:rsidRPr="0042175E">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131</w:t>
      </w:r>
    </w:p>
    <w:p w14:paraId="00199290" w14:textId="77777777" w:rsidR="00C56F62" w:rsidRPr="00C56F62" w:rsidRDefault="00C56F62" w:rsidP="00C56F62">
      <w:pPr>
        <w:spacing w:line="360" w:lineRule="auto"/>
        <w:jc w:val="both"/>
        <w:rPr>
          <w:rFonts w:ascii="Arial" w:hAnsi="Arial" w:cs="Arial"/>
          <w:b/>
          <w:sz w:val="24"/>
          <w:szCs w:val="24"/>
        </w:rPr>
      </w:pPr>
      <w:r w:rsidRPr="00C56F62">
        <w:rPr>
          <w:rFonts w:ascii="Arial" w:hAnsi="Arial" w:cs="Arial"/>
          <w:b/>
          <w:sz w:val="24"/>
          <w:szCs w:val="24"/>
        </w:rPr>
        <w:br w:type="page"/>
      </w:r>
    </w:p>
    <w:sdt>
      <w:sdtPr>
        <w:rPr>
          <w:rFonts w:ascii="Arial" w:eastAsiaTheme="minorHAnsi" w:hAnsi="Arial" w:cs="Arial"/>
          <w:color w:val="auto"/>
          <w:sz w:val="24"/>
          <w:szCs w:val="24"/>
          <w:lang w:val="en-GB" w:eastAsia="en-US"/>
        </w:rPr>
        <w:id w:val="-1409157662"/>
        <w:docPartObj>
          <w:docPartGallery w:val="Table of Contents"/>
          <w:docPartUnique/>
        </w:docPartObj>
      </w:sdtPr>
      <w:sdtEndPr>
        <w:rPr>
          <w:b/>
          <w:bCs/>
        </w:rPr>
      </w:sdtEndPr>
      <w:sdtContent>
        <w:p w14:paraId="35C2DFDE" w14:textId="45187302" w:rsidR="00C56F62" w:rsidRPr="00C56F62" w:rsidRDefault="00C56F62" w:rsidP="00C56F62">
          <w:pPr>
            <w:pStyle w:val="TOCHeading"/>
            <w:spacing w:line="360" w:lineRule="auto"/>
            <w:jc w:val="both"/>
            <w:rPr>
              <w:rFonts w:ascii="Arial" w:hAnsi="Arial" w:cs="Arial"/>
              <w:sz w:val="24"/>
              <w:szCs w:val="24"/>
            </w:rPr>
          </w:pPr>
          <w:r w:rsidRPr="00C56F62">
            <w:rPr>
              <w:rFonts w:ascii="Arial" w:hAnsi="Arial" w:cs="Arial"/>
              <w:sz w:val="24"/>
              <w:szCs w:val="24"/>
              <w:lang w:val="en-GB"/>
            </w:rPr>
            <w:t>Contents</w:t>
          </w:r>
        </w:p>
        <w:p w14:paraId="00488B41" w14:textId="3FF136C7" w:rsidR="00C56F62" w:rsidRDefault="00C56F62">
          <w:pPr>
            <w:pStyle w:val="TOC1"/>
            <w:tabs>
              <w:tab w:val="left" w:pos="440"/>
              <w:tab w:val="right" w:leader="dot" w:pos="9396"/>
            </w:tabs>
            <w:rPr>
              <w:rFonts w:eastAsiaTheme="minorEastAsia"/>
              <w:noProof/>
              <w:kern w:val="2"/>
              <w:lang w:val="bg-BG" w:eastAsia="bg-BG"/>
              <w14:ligatures w14:val="standardContextual"/>
            </w:rPr>
          </w:pPr>
          <w:r w:rsidRPr="00C56F62">
            <w:rPr>
              <w:rFonts w:ascii="Arial" w:hAnsi="Arial" w:cs="Arial"/>
              <w:sz w:val="24"/>
              <w:szCs w:val="24"/>
            </w:rPr>
            <w:fldChar w:fldCharType="begin"/>
          </w:r>
          <w:r w:rsidRPr="00C56F62">
            <w:rPr>
              <w:rFonts w:ascii="Arial" w:hAnsi="Arial" w:cs="Arial"/>
              <w:sz w:val="24"/>
              <w:szCs w:val="24"/>
            </w:rPr>
            <w:instrText xml:space="preserve"> TOC \o "1-3" \h \z \u </w:instrText>
          </w:r>
          <w:r w:rsidRPr="00C56F62">
            <w:rPr>
              <w:rFonts w:ascii="Arial" w:hAnsi="Arial" w:cs="Arial"/>
              <w:sz w:val="24"/>
              <w:szCs w:val="24"/>
            </w:rPr>
            <w:fldChar w:fldCharType="separate"/>
          </w:r>
          <w:hyperlink w:anchor="_Toc143187773" w:history="1">
            <w:r w:rsidRPr="008A1E45">
              <w:rPr>
                <w:rStyle w:val="Hyperlink"/>
                <w:rFonts w:ascii="Arial" w:hAnsi="Arial" w:cs="Arial"/>
                <w:b/>
                <w:noProof/>
              </w:rPr>
              <w:t>1.</w:t>
            </w:r>
            <w:r>
              <w:rPr>
                <w:rFonts w:eastAsiaTheme="minorEastAsia"/>
                <w:noProof/>
                <w:kern w:val="2"/>
                <w:lang w:val="bg-BG" w:eastAsia="bg-BG"/>
                <w14:ligatures w14:val="standardContextual"/>
              </w:rPr>
              <w:tab/>
            </w:r>
            <w:r w:rsidRPr="008A1E45">
              <w:rPr>
                <w:rStyle w:val="Hyperlink"/>
                <w:rFonts w:ascii="Arial" w:hAnsi="Arial" w:cs="Arial"/>
                <w:b/>
                <w:noProof/>
              </w:rPr>
              <w:t>Causes and effects of employee attrition within the Nursing Industry in the UK</w:t>
            </w:r>
            <w:r>
              <w:rPr>
                <w:noProof/>
                <w:webHidden/>
              </w:rPr>
              <w:tab/>
            </w:r>
            <w:r>
              <w:rPr>
                <w:noProof/>
                <w:webHidden/>
              </w:rPr>
              <w:fldChar w:fldCharType="begin"/>
            </w:r>
            <w:r>
              <w:rPr>
                <w:noProof/>
                <w:webHidden/>
              </w:rPr>
              <w:instrText xml:space="preserve"> PAGEREF _Toc143187773 \h </w:instrText>
            </w:r>
            <w:r>
              <w:rPr>
                <w:noProof/>
                <w:webHidden/>
              </w:rPr>
            </w:r>
            <w:r>
              <w:rPr>
                <w:noProof/>
                <w:webHidden/>
              </w:rPr>
              <w:fldChar w:fldCharType="separate"/>
            </w:r>
            <w:r>
              <w:rPr>
                <w:noProof/>
                <w:webHidden/>
              </w:rPr>
              <w:t>3</w:t>
            </w:r>
            <w:r>
              <w:rPr>
                <w:noProof/>
                <w:webHidden/>
              </w:rPr>
              <w:fldChar w:fldCharType="end"/>
            </w:r>
          </w:hyperlink>
        </w:p>
        <w:p w14:paraId="7A12F196" w14:textId="080B1A5D" w:rsidR="00C56F62" w:rsidRDefault="00000000">
          <w:pPr>
            <w:pStyle w:val="TOC1"/>
            <w:tabs>
              <w:tab w:val="left" w:pos="440"/>
              <w:tab w:val="right" w:leader="dot" w:pos="9396"/>
            </w:tabs>
            <w:rPr>
              <w:rFonts w:eastAsiaTheme="minorEastAsia"/>
              <w:noProof/>
              <w:kern w:val="2"/>
              <w:lang w:val="bg-BG" w:eastAsia="bg-BG"/>
              <w14:ligatures w14:val="standardContextual"/>
            </w:rPr>
          </w:pPr>
          <w:hyperlink w:anchor="_Toc143187774" w:history="1">
            <w:r w:rsidR="00C56F62" w:rsidRPr="008A1E45">
              <w:rPr>
                <w:rStyle w:val="Hyperlink"/>
                <w:rFonts w:ascii="Arial" w:hAnsi="Arial" w:cs="Arial"/>
                <w:b/>
                <w:noProof/>
              </w:rPr>
              <w:t>2.</w:t>
            </w:r>
            <w:r w:rsidR="00C56F62">
              <w:rPr>
                <w:rFonts w:eastAsiaTheme="minorEastAsia"/>
                <w:noProof/>
                <w:kern w:val="2"/>
                <w:lang w:val="bg-BG" w:eastAsia="bg-BG"/>
                <w14:ligatures w14:val="standardContextual"/>
              </w:rPr>
              <w:tab/>
            </w:r>
            <w:r w:rsidR="00C56F62" w:rsidRPr="008A1E45">
              <w:rPr>
                <w:rStyle w:val="Hyperlink"/>
                <w:rFonts w:ascii="Arial" w:hAnsi="Arial" w:cs="Arial"/>
                <w:b/>
                <w:noProof/>
              </w:rPr>
              <w:t>Monetary and Non-monetary existing retention schemes used by NHS</w:t>
            </w:r>
            <w:r w:rsidR="00C56F62">
              <w:rPr>
                <w:noProof/>
                <w:webHidden/>
              </w:rPr>
              <w:tab/>
            </w:r>
            <w:r w:rsidR="00C56F62">
              <w:rPr>
                <w:noProof/>
                <w:webHidden/>
              </w:rPr>
              <w:fldChar w:fldCharType="begin"/>
            </w:r>
            <w:r w:rsidR="00C56F62">
              <w:rPr>
                <w:noProof/>
                <w:webHidden/>
              </w:rPr>
              <w:instrText xml:space="preserve"> PAGEREF _Toc143187774 \h </w:instrText>
            </w:r>
            <w:r w:rsidR="00C56F62">
              <w:rPr>
                <w:noProof/>
                <w:webHidden/>
              </w:rPr>
            </w:r>
            <w:r w:rsidR="00C56F62">
              <w:rPr>
                <w:noProof/>
                <w:webHidden/>
              </w:rPr>
              <w:fldChar w:fldCharType="separate"/>
            </w:r>
            <w:r w:rsidR="00C56F62">
              <w:rPr>
                <w:noProof/>
                <w:webHidden/>
              </w:rPr>
              <w:t>5</w:t>
            </w:r>
            <w:r w:rsidR="00C56F62">
              <w:rPr>
                <w:noProof/>
                <w:webHidden/>
              </w:rPr>
              <w:fldChar w:fldCharType="end"/>
            </w:r>
          </w:hyperlink>
        </w:p>
        <w:p w14:paraId="43CAF171" w14:textId="214F4255" w:rsidR="00C56F62" w:rsidRDefault="00000000">
          <w:pPr>
            <w:pStyle w:val="TOC1"/>
            <w:tabs>
              <w:tab w:val="left" w:pos="440"/>
              <w:tab w:val="right" w:leader="dot" w:pos="9396"/>
            </w:tabs>
            <w:rPr>
              <w:rFonts w:eastAsiaTheme="minorEastAsia"/>
              <w:noProof/>
              <w:kern w:val="2"/>
              <w:lang w:val="bg-BG" w:eastAsia="bg-BG"/>
              <w14:ligatures w14:val="standardContextual"/>
            </w:rPr>
          </w:pPr>
          <w:hyperlink w:anchor="_Toc143187775" w:history="1">
            <w:r w:rsidR="00C56F62" w:rsidRPr="008A1E45">
              <w:rPr>
                <w:rStyle w:val="Hyperlink"/>
                <w:rFonts w:ascii="Arial" w:hAnsi="Arial" w:cs="Arial"/>
                <w:b/>
                <w:noProof/>
              </w:rPr>
              <w:t>3.</w:t>
            </w:r>
            <w:r w:rsidR="00C56F62">
              <w:rPr>
                <w:rFonts w:eastAsiaTheme="minorEastAsia"/>
                <w:noProof/>
                <w:kern w:val="2"/>
                <w:lang w:val="bg-BG" w:eastAsia="bg-BG"/>
                <w14:ligatures w14:val="standardContextual"/>
              </w:rPr>
              <w:tab/>
            </w:r>
            <w:r w:rsidR="00C56F62" w:rsidRPr="008A1E45">
              <w:rPr>
                <w:rStyle w:val="Hyperlink"/>
                <w:rFonts w:ascii="Arial" w:hAnsi="Arial" w:cs="Arial"/>
                <w:b/>
                <w:noProof/>
              </w:rPr>
              <w:t>Recommendations</w:t>
            </w:r>
            <w:r w:rsidR="00C56F62">
              <w:rPr>
                <w:noProof/>
                <w:webHidden/>
              </w:rPr>
              <w:tab/>
            </w:r>
            <w:r w:rsidR="00C56F62">
              <w:rPr>
                <w:noProof/>
                <w:webHidden/>
              </w:rPr>
              <w:fldChar w:fldCharType="begin"/>
            </w:r>
            <w:r w:rsidR="00C56F62">
              <w:rPr>
                <w:noProof/>
                <w:webHidden/>
              </w:rPr>
              <w:instrText xml:space="preserve"> PAGEREF _Toc143187775 \h </w:instrText>
            </w:r>
            <w:r w:rsidR="00C56F62">
              <w:rPr>
                <w:noProof/>
                <w:webHidden/>
              </w:rPr>
            </w:r>
            <w:r w:rsidR="00C56F62">
              <w:rPr>
                <w:noProof/>
                <w:webHidden/>
              </w:rPr>
              <w:fldChar w:fldCharType="separate"/>
            </w:r>
            <w:r w:rsidR="00C56F62">
              <w:rPr>
                <w:noProof/>
                <w:webHidden/>
              </w:rPr>
              <w:t>7</w:t>
            </w:r>
            <w:r w:rsidR="00C56F62">
              <w:rPr>
                <w:noProof/>
                <w:webHidden/>
              </w:rPr>
              <w:fldChar w:fldCharType="end"/>
            </w:r>
          </w:hyperlink>
        </w:p>
        <w:p w14:paraId="5B9D5E21" w14:textId="342D38BD" w:rsidR="00C56F62" w:rsidRDefault="00000000">
          <w:pPr>
            <w:pStyle w:val="TOC1"/>
            <w:tabs>
              <w:tab w:val="left" w:pos="440"/>
              <w:tab w:val="right" w:leader="dot" w:pos="9396"/>
            </w:tabs>
            <w:rPr>
              <w:rFonts w:eastAsiaTheme="minorEastAsia"/>
              <w:noProof/>
              <w:kern w:val="2"/>
              <w:lang w:val="bg-BG" w:eastAsia="bg-BG"/>
              <w14:ligatures w14:val="standardContextual"/>
            </w:rPr>
          </w:pPr>
          <w:hyperlink w:anchor="_Toc143187776" w:history="1">
            <w:r w:rsidR="00C56F62" w:rsidRPr="008A1E45">
              <w:rPr>
                <w:rStyle w:val="Hyperlink"/>
                <w:rFonts w:ascii="Arial" w:hAnsi="Arial" w:cs="Arial"/>
                <w:b/>
                <w:noProof/>
              </w:rPr>
              <w:t>4.</w:t>
            </w:r>
            <w:r w:rsidR="00C56F62">
              <w:rPr>
                <w:rFonts w:eastAsiaTheme="minorEastAsia"/>
                <w:noProof/>
                <w:kern w:val="2"/>
                <w:lang w:val="bg-BG" w:eastAsia="bg-BG"/>
                <w14:ligatures w14:val="standardContextual"/>
              </w:rPr>
              <w:tab/>
            </w:r>
            <w:r w:rsidR="00C56F62" w:rsidRPr="008A1E45">
              <w:rPr>
                <w:rStyle w:val="Hyperlink"/>
                <w:rFonts w:ascii="Arial" w:hAnsi="Arial" w:cs="Arial"/>
                <w:b/>
                <w:noProof/>
              </w:rPr>
              <w:t>References</w:t>
            </w:r>
            <w:r w:rsidR="00C56F62">
              <w:rPr>
                <w:noProof/>
                <w:webHidden/>
              </w:rPr>
              <w:tab/>
            </w:r>
            <w:r w:rsidR="00C56F62">
              <w:rPr>
                <w:noProof/>
                <w:webHidden/>
              </w:rPr>
              <w:fldChar w:fldCharType="begin"/>
            </w:r>
            <w:r w:rsidR="00C56F62">
              <w:rPr>
                <w:noProof/>
                <w:webHidden/>
              </w:rPr>
              <w:instrText xml:space="preserve"> PAGEREF _Toc143187776 \h </w:instrText>
            </w:r>
            <w:r w:rsidR="00C56F62">
              <w:rPr>
                <w:noProof/>
                <w:webHidden/>
              </w:rPr>
            </w:r>
            <w:r w:rsidR="00C56F62">
              <w:rPr>
                <w:noProof/>
                <w:webHidden/>
              </w:rPr>
              <w:fldChar w:fldCharType="separate"/>
            </w:r>
            <w:r w:rsidR="00C56F62">
              <w:rPr>
                <w:noProof/>
                <w:webHidden/>
              </w:rPr>
              <w:t>9</w:t>
            </w:r>
            <w:r w:rsidR="00C56F62">
              <w:rPr>
                <w:noProof/>
                <w:webHidden/>
              </w:rPr>
              <w:fldChar w:fldCharType="end"/>
            </w:r>
          </w:hyperlink>
        </w:p>
        <w:p w14:paraId="10132397" w14:textId="3F310F46" w:rsidR="00C56F62" w:rsidRPr="00C56F62" w:rsidRDefault="00C56F62" w:rsidP="00C56F62">
          <w:pPr>
            <w:spacing w:line="360" w:lineRule="auto"/>
            <w:jc w:val="both"/>
            <w:rPr>
              <w:rFonts w:ascii="Arial" w:hAnsi="Arial" w:cs="Arial"/>
              <w:sz w:val="24"/>
              <w:szCs w:val="24"/>
            </w:rPr>
          </w:pPr>
          <w:r w:rsidRPr="00C56F62">
            <w:rPr>
              <w:rFonts w:ascii="Arial" w:hAnsi="Arial" w:cs="Arial"/>
              <w:b/>
              <w:bCs/>
              <w:sz w:val="24"/>
              <w:szCs w:val="24"/>
              <w:lang w:val="en-GB"/>
            </w:rPr>
            <w:fldChar w:fldCharType="end"/>
          </w:r>
        </w:p>
      </w:sdtContent>
    </w:sdt>
    <w:p w14:paraId="7700088D" w14:textId="402FAD56" w:rsidR="00130792" w:rsidRPr="00C56F62" w:rsidRDefault="00000000" w:rsidP="00C56F62">
      <w:pPr>
        <w:spacing w:line="360" w:lineRule="auto"/>
        <w:jc w:val="both"/>
        <w:rPr>
          <w:rFonts w:ascii="Arial" w:hAnsi="Arial" w:cs="Arial"/>
          <w:b/>
          <w:sz w:val="24"/>
          <w:szCs w:val="24"/>
        </w:rPr>
      </w:pPr>
      <w:r w:rsidRPr="00C56F62">
        <w:rPr>
          <w:rFonts w:ascii="Arial" w:hAnsi="Arial" w:cs="Arial"/>
          <w:b/>
          <w:sz w:val="24"/>
          <w:szCs w:val="24"/>
        </w:rPr>
        <w:br w:type="page"/>
      </w:r>
    </w:p>
    <w:p w14:paraId="5754F019" w14:textId="77777777" w:rsidR="002F1047" w:rsidRPr="00C56F62" w:rsidRDefault="00000000" w:rsidP="00C56F62">
      <w:pPr>
        <w:pStyle w:val="ListParagraph"/>
        <w:numPr>
          <w:ilvl w:val="0"/>
          <w:numId w:val="1"/>
        </w:numPr>
        <w:spacing w:line="360" w:lineRule="auto"/>
        <w:jc w:val="both"/>
        <w:outlineLvl w:val="0"/>
        <w:rPr>
          <w:rFonts w:ascii="Arial" w:hAnsi="Arial" w:cs="Arial"/>
          <w:b/>
          <w:sz w:val="24"/>
          <w:szCs w:val="24"/>
        </w:rPr>
      </w:pPr>
      <w:bookmarkStart w:id="0" w:name="_Toc143187773"/>
      <w:r w:rsidRPr="00C56F62">
        <w:rPr>
          <w:rFonts w:ascii="Arial" w:hAnsi="Arial" w:cs="Arial"/>
          <w:b/>
          <w:sz w:val="24"/>
          <w:szCs w:val="24"/>
        </w:rPr>
        <w:lastRenderedPageBreak/>
        <w:t>Causes and effects of employee attrition within the Nursing Industry in the UK</w:t>
      </w:r>
      <w:bookmarkEnd w:id="0"/>
    </w:p>
    <w:p w14:paraId="708BD80E" w14:textId="77777777" w:rsidR="00137CF3" w:rsidRPr="00C56F62" w:rsidRDefault="00000000" w:rsidP="00C56F62">
      <w:pPr>
        <w:spacing w:line="360" w:lineRule="auto"/>
        <w:ind w:firstLine="360"/>
        <w:jc w:val="both"/>
        <w:rPr>
          <w:rFonts w:ascii="Arial" w:hAnsi="Arial" w:cs="Arial"/>
          <w:sz w:val="24"/>
          <w:szCs w:val="24"/>
        </w:rPr>
      </w:pPr>
      <w:r w:rsidRPr="00C56F62">
        <w:rPr>
          <w:rFonts w:ascii="Arial" w:hAnsi="Arial" w:cs="Arial"/>
          <w:sz w:val="24"/>
          <w:szCs w:val="24"/>
        </w:rPr>
        <w:t>Employee attrition within the Nursing Industry in the UK has been a significant challenge for the National Health Service (NHS) and healthcare providers.</w:t>
      </w:r>
      <w:r w:rsidR="00003B09" w:rsidRPr="00C56F62">
        <w:rPr>
          <w:rFonts w:ascii="Arial" w:hAnsi="Arial" w:cs="Arial"/>
          <w:sz w:val="24"/>
          <w:szCs w:val="24"/>
        </w:rPr>
        <w:t xml:space="preserve"> The leading causes of employee attrition are that nurses often face heavy workloads, long working hours, and high-stress environments. Continuous exposure to such conditions can lead to burnout, causing nurses to seek alternative job opportunities or leave the profession altogether. On the other hand, younger nurses leaving their roles in greater numbers is a significant factor contributing to attrition. This can be attributed to changing lifestyle preferences, career aspirations, and a desire for better work-life balance. Also, limited career growth opportunities within the NHS may lead ambitious nurses to explore opportunities in other healthcare facilities or sectors</w:t>
      </w:r>
      <w:r w:rsidR="00152A9D" w:rsidRPr="00C56F62">
        <w:rPr>
          <w:rFonts w:ascii="Arial" w:hAnsi="Arial" w:cs="Arial"/>
          <w:sz w:val="24"/>
          <w:szCs w:val="24"/>
        </w:rPr>
        <w:t xml:space="preserve"> (Smith, 2021)</w:t>
      </w:r>
      <w:r w:rsidR="00003B09" w:rsidRPr="00C56F62">
        <w:rPr>
          <w:rFonts w:ascii="Arial" w:hAnsi="Arial" w:cs="Arial"/>
          <w:sz w:val="24"/>
          <w:szCs w:val="24"/>
        </w:rPr>
        <w:t>. Nursing professionals who experience job dissatisfaction due to inadequate resources, lack of autonomy in decision-making, and limited opportunities for professional growth may seek alternative career options.</w:t>
      </w:r>
    </w:p>
    <w:p w14:paraId="3FEC7D48" w14:textId="77777777" w:rsidR="00003B09" w:rsidRPr="00C56F62" w:rsidRDefault="00000000" w:rsidP="00C56F62">
      <w:pPr>
        <w:spacing w:line="360" w:lineRule="auto"/>
        <w:ind w:firstLine="360"/>
        <w:jc w:val="both"/>
        <w:rPr>
          <w:rFonts w:ascii="Arial" w:hAnsi="Arial" w:cs="Arial"/>
          <w:sz w:val="24"/>
          <w:szCs w:val="24"/>
        </w:rPr>
      </w:pPr>
      <w:r w:rsidRPr="00C56F62">
        <w:rPr>
          <w:rFonts w:ascii="Arial" w:hAnsi="Arial" w:cs="Arial"/>
          <w:sz w:val="24"/>
          <w:szCs w:val="24"/>
        </w:rPr>
        <w:t>The nursing profession demands emotional resilience and involves physically demanding tasks. Over time, the continuous exposure to challenging patient situations and the toll of physically demanding work can lead to emotional exhaustion and physical fatigue, prompting nurses to consider leaving the profession. Nurses often struggle to maintain a healthy work-life balance due to demanding schedules, which can negatively impact their personal lives and well-being.</w:t>
      </w:r>
      <w:r w:rsidR="00B208ED" w:rsidRPr="00C56F62">
        <w:rPr>
          <w:rFonts w:ascii="Arial" w:hAnsi="Arial" w:cs="Arial"/>
          <w:sz w:val="24"/>
          <w:szCs w:val="24"/>
        </w:rPr>
        <w:t xml:space="preserve"> Nurses often work tirelessly to provide quality care to patients. However, a lack of recognition and appreciation for their efforts can lead to feelings of undervaluation and reduced motivation to stay with the NHS. When nurses feel that their skills and expertise are not fully utilized or are not given opportunities to take on more challenging roles or </w:t>
      </w:r>
      <w:proofErr w:type="spellStart"/>
      <w:r w:rsidR="00B208ED" w:rsidRPr="00C56F62">
        <w:rPr>
          <w:rFonts w:ascii="Arial" w:hAnsi="Arial" w:cs="Arial"/>
          <w:sz w:val="24"/>
          <w:szCs w:val="24"/>
        </w:rPr>
        <w:t>specialities</w:t>
      </w:r>
      <w:proofErr w:type="spellEnd"/>
      <w:r w:rsidR="00B208ED" w:rsidRPr="00C56F62">
        <w:rPr>
          <w:rFonts w:ascii="Arial" w:hAnsi="Arial" w:cs="Arial"/>
          <w:sz w:val="24"/>
          <w:szCs w:val="24"/>
        </w:rPr>
        <w:t>, they may seek roles elsewhere that offer more career satisfaction. Negative workplace culture is another reason; poor management and inadequate support from supervisors and colleagues can contribute to nurse attrition</w:t>
      </w:r>
      <w:r w:rsidR="00152A9D" w:rsidRPr="00C56F62">
        <w:rPr>
          <w:rFonts w:ascii="Arial" w:hAnsi="Arial" w:cs="Arial"/>
          <w:sz w:val="24"/>
          <w:szCs w:val="24"/>
        </w:rPr>
        <w:t xml:space="preserve"> (Johnson, 2022)</w:t>
      </w:r>
      <w:r w:rsidR="00B208ED" w:rsidRPr="00C56F62">
        <w:rPr>
          <w:rFonts w:ascii="Arial" w:hAnsi="Arial" w:cs="Arial"/>
          <w:sz w:val="24"/>
          <w:szCs w:val="24"/>
        </w:rPr>
        <w:t>.</w:t>
      </w:r>
    </w:p>
    <w:p w14:paraId="6E8F1815" w14:textId="77777777" w:rsidR="00003B09" w:rsidRPr="00C56F62" w:rsidRDefault="00B208ED" w:rsidP="00C56F62">
      <w:pPr>
        <w:spacing w:line="360" w:lineRule="auto"/>
        <w:ind w:firstLine="360"/>
        <w:jc w:val="both"/>
        <w:rPr>
          <w:rFonts w:ascii="Arial" w:hAnsi="Arial" w:cs="Arial"/>
          <w:sz w:val="24"/>
          <w:szCs w:val="24"/>
        </w:rPr>
      </w:pPr>
      <w:r w:rsidRPr="00C56F62">
        <w:rPr>
          <w:rFonts w:ascii="Arial" w:hAnsi="Arial" w:cs="Arial"/>
          <w:sz w:val="24"/>
          <w:szCs w:val="24"/>
        </w:rPr>
        <w:t xml:space="preserve">Consequently, a lack of recognition and support from supervisors and management can demotivate nurses, leading to decreased job satisfaction and higher attrition rates. </w:t>
      </w:r>
      <w:r w:rsidRPr="00C56F62">
        <w:rPr>
          <w:rFonts w:ascii="Arial" w:hAnsi="Arial" w:cs="Arial"/>
          <w:sz w:val="24"/>
          <w:szCs w:val="24"/>
        </w:rPr>
        <w:lastRenderedPageBreak/>
        <w:t>Economic conditions, such as a lack of job security or financial instability within the NHS, can influence nurses' decisions to explore other job opportunities. Retirement age policies may encourage older nurses to retire early, resulting in a loss of experienced nurses.</w:t>
      </w:r>
    </w:p>
    <w:p w14:paraId="029BD12C" w14:textId="77777777" w:rsidR="00B208ED" w:rsidRPr="00C56F62" w:rsidRDefault="00000000" w:rsidP="00C56F62">
      <w:pPr>
        <w:spacing w:line="360" w:lineRule="auto"/>
        <w:ind w:firstLine="360"/>
        <w:jc w:val="both"/>
        <w:rPr>
          <w:rFonts w:ascii="Arial" w:hAnsi="Arial" w:cs="Arial"/>
          <w:sz w:val="24"/>
          <w:szCs w:val="24"/>
        </w:rPr>
      </w:pPr>
      <w:r w:rsidRPr="00C56F62">
        <w:rPr>
          <w:rFonts w:ascii="Arial" w:hAnsi="Arial" w:cs="Arial"/>
          <w:sz w:val="24"/>
          <w:szCs w:val="24"/>
        </w:rPr>
        <w:t>The effects of employee attrition as increased patient safety can lead to staff shortages, potentially compromising patient safety and the quality of care provided.</w:t>
      </w:r>
      <w:r w:rsidR="007E5960" w:rsidRPr="00C56F62">
        <w:rPr>
          <w:rFonts w:ascii="Arial" w:hAnsi="Arial" w:cs="Arial"/>
          <w:sz w:val="24"/>
          <w:szCs w:val="24"/>
        </w:rPr>
        <w:t xml:space="preserve"> Also, higher recruitment and training costs replace experienced nurses who leave the NHS and incur significant costs for recruiting, onboarding, and training new staff. Decreased productivity and efficiency lead to constant turnover disrupts team dynamics, which decreases productivity and efficiency in patient care. Experienced nurses possess valuable institutional knowledge, and their departure can lead to losing expertise and clinical insights within the organization</w:t>
      </w:r>
      <w:r w:rsidR="00152A9D" w:rsidRPr="00C56F62">
        <w:rPr>
          <w:rFonts w:ascii="Arial" w:hAnsi="Arial" w:cs="Arial"/>
          <w:sz w:val="24"/>
          <w:szCs w:val="24"/>
        </w:rPr>
        <w:t xml:space="preserve"> (Williams, 2023)</w:t>
      </w:r>
      <w:r w:rsidR="007E5960" w:rsidRPr="00C56F62">
        <w:rPr>
          <w:rFonts w:ascii="Arial" w:hAnsi="Arial" w:cs="Arial"/>
          <w:sz w:val="24"/>
          <w:szCs w:val="24"/>
        </w:rPr>
        <w:t>. Frequently, attrition can create a sense of instability and lower morale among the remaining nursing staff, leading to a potential domino effect of more nurses considering leaving.</w:t>
      </w:r>
    </w:p>
    <w:p w14:paraId="2EB43C0F" w14:textId="77777777" w:rsidR="007E5960" w:rsidRPr="00C56F62" w:rsidRDefault="00000000" w:rsidP="00C56F62">
      <w:pPr>
        <w:spacing w:line="360" w:lineRule="auto"/>
        <w:ind w:firstLine="360"/>
        <w:jc w:val="both"/>
        <w:rPr>
          <w:rFonts w:ascii="Arial" w:hAnsi="Arial" w:cs="Arial"/>
          <w:sz w:val="24"/>
          <w:szCs w:val="24"/>
        </w:rPr>
      </w:pPr>
      <w:r w:rsidRPr="00C56F62">
        <w:rPr>
          <w:rFonts w:ascii="Arial" w:hAnsi="Arial" w:cs="Arial"/>
          <w:sz w:val="24"/>
          <w:szCs w:val="24"/>
        </w:rPr>
        <w:t xml:space="preserve">A reduced nursing workforce due to attrition can pressure the remaining staff tremendously, increasing workload and stress. Increased attrition rates in specific nursing </w:t>
      </w:r>
      <w:proofErr w:type="spellStart"/>
      <w:r w:rsidRPr="00C56F62">
        <w:rPr>
          <w:rFonts w:ascii="Arial" w:hAnsi="Arial" w:cs="Arial"/>
          <w:sz w:val="24"/>
          <w:szCs w:val="24"/>
        </w:rPr>
        <w:t>specialities</w:t>
      </w:r>
      <w:proofErr w:type="spellEnd"/>
      <w:r w:rsidRPr="00C56F62">
        <w:rPr>
          <w:rFonts w:ascii="Arial" w:hAnsi="Arial" w:cs="Arial"/>
          <w:sz w:val="24"/>
          <w:szCs w:val="24"/>
        </w:rPr>
        <w:t xml:space="preserve"> can lead to challenges in maintaining specialized services, potentially affecting patient access to specialized care. High nurse attrition rates can impact public perception of the healthcare system's efficiency and quality, affecting the reputation of NHS as an employer. </w:t>
      </w:r>
      <w:r w:rsidR="0073199F" w:rsidRPr="00C56F62">
        <w:rPr>
          <w:rFonts w:ascii="Arial" w:hAnsi="Arial" w:cs="Arial"/>
          <w:sz w:val="24"/>
          <w:szCs w:val="24"/>
        </w:rPr>
        <w:t>The cost of hiring and training new nursing staff to replace those who leave can be substantial for the NHS. Experienced nurses leaving the profession can lose valuable skills and knowledge within the healthcare system.</w:t>
      </w:r>
    </w:p>
    <w:p w14:paraId="5370D255" w14:textId="77777777" w:rsidR="0073199F" w:rsidRPr="00C56F62" w:rsidRDefault="00000000" w:rsidP="00C56F62">
      <w:pPr>
        <w:spacing w:line="360" w:lineRule="auto"/>
        <w:ind w:firstLine="360"/>
        <w:jc w:val="both"/>
        <w:rPr>
          <w:rFonts w:ascii="Arial" w:hAnsi="Arial" w:cs="Arial"/>
          <w:sz w:val="24"/>
          <w:szCs w:val="24"/>
        </w:rPr>
      </w:pPr>
      <w:r w:rsidRPr="00C56F62">
        <w:rPr>
          <w:rFonts w:ascii="Arial" w:hAnsi="Arial" w:cs="Arial"/>
          <w:sz w:val="24"/>
          <w:szCs w:val="24"/>
        </w:rPr>
        <w:t>To successfully manage nurse attrition in the nursing industry, the NHS must identify and comprehend the underlying reasons before implementing comprehensive steps to reduce their consequences. The NHS can build a pleasant work environment that supports nurse retention and satisfaction by addressing working conditions, career growth, recognition, and support</w:t>
      </w:r>
      <w:r w:rsidR="00152A9D" w:rsidRPr="00C56F62">
        <w:rPr>
          <w:rFonts w:ascii="Arial" w:hAnsi="Arial" w:cs="Arial"/>
          <w:sz w:val="24"/>
          <w:szCs w:val="24"/>
        </w:rPr>
        <w:t xml:space="preserve"> (Department of Health and Social Care, 2021)</w:t>
      </w:r>
      <w:r w:rsidRPr="00C56F62">
        <w:rPr>
          <w:rFonts w:ascii="Arial" w:hAnsi="Arial" w:cs="Arial"/>
          <w:sz w:val="24"/>
          <w:szCs w:val="24"/>
        </w:rPr>
        <w:t>. Implementing recruitment and retention methods, particularly from younger generations, will be critical in providing a stable and trained nursing workforce to satisfy the UK population's healthcare demands.</w:t>
      </w:r>
    </w:p>
    <w:p w14:paraId="2A41F147" w14:textId="77777777" w:rsidR="001271CD" w:rsidRPr="00C56F62" w:rsidRDefault="00000000" w:rsidP="00C56F62">
      <w:pPr>
        <w:pStyle w:val="ListParagraph"/>
        <w:numPr>
          <w:ilvl w:val="0"/>
          <w:numId w:val="1"/>
        </w:numPr>
        <w:spacing w:line="360" w:lineRule="auto"/>
        <w:jc w:val="both"/>
        <w:outlineLvl w:val="0"/>
        <w:rPr>
          <w:rFonts w:ascii="Arial" w:hAnsi="Arial" w:cs="Arial"/>
          <w:b/>
          <w:sz w:val="24"/>
          <w:szCs w:val="24"/>
        </w:rPr>
      </w:pPr>
      <w:bookmarkStart w:id="1" w:name="_Toc143187774"/>
      <w:r w:rsidRPr="00C56F62">
        <w:rPr>
          <w:rFonts w:ascii="Arial" w:hAnsi="Arial" w:cs="Arial"/>
          <w:b/>
          <w:sz w:val="24"/>
          <w:szCs w:val="24"/>
        </w:rPr>
        <w:lastRenderedPageBreak/>
        <w:t>Monetary and Non-monetary existing retention schemes used by NHS</w:t>
      </w:r>
      <w:bookmarkEnd w:id="1"/>
    </w:p>
    <w:p w14:paraId="3ED207EF" w14:textId="77777777" w:rsidR="006E595B" w:rsidRPr="00C56F62" w:rsidRDefault="00000000" w:rsidP="00C56F62">
      <w:pPr>
        <w:spacing w:line="360" w:lineRule="auto"/>
        <w:ind w:firstLine="360"/>
        <w:jc w:val="both"/>
        <w:rPr>
          <w:rFonts w:ascii="Arial" w:hAnsi="Arial" w:cs="Arial"/>
          <w:sz w:val="24"/>
          <w:szCs w:val="24"/>
        </w:rPr>
      </w:pPr>
      <w:r w:rsidRPr="00C56F62">
        <w:rPr>
          <w:rFonts w:ascii="Arial" w:hAnsi="Arial" w:cs="Arial"/>
          <w:sz w:val="24"/>
          <w:szCs w:val="24"/>
        </w:rPr>
        <w:t>The NHS offers competitive salaries to nursing professionals, taking into account their qualifications, experience, and job responsibilities. Competitive compensation is crucial to attracting and retaining skilled nurses, demonstrating that the organization values their expertise and contributions. While competitive salaries are essential for nurse retention, it is crucial for the NHS to regularly review and adjust compensation to keep up with market rates and inflation. Failing to do so may make nurses feel undervalued and consider opportunities with higher pay elsewhere</w:t>
      </w:r>
      <w:r w:rsidR="006E7A9A" w:rsidRPr="00C56F62">
        <w:rPr>
          <w:rFonts w:ascii="Arial" w:hAnsi="Arial" w:cs="Arial"/>
          <w:sz w:val="24"/>
          <w:szCs w:val="24"/>
        </w:rPr>
        <w:t xml:space="preserve"> (Torrington, 2019)</w:t>
      </w:r>
      <w:r w:rsidRPr="00C56F62">
        <w:rPr>
          <w:rFonts w:ascii="Arial" w:hAnsi="Arial" w:cs="Arial"/>
          <w:sz w:val="24"/>
          <w:szCs w:val="24"/>
        </w:rPr>
        <w:t>. The NHS may provide retention bonuses to nursing professionals who commit to staying with the organization for a specified period. These bonuses can act as financial incentives for nurses to remain loyal to the NHS. Retention bonuses can be effective in the short term, especially during high attrition. However, they should be complemented by other retention strategies to address the root causes of nurse attrition, as financial incentives alone may not lead to long-term retention. The NHS offers pension plans to nursing professionals, providing them with financial security upon retirement. A robust pension plan can act as a long-term incentive for nurses to stay with the NHS throughout their careers. Pension plans are valuable in promoting long-term commitment to the NHS. However, the effectiveness of this scheme may vary depending on individual nurses' retirement plans and preferences. Younger nurses may prioritize other benefits or incentives over a pension plan, so a diverse range of retention schemes is necessary.</w:t>
      </w:r>
    </w:p>
    <w:p w14:paraId="1A873F2F" w14:textId="77777777" w:rsidR="006E595B" w:rsidRPr="00C56F62" w:rsidRDefault="00000000" w:rsidP="00C56F62">
      <w:pPr>
        <w:spacing w:line="360" w:lineRule="auto"/>
        <w:ind w:firstLine="360"/>
        <w:jc w:val="both"/>
        <w:rPr>
          <w:rFonts w:ascii="Arial" w:hAnsi="Arial" w:cs="Arial"/>
          <w:sz w:val="24"/>
          <w:szCs w:val="24"/>
        </w:rPr>
      </w:pPr>
      <w:r w:rsidRPr="00C56F62">
        <w:rPr>
          <w:rFonts w:ascii="Arial" w:hAnsi="Arial" w:cs="Arial"/>
          <w:sz w:val="24"/>
          <w:szCs w:val="24"/>
        </w:rPr>
        <w:t xml:space="preserve">The NHS may implement performance-based incentives to reward nursing professionals for exceptional work, achievements, or meeting specific targets. Such incentives can motivate nurses to excel and increase job satisfaction. While performance-based incentives can encourage excellence, the criteria for measuring performance must be fair and transparent. Additionally, it is crucial to avoid a competitive culture that might inadvertently create divisions among nursing staff. The NHS may offer financial assistance to help nursing professionals repay their student loans. This scheme is beautiful to recent graduates burdened with student debt. Student loan repayment assistance can significantly draw new nurses </w:t>
      </w:r>
      <w:r w:rsidR="006E7A9A" w:rsidRPr="00C56F62">
        <w:rPr>
          <w:rFonts w:ascii="Arial" w:hAnsi="Arial" w:cs="Arial"/>
          <w:sz w:val="24"/>
          <w:szCs w:val="24"/>
        </w:rPr>
        <w:t>(Wiese et al. l., 2013)</w:t>
      </w:r>
      <w:r w:rsidRPr="00C56F62">
        <w:rPr>
          <w:rFonts w:ascii="Arial" w:hAnsi="Arial" w:cs="Arial"/>
          <w:sz w:val="24"/>
          <w:szCs w:val="24"/>
        </w:rPr>
        <w:t xml:space="preserve">. </w:t>
      </w:r>
      <w:r w:rsidRPr="00C56F62">
        <w:rPr>
          <w:rFonts w:ascii="Arial" w:hAnsi="Arial" w:cs="Arial"/>
          <w:sz w:val="24"/>
          <w:szCs w:val="24"/>
        </w:rPr>
        <w:lastRenderedPageBreak/>
        <w:t>However, to retain nurses long-term, the NHS must provide additional retention initiatives that address other factors influencing nurse attrition.</w:t>
      </w:r>
    </w:p>
    <w:p w14:paraId="4FA16059" w14:textId="1DD199B4" w:rsidR="00C56F62" w:rsidRPr="00C56F62" w:rsidRDefault="00C56F62" w:rsidP="00C56F62">
      <w:pPr>
        <w:spacing w:line="360" w:lineRule="auto"/>
        <w:ind w:firstLine="360"/>
        <w:jc w:val="both"/>
        <w:rPr>
          <w:rFonts w:ascii="Arial" w:hAnsi="Arial" w:cs="Arial"/>
          <w:sz w:val="24"/>
          <w:szCs w:val="24"/>
        </w:rPr>
      </w:pPr>
      <w:r w:rsidRPr="00C56F62">
        <w:rPr>
          <w:rFonts w:ascii="Arial" w:hAnsi="Arial" w:cs="Arial"/>
          <w:sz w:val="24"/>
          <w:szCs w:val="24"/>
        </w:rPr>
        <w:t xml:space="preserve">The National Health Service (NHS) offers a range of career advancement prospects, encompassing </w:t>
      </w:r>
      <w:r w:rsidR="008E437B" w:rsidRPr="00C56F62">
        <w:rPr>
          <w:rFonts w:ascii="Arial" w:hAnsi="Arial" w:cs="Arial"/>
          <w:sz w:val="24"/>
          <w:szCs w:val="24"/>
        </w:rPr>
        <w:t>specialized</w:t>
      </w:r>
      <w:r w:rsidRPr="00C56F62">
        <w:rPr>
          <w:rFonts w:ascii="Arial" w:hAnsi="Arial" w:cs="Arial"/>
          <w:sz w:val="24"/>
          <w:szCs w:val="24"/>
        </w:rPr>
        <w:t xml:space="preserve"> training initiatives, workshops, and educational </w:t>
      </w:r>
      <w:r w:rsidR="008E437B" w:rsidRPr="00C56F62">
        <w:rPr>
          <w:rFonts w:ascii="Arial" w:hAnsi="Arial" w:cs="Arial"/>
          <w:sz w:val="24"/>
          <w:szCs w:val="24"/>
        </w:rPr>
        <w:t>programs</w:t>
      </w:r>
      <w:r w:rsidRPr="00C56F62">
        <w:rPr>
          <w:rFonts w:ascii="Arial" w:hAnsi="Arial" w:cs="Arial"/>
          <w:sz w:val="24"/>
          <w:szCs w:val="24"/>
        </w:rPr>
        <w:t xml:space="preserve">. This facilitates the professional progression of nurses, allowing them to assume positions that entail greater levels of accountability and authority. Providing career development opportunities plays a crucial role in fostering nurse retention, as it is a tangible manifestation of the National Health Service's dedication to investing in the professional growth and advancement of its nursing personnel. Nevertheless, it is imperative to ascertain that career trajectories are delineated and attainable while providing sufficient support to nurses in their professional development. The National Health Service (NHS) </w:t>
      </w:r>
      <w:r w:rsidR="008E437B">
        <w:rPr>
          <w:rFonts w:ascii="Arial" w:hAnsi="Arial" w:cs="Arial"/>
          <w:sz w:val="24"/>
          <w:szCs w:val="24"/>
        </w:rPr>
        <w:t>allows nursing professionals</w:t>
      </w:r>
      <w:r w:rsidRPr="00C56F62">
        <w:rPr>
          <w:rFonts w:ascii="Arial" w:hAnsi="Arial" w:cs="Arial"/>
          <w:sz w:val="24"/>
          <w:szCs w:val="24"/>
        </w:rPr>
        <w:t xml:space="preserve"> to achieve a more </w:t>
      </w:r>
      <w:r w:rsidR="008E437B" w:rsidRPr="00C56F62">
        <w:rPr>
          <w:rFonts w:ascii="Arial" w:hAnsi="Arial" w:cs="Arial"/>
          <w:sz w:val="24"/>
          <w:szCs w:val="24"/>
        </w:rPr>
        <w:t>favorable</w:t>
      </w:r>
      <w:r w:rsidRPr="00C56F62">
        <w:rPr>
          <w:rFonts w:ascii="Arial" w:hAnsi="Arial" w:cs="Arial"/>
          <w:sz w:val="24"/>
          <w:szCs w:val="24"/>
        </w:rPr>
        <w:t xml:space="preserve"> equilibrium between their work and personal lives through flexible work schedules and part-time or remote work alternatives. Nurses place significant importance on flexible work arrangements, especially those who have familial obligations or other personal commitments. Nevertheless, it is crucial to thoroughly evaluate the practicality of these arrangements, particularly in units that necessitate continuous coverage.</w:t>
      </w:r>
    </w:p>
    <w:p w14:paraId="7CFA10FE" w14:textId="1FFE98AD" w:rsidR="00C56F62" w:rsidRPr="00C56F62" w:rsidRDefault="00C56F62" w:rsidP="00C56F62">
      <w:pPr>
        <w:spacing w:line="360" w:lineRule="auto"/>
        <w:ind w:firstLine="360"/>
        <w:jc w:val="both"/>
        <w:rPr>
          <w:rFonts w:ascii="Arial" w:hAnsi="Arial" w:cs="Arial"/>
          <w:sz w:val="24"/>
          <w:szCs w:val="24"/>
        </w:rPr>
      </w:pPr>
      <w:r w:rsidRPr="00C56F62">
        <w:rPr>
          <w:rFonts w:ascii="Arial" w:hAnsi="Arial" w:cs="Arial"/>
          <w:sz w:val="24"/>
          <w:szCs w:val="24"/>
        </w:rPr>
        <w:t xml:space="preserve">The National Health Service (NHS) employs recognition </w:t>
      </w:r>
      <w:r w:rsidR="008E437B" w:rsidRPr="00C56F62">
        <w:rPr>
          <w:rFonts w:ascii="Arial" w:hAnsi="Arial" w:cs="Arial"/>
          <w:sz w:val="24"/>
          <w:szCs w:val="24"/>
        </w:rPr>
        <w:t>programs</w:t>
      </w:r>
      <w:r w:rsidRPr="00C56F62">
        <w:rPr>
          <w:rFonts w:ascii="Arial" w:hAnsi="Arial" w:cs="Arial"/>
          <w:sz w:val="24"/>
          <w:szCs w:val="24"/>
        </w:rPr>
        <w:t xml:space="preserve"> to acknowledge and appreciate the diligent efforts and valuable contributions made by nursing professionals. This may encompass expressions of verbal commendation, the bestowal of accolades, or public acknowledgement of outstanding performance. Moreover, the expression of gratitude is a potent incentive that contributes significantly to the overall job satisfaction and retention of nurses. Nevertheless, it is imperative that the </w:t>
      </w:r>
      <w:proofErr w:type="spellStart"/>
      <w:r w:rsidRPr="00C56F62">
        <w:rPr>
          <w:rFonts w:ascii="Arial" w:hAnsi="Arial" w:cs="Arial"/>
          <w:sz w:val="24"/>
          <w:szCs w:val="24"/>
        </w:rPr>
        <w:t>endeavours</w:t>
      </w:r>
      <w:proofErr w:type="spellEnd"/>
      <w:r w:rsidRPr="00C56F62">
        <w:rPr>
          <w:rFonts w:ascii="Arial" w:hAnsi="Arial" w:cs="Arial"/>
          <w:sz w:val="24"/>
          <w:szCs w:val="24"/>
        </w:rPr>
        <w:t xml:space="preserve"> to acknowledge the contributions of nursing personnel are authentic, unwavering, and encompassing of all members of the nursing profession. The National Health Service (NHS) has the potential to provide mentorship initiatives that facilitate the pairing of novice nurses with seasoned mentors. This initiative offers novice nurses significant assistance, mentorship, and prospects for professional growth. Mentorship </w:t>
      </w:r>
      <w:r w:rsidR="008E437B" w:rsidRPr="00C56F62">
        <w:rPr>
          <w:rFonts w:ascii="Arial" w:hAnsi="Arial" w:cs="Arial"/>
          <w:sz w:val="24"/>
          <w:szCs w:val="24"/>
        </w:rPr>
        <w:t>programs</w:t>
      </w:r>
      <w:r w:rsidRPr="00C56F62">
        <w:rPr>
          <w:rFonts w:ascii="Arial" w:hAnsi="Arial" w:cs="Arial"/>
          <w:sz w:val="24"/>
          <w:szCs w:val="24"/>
        </w:rPr>
        <w:t xml:space="preserve"> play a crucial role in facilitating novice nurses' transition and professional growth. In order to </w:t>
      </w:r>
      <w:r w:rsidR="008E437B" w:rsidRPr="00C56F62">
        <w:rPr>
          <w:rFonts w:ascii="Arial" w:hAnsi="Arial" w:cs="Arial"/>
          <w:sz w:val="24"/>
          <w:szCs w:val="24"/>
        </w:rPr>
        <w:t>optimize</w:t>
      </w:r>
      <w:r w:rsidRPr="00C56F62">
        <w:rPr>
          <w:rFonts w:ascii="Arial" w:hAnsi="Arial" w:cs="Arial"/>
          <w:sz w:val="24"/>
          <w:szCs w:val="24"/>
        </w:rPr>
        <w:t xml:space="preserve"> their efficacy, mentors must undergo adequate training and </w:t>
      </w:r>
      <w:r w:rsidRPr="00C56F62">
        <w:rPr>
          <w:rFonts w:ascii="Arial" w:hAnsi="Arial" w:cs="Arial"/>
          <w:sz w:val="24"/>
          <w:szCs w:val="24"/>
        </w:rPr>
        <w:lastRenderedPageBreak/>
        <w:t xml:space="preserve">receive appropriate support to fulfil their roles effectively. According to Zheng (2015), the National Health Service (NHS) incorporates various well-being initiatives, including counselling services, stress management workshops, and facilitation of access to mental health support. The primary objective of these initiatives is to effectively mitigate burnout among nursing professionals and concurrently improve their overall well-being. Implementing workplace well-being initiatives plays a crucial role in effectively addressing the emotional and physical strains experienced by nurses. Nevertheless, it is imperative to guarantee </w:t>
      </w:r>
      <w:r w:rsidR="008E437B" w:rsidRPr="00C56F62">
        <w:rPr>
          <w:rFonts w:ascii="Arial" w:hAnsi="Arial" w:cs="Arial"/>
          <w:sz w:val="24"/>
          <w:szCs w:val="24"/>
        </w:rPr>
        <w:t>accessibility</w:t>
      </w:r>
      <w:r w:rsidRPr="00C56F62">
        <w:rPr>
          <w:rFonts w:ascii="Arial" w:hAnsi="Arial" w:cs="Arial"/>
          <w:sz w:val="24"/>
          <w:szCs w:val="24"/>
        </w:rPr>
        <w:t xml:space="preserve">, absence of stigma and efficacy in promoting mental and physical well-being within these </w:t>
      </w:r>
      <w:r w:rsidR="008E437B" w:rsidRPr="00C56F62">
        <w:rPr>
          <w:rFonts w:ascii="Arial" w:hAnsi="Arial" w:cs="Arial"/>
          <w:sz w:val="24"/>
          <w:szCs w:val="24"/>
        </w:rPr>
        <w:t>programs</w:t>
      </w:r>
      <w:r w:rsidRPr="00C56F62">
        <w:rPr>
          <w:rFonts w:ascii="Arial" w:hAnsi="Arial" w:cs="Arial"/>
          <w:sz w:val="24"/>
          <w:szCs w:val="24"/>
        </w:rPr>
        <w:t>.</w:t>
      </w:r>
    </w:p>
    <w:p w14:paraId="51C8AA42" w14:textId="1F2FEB1B" w:rsidR="00C56F62" w:rsidRPr="00C56F62" w:rsidRDefault="00C56F62" w:rsidP="00C56F62">
      <w:pPr>
        <w:spacing w:line="360" w:lineRule="auto"/>
        <w:ind w:firstLine="360"/>
        <w:jc w:val="both"/>
        <w:rPr>
          <w:rFonts w:ascii="Arial" w:hAnsi="Arial" w:cs="Arial"/>
          <w:sz w:val="24"/>
          <w:szCs w:val="24"/>
        </w:rPr>
      </w:pPr>
      <w:r w:rsidRPr="00C56F62">
        <w:rPr>
          <w:rFonts w:ascii="Arial" w:hAnsi="Arial" w:cs="Arial"/>
          <w:sz w:val="24"/>
          <w:szCs w:val="24"/>
        </w:rPr>
        <w:t xml:space="preserve">The National Health Service (NHS) uses various financial and non-financial strategies to attract and retain nursing professionals. Although competitive salaries and retention bonuses are crucial for short-term nurse retention, a comprehensive approach is necessary for long-term success in retaining nurses. According to Glass et al. (2015), implementing non-monetary retention strategies such as career advancement prospects, flexible work options, acknowledgement initiatives, mentorship </w:t>
      </w:r>
      <w:r w:rsidR="008E437B" w:rsidRPr="00C56F62">
        <w:rPr>
          <w:rFonts w:ascii="Arial" w:hAnsi="Arial" w:cs="Arial"/>
          <w:sz w:val="24"/>
          <w:szCs w:val="24"/>
        </w:rPr>
        <w:t>programs</w:t>
      </w:r>
      <w:r w:rsidRPr="00C56F62">
        <w:rPr>
          <w:rFonts w:ascii="Arial" w:hAnsi="Arial" w:cs="Arial"/>
          <w:sz w:val="24"/>
          <w:szCs w:val="24"/>
        </w:rPr>
        <w:t xml:space="preserve">, and well-being interventions is crucial in improving job satisfaction and tackling the underlying factors contributing to nurse attrition. In order to </w:t>
      </w:r>
      <w:r w:rsidR="008E437B" w:rsidRPr="00C56F62">
        <w:rPr>
          <w:rFonts w:ascii="Arial" w:hAnsi="Arial" w:cs="Arial"/>
          <w:sz w:val="24"/>
          <w:szCs w:val="24"/>
        </w:rPr>
        <w:t>optimize</w:t>
      </w:r>
      <w:r w:rsidRPr="00C56F62">
        <w:rPr>
          <w:rFonts w:ascii="Arial" w:hAnsi="Arial" w:cs="Arial"/>
          <w:sz w:val="24"/>
          <w:szCs w:val="24"/>
        </w:rPr>
        <w:t xml:space="preserve"> the efficacy of these retention initiatives, it is imperative for the National Health Service (NHS) to consistently assess their influence and modify strategies following the dynamic requirements and preferences of nursing professionals. The integration of financial and non-financial incentives can contribute to establishing a work environment conducive to support and fulfilment. This, in turn, can lead to a decrease in nurse attrition rates and the cultivation of a stable and proficient nursing workforce capable of meeting the healthcare demands of the population in the United Kingdom.</w:t>
      </w:r>
    </w:p>
    <w:p w14:paraId="73595C59" w14:textId="77777777" w:rsidR="006E595B" w:rsidRPr="00C56F62" w:rsidRDefault="00000000" w:rsidP="00C56F62">
      <w:pPr>
        <w:pStyle w:val="ListParagraph"/>
        <w:numPr>
          <w:ilvl w:val="0"/>
          <w:numId w:val="1"/>
        </w:numPr>
        <w:spacing w:line="360" w:lineRule="auto"/>
        <w:jc w:val="both"/>
        <w:outlineLvl w:val="0"/>
        <w:rPr>
          <w:rFonts w:ascii="Arial" w:hAnsi="Arial" w:cs="Arial"/>
          <w:b/>
          <w:sz w:val="24"/>
          <w:szCs w:val="24"/>
        </w:rPr>
      </w:pPr>
      <w:bookmarkStart w:id="2" w:name="_Toc143187775"/>
      <w:r w:rsidRPr="00C56F62">
        <w:rPr>
          <w:rFonts w:ascii="Arial" w:hAnsi="Arial" w:cs="Arial"/>
          <w:b/>
          <w:sz w:val="24"/>
          <w:szCs w:val="24"/>
        </w:rPr>
        <w:t>Recommendations</w:t>
      </w:r>
      <w:bookmarkEnd w:id="2"/>
    </w:p>
    <w:p w14:paraId="4638AC81" w14:textId="318E735C" w:rsidR="0035003E" w:rsidRPr="00C56F62" w:rsidRDefault="00000000" w:rsidP="00C56F62">
      <w:pPr>
        <w:spacing w:line="360" w:lineRule="auto"/>
        <w:ind w:firstLine="720"/>
        <w:jc w:val="both"/>
        <w:rPr>
          <w:rFonts w:ascii="Arial" w:hAnsi="Arial" w:cs="Arial"/>
          <w:sz w:val="24"/>
          <w:szCs w:val="24"/>
        </w:rPr>
      </w:pPr>
      <w:r w:rsidRPr="00C56F62">
        <w:rPr>
          <w:rFonts w:ascii="Arial" w:hAnsi="Arial" w:cs="Arial"/>
          <w:sz w:val="24"/>
          <w:szCs w:val="24"/>
        </w:rPr>
        <w:t xml:space="preserve">In the short term, the NHS should conduct exit interviews with nurses who leave the organization to identify specific reasons for their departure. The feedback from these interviews can provide valuable insights into the issues that need immediate attention, enabling the NHS to take corrective measures promptly. The NHS should </w:t>
      </w:r>
      <w:r w:rsidR="008E437B" w:rsidRPr="00C56F62">
        <w:rPr>
          <w:rFonts w:ascii="Arial" w:hAnsi="Arial" w:cs="Arial"/>
          <w:sz w:val="24"/>
          <w:szCs w:val="24"/>
        </w:rPr>
        <w:t>prioritize</w:t>
      </w:r>
      <w:r w:rsidRPr="00C56F62">
        <w:rPr>
          <w:rFonts w:ascii="Arial" w:hAnsi="Arial" w:cs="Arial"/>
          <w:sz w:val="24"/>
          <w:szCs w:val="24"/>
        </w:rPr>
        <w:t xml:space="preserve"> addressing workload and staffing shortages to alleviate immediate concerns of nurse </w:t>
      </w:r>
      <w:r w:rsidRPr="00C56F62">
        <w:rPr>
          <w:rFonts w:ascii="Arial" w:hAnsi="Arial" w:cs="Arial"/>
          <w:sz w:val="24"/>
          <w:szCs w:val="24"/>
        </w:rPr>
        <w:lastRenderedPageBreak/>
        <w:t>burnout and exhaustion. Implementing temporary measures, such as hiring agency staff or offering overtime incentives, can help reduce the burden on existing nursing professionals until a more sustainable solution is in place. Strengthening recognition programs to acknowledge and appreciate the efforts of nursing professionals regularly is crucial. The NHS can provide short-term incentives, such as retention bonuses or performance-based rewards, to motivate nurses to stay with the organization</w:t>
      </w:r>
      <w:r w:rsidR="006E7A9A" w:rsidRPr="00C56F62">
        <w:rPr>
          <w:rFonts w:ascii="Arial" w:hAnsi="Arial" w:cs="Arial"/>
          <w:sz w:val="24"/>
          <w:szCs w:val="24"/>
        </w:rPr>
        <w:t xml:space="preserve"> (Buchan, 2008)</w:t>
      </w:r>
      <w:r w:rsidRPr="00C56F62">
        <w:rPr>
          <w:rFonts w:ascii="Arial" w:hAnsi="Arial" w:cs="Arial"/>
          <w:sz w:val="24"/>
          <w:szCs w:val="24"/>
        </w:rPr>
        <w:t xml:space="preserve">. These incentives can act as a stopgap measure while implementing long-term retention strategies. The NHS should expand existing well-being initiatives or introduce new ones to address immediate concerns. This can include providing access to mental health support, counselling services, and stress management workshops to help nurses cope with the emotional toll of their work. </w:t>
      </w:r>
    </w:p>
    <w:p w14:paraId="073EB98B" w14:textId="77777777" w:rsidR="0035003E" w:rsidRPr="00C56F62" w:rsidRDefault="00000000" w:rsidP="00C56F62">
      <w:pPr>
        <w:spacing w:line="360" w:lineRule="auto"/>
        <w:ind w:firstLine="720"/>
        <w:jc w:val="both"/>
        <w:rPr>
          <w:rFonts w:ascii="Arial" w:hAnsi="Arial" w:cs="Arial"/>
          <w:sz w:val="24"/>
          <w:szCs w:val="24"/>
        </w:rPr>
      </w:pPr>
      <w:r w:rsidRPr="00C56F62">
        <w:rPr>
          <w:rFonts w:ascii="Arial" w:hAnsi="Arial" w:cs="Arial"/>
          <w:sz w:val="24"/>
          <w:szCs w:val="24"/>
        </w:rPr>
        <w:t>Offering comprehensive career development opportunities is essential to nurture nurses' professional growth and retain their talent. The NHS should create well-defined career pathways, facilitate mentorship programs, and support nurses pursuing specialized training and certifications. A long-term focus on work-life balance can be achieved through flexible work arrangements. The NHS should establish policies allowing nurses to choose flexible schedules, part-time work, or remote work options, enabling them to balance their personal and professional lives effectively. Regularly reviewing and adjusting compensation and benefits packages is crucial to remain competitive in the healthcare job market. The NHS should ensure that nursing professionals receive fair and competitive pay and attractive benefits to incentivize their continued commitment. Cultivating a supportive and inclusive workplace culture is vital for nurse retention. This involves providing opportunities for nurses to have a voice in decision-making, promoting teamwork, and fostering a culture of mutual respect and appreciation. Investing in nurse leadership development programs can create a pipeline of capable leaders within the nursing workforce</w:t>
      </w:r>
      <w:r w:rsidR="006E7A9A" w:rsidRPr="00C56F62">
        <w:rPr>
          <w:rFonts w:ascii="Arial" w:hAnsi="Arial" w:cs="Arial"/>
          <w:sz w:val="24"/>
          <w:szCs w:val="24"/>
        </w:rPr>
        <w:t xml:space="preserve"> (West et al. l., 2012)</w:t>
      </w:r>
      <w:r w:rsidRPr="00C56F62">
        <w:rPr>
          <w:rFonts w:ascii="Arial" w:hAnsi="Arial" w:cs="Arial"/>
          <w:sz w:val="24"/>
          <w:szCs w:val="24"/>
        </w:rPr>
        <w:t>. Strong nursing leadership can mentor, guide, and support fellow nurses, increasing job satisfaction and retention. Involve nursing professionals in decision-making processes directly impacting their work and patient care. Encouraging their participation in quality improvement initiatives and policy discussions can boost their sense of ownership and commitment to the organization.</w:t>
      </w:r>
    </w:p>
    <w:p w14:paraId="0C60B376" w14:textId="77777777" w:rsidR="0035003E" w:rsidRPr="00C56F62" w:rsidRDefault="00000000" w:rsidP="00C56F62">
      <w:pPr>
        <w:spacing w:line="360" w:lineRule="auto"/>
        <w:ind w:firstLine="360"/>
        <w:jc w:val="both"/>
        <w:rPr>
          <w:rFonts w:ascii="Arial" w:hAnsi="Arial" w:cs="Arial"/>
          <w:sz w:val="24"/>
          <w:szCs w:val="24"/>
        </w:rPr>
      </w:pPr>
      <w:r w:rsidRPr="00C56F62">
        <w:rPr>
          <w:rFonts w:ascii="Arial" w:hAnsi="Arial" w:cs="Arial"/>
          <w:sz w:val="24"/>
          <w:szCs w:val="24"/>
        </w:rPr>
        <w:lastRenderedPageBreak/>
        <w:t>Improving nurse retention in the nursing sector in the United Kingdom necessitates a multifaceted strategy that tackles both short-term difficulties and long-term solutions. The NHS should prioritize resolving acute workload and well-being problems in the short term while creating short-term retention incentives. However, investing in professional development, supporting flexible work arrangements, assessing remuneration and benefits, establishing a supportive workplace culture, and developing nursing leaders will contribute to long-term success in nurse retention. The NHS can reduce nurse attrition and ensure a stable and skilled nursing workforce by taking a comprehensive approach to nurse retention.</w:t>
      </w:r>
    </w:p>
    <w:p w14:paraId="74D15E8D" w14:textId="77777777" w:rsidR="00152A9D" w:rsidRPr="00C56F62" w:rsidRDefault="00000000" w:rsidP="00C56F62">
      <w:pPr>
        <w:spacing w:line="360" w:lineRule="auto"/>
        <w:jc w:val="both"/>
        <w:rPr>
          <w:rFonts w:ascii="Arial" w:hAnsi="Arial" w:cs="Arial"/>
          <w:sz w:val="24"/>
          <w:szCs w:val="24"/>
        </w:rPr>
      </w:pPr>
      <w:r w:rsidRPr="00C56F62">
        <w:rPr>
          <w:rFonts w:ascii="Arial" w:hAnsi="Arial" w:cs="Arial"/>
          <w:sz w:val="24"/>
          <w:szCs w:val="24"/>
        </w:rPr>
        <w:br w:type="page"/>
      </w:r>
    </w:p>
    <w:p w14:paraId="1F253944" w14:textId="77777777" w:rsidR="00152A9D" w:rsidRPr="00C56F62" w:rsidRDefault="00000000" w:rsidP="00C56F62">
      <w:pPr>
        <w:pStyle w:val="ListParagraph"/>
        <w:numPr>
          <w:ilvl w:val="0"/>
          <w:numId w:val="1"/>
        </w:numPr>
        <w:spacing w:line="360" w:lineRule="auto"/>
        <w:jc w:val="both"/>
        <w:outlineLvl w:val="0"/>
        <w:rPr>
          <w:rFonts w:ascii="Arial" w:hAnsi="Arial" w:cs="Arial"/>
          <w:b/>
          <w:sz w:val="24"/>
          <w:szCs w:val="24"/>
        </w:rPr>
      </w:pPr>
      <w:bookmarkStart w:id="3" w:name="_Toc143187776"/>
      <w:r w:rsidRPr="00C56F62">
        <w:rPr>
          <w:rFonts w:ascii="Arial" w:hAnsi="Arial" w:cs="Arial"/>
          <w:b/>
          <w:sz w:val="24"/>
          <w:szCs w:val="24"/>
        </w:rPr>
        <w:lastRenderedPageBreak/>
        <w:t>References</w:t>
      </w:r>
      <w:bookmarkEnd w:id="3"/>
    </w:p>
    <w:p w14:paraId="7212AADC" w14:textId="77777777" w:rsidR="006E7A9A" w:rsidRPr="00C56F62" w:rsidRDefault="00000000" w:rsidP="00C56F62">
      <w:pPr>
        <w:pStyle w:val="ListParagraph"/>
        <w:numPr>
          <w:ilvl w:val="0"/>
          <w:numId w:val="2"/>
        </w:numPr>
        <w:spacing w:line="360" w:lineRule="auto"/>
        <w:jc w:val="both"/>
        <w:rPr>
          <w:rFonts w:ascii="Arial" w:hAnsi="Arial" w:cs="Arial"/>
          <w:sz w:val="24"/>
          <w:szCs w:val="24"/>
        </w:rPr>
      </w:pPr>
      <w:r w:rsidRPr="00C56F62">
        <w:rPr>
          <w:rFonts w:ascii="Arial" w:hAnsi="Arial" w:cs="Arial"/>
          <w:sz w:val="24"/>
          <w:szCs w:val="24"/>
        </w:rPr>
        <w:t>Buchan, J., &amp; Aiken, L. (2008). Solving nursing shortages: A shared priority. Journal of Clinical Nursing, 17(24), 3262-3268.</w:t>
      </w:r>
    </w:p>
    <w:p w14:paraId="5131ACDC" w14:textId="77777777" w:rsidR="006E7A9A" w:rsidRPr="00C56F62" w:rsidRDefault="00000000" w:rsidP="00C56F62">
      <w:pPr>
        <w:pStyle w:val="ListParagraph"/>
        <w:numPr>
          <w:ilvl w:val="0"/>
          <w:numId w:val="2"/>
        </w:numPr>
        <w:spacing w:line="360" w:lineRule="auto"/>
        <w:jc w:val="both"/>
        <w:rPr>
          <w:rFonts w:ascii="Arial" w:hAnsi="Arial" w:cs="Arial"/>
          <w:sz w:val="24"/>
          <w:szCs w:val="24"/>
        </w:rPr>
      </w:pPr>
      <w:r w:rsidRPr="00C56F62">
        <w:rPr>
          <w:rFonts w:ascii="Arial" w:hAnsi="Arial" w:cs="Arial"/>
          <w:sz w:val="24"/>
          <w:szCs w:val="24"/>
        </w:rPr>
        <w:t>Department of Health and Social Care. (2021). Nursing Workforce Data Report: Analysis of Attrition Rates and Trends. London: DHSC Publications.</w:t>
      </w:r>
    </w:p>
    <w:p w14:paraId="79C16656" w14:textId="77777777" w:rsidR="006E7A9A" w:rsidRPr="00C56F62" w:rsidRDefault="00000000" w:rsidP="00C56F62">
      <w:pPr>
        <w:pStyle w:val="ListParagraph"/>
        <w:numPr>
          <w:ilvl w:val="0"/>
          <w:numId w:val="2"/>
        </w:numPr>
        <w:spacing w:line="360" w:lineRule="auto"/>
        <w:jc w:val="both"/>
        <w:rPr>
          <w:rFonts w:ascii="Arial" w:hAnsi="Arial" w:cs="Arial"/>
          <w:sz w:val="24"/>
          <w:szCs w:val="24"/>
        </w:rPr>
      </w:pPr>
      <w:r w:rsidRPr="00C56F62">
        <w:rPr>
          <w:rFonts w:ascii="Arial" w:hAnsi="Arial" w:cs="Arial"/>
          <w:sz w:val="24"/>
          <w:szCs w:val="24"/>
        </w:rPr>
        <w:t xml:space="preserve">Glass DC, Kelsall HL, Slegers C, Forbes AB. (2015). A telephone survey of factors affecting willingness to participate in health research surveys. BMC Public Health. </w:t>
      </w:r>
    </w:p>
    <w:p w14:paraId="0B7FD919" w14:textId="77777777" w:rsidR="006E7A9A" w:rsidRPr="00C56F62" w:rsidRDefault="00000000" w:rsidP="00C56F62">
      <w:pPr>
        <w:pStyle w:val="ListParagraph"/>
        <w:numPr>
          <w:ilvl w:val="0"/>
          <w:numId w:val="2"/>
        </w:numPr>
        <w:spacing w:line="360" w:lineRule="auto"/>
        <w:jc w:val="both"/>
        <w:rPr>
          <w:rFonts w:ascii="Arial" w:hAnsi="Arial" w:cs="Arial"/>
          <w:sz w:val="24"/>
          <w:szCs w:val="24"/>
        </w:rPr>
      </w:pPr>
      <w:r w:rsidRPr="00C56F62">
        <w:rPr>
          <w:rFonts w:ascii="Arial" w:hAnsi="Arial" w:cs="Arial"/>
          <w:sz w:val="24"/>
          <w:szCs w:val="24"/>
        </w:rPr>
        <w:t>Johnson, A. (2022). Causes of Nurse Attrition in the UK Healthcare Sector: A Qualitative Study. Nursing Research Quarterly, 38(4), 189–205.</w:t>
      </w:r>
    </w:p>
    <w:p w14:paraId="42B83E44" w14:textId="77777777" w:rsidR="006E7A9A" w:rsidRPr="00C56F62" w:rsidRDefault="00000000" w:rsidP="00C56F62">
      <w:pPr>
        <w:pStyle w:val="ListParagraph"/>
        <w:numPr>
          <w:ilvl w:val="0"/>
          <w:numId w:val="2"/>
        </w:numPr>
        <w:spacing w:line="360" w:lineRule="auto"/>
        <w:jc w:val="both"/>
        <w:rPr>
          <w:rFonts w:ascii="Arial" w:hAnsi="Arial" w:cs="Arial"/>
          <w:sz w:val="24"/>
          <w:szCs w:val="24"/>
        </w:rPr>
      </w:pPr>
      <w:r w:rsidRPr="00C56F62">
        <w:rPr>
          <w:rFonts w:ascii="Arial" w:hAnsi="Arial" w:cs="Arial"/>
          <w:sz w:val="24"/>
          <w:szCs w:val="24"/>
        </w:rPr>
        <w:t>Smith, J. (2021). Employee Attrition in the Nursing Industry: A Comprehensive Analysis. Journal of Healthcare Management, 25(2), 45–62.</w:t>
      </w:r>
    </w:p>
    <w:p w14:paraId="31399AA9" w14:textId="77777777" w:rsidR="006E7A9A" w:rsidRPr="00C56F62" w:rsidRDefault="00000000" w:rsidP="00C56F62">
      <w:pPr>
        <w:pStyle w:val="ListParagraph"/>
        <w:numPr>
          <w:ilvl w:val="0"/>
          <w:numId w:val="2"/>
        </w:numPr>
        <w:spacing w:line="360" w:lineRule="auto"/>
        <w:jc w:val="both"/>
        <w:rPr>
          <w:rFonts w:ascii="Arial" w:hAnsi="Arial" w:cs="Arial"/>
          <w:sz w:val="24"/>
          <w:szCs w:val="24"/>
        </w:rPr>
      </w:pPr>
      <w:r w:rsidRPr="00C56F62">
        <w:rPr>
          <w:rFonts w:ascii="Arial" w:hAnsi="Arial" w:cs="Arial"/>
          <w:sz w:val="24"/>
          <w:szCs w:val="24"/>
        </w:rPr>
        <w:t>Torrington, D. (2019). Fundamentals of human resource management: managing people at work. Pearson Education.</w:t>
      </w:r>
    </w:p>
    <w:p w14:paraId="09EF04B6" w14:textId="77777777" w:rsidR="006E7A9A" w:rsidRPr="00C56F62" w:rsidRDefault="00000000" w:rsidP="00C56F62">
      <w:pPr>
        <w:pStyle w:val="ListParagraph"/>
        <w:numPr>
          <w:ilvl w:val="0"/>
          <w:numId w:val="2"/>
        </w:numPr>
        <w:spacing w:line="360" w:lineRule="auto"/>
        <w:jc w:val="both"/>
        <w:rPr>
          <w:rFonts w:ascii="Arial" w:hAnsi="Arial" w:cs="Arial"/>
          <w:sz w:val="24"/>
          <w:szCs w:val="24"/>
        </w:rPr>
      </w:pPr>
      <w:r w:rsidRPr="00C56F62">
        <w:rPr>
          <w:rFonts w:ascii="Arial" w:hAnsi="Arial" w:cs="Arial"/>
          <w:sz w:val="24"/>
          <w:szCs w:val="24"/>
        </w:rPr>
        <w:t>West, M. A., &amp; Dawson, J. F. (2012). Employee engagement and NHS performance. The King's Fund.</w:t>
      </w:r>
    </w:p>
    <w:p w14:paraId="31948040" w14:textId="77777777" w:rsidR="006E7A9A" w:rsidRPr="00C56F62" w:rsidRDefault="00000000" w:rsidP="00C56F62">
      <w:pPr>
        <w:pStyle w:val="ListParagraph"/>
        <w:numPr>
          <w:ilvl w:val="0"/>
          <w:numId w:val="2"/>
        </w:numPr>
        <w:spacing w:line="360" w:lineRule="auto"/>
        <w:jc w:val="both"/>
        <w:rPr>
          <w:rFonts w:ascii="Arial" w:hAnsi="Arial" w:cs="Arial"/>
          <w:sz w:val="24"/>
          <w:szCs w:val="24"/>
        </w:rPr>
      </w:pPr>
      <w:r w:rsidRPr="00C56F62">
        <w:rPr>
          <w:rFonts w:ascii="Arial" w:hAnsi="Arial" w:cs="Arial"/>
          <w:sz w:val="24"/>
          <w:szCs w:val="24"/>
        </w:rPr>
        <w:t>Wiese, M., &amp; Coetzee, R. (2013). The importance of non-financial motivators to pharmaceutical sales representatives: A demographic study. Southern African Business Review, 17(1), 23-56</w:t>
      </w:r>
    </w:p>
    <w:p w14:paraId="2908F1B1" w14:textId="77777777" w:rsidR="006E7A9A" w:rsidRPr="00C56F62" w:rsidRDefault="00000000" w:rsidP="00C56F62">
      <w:pPr>
        <w:pStyle w:val="ListParagraph"/>
        <w:numPr>
          <w:ilvl w:val="0"/>
          <w:numId w:val="2"/>
        </w:numPr>
        <w:spacing w:line="360" w:lineRule="auto"/>
        <w:jc w:val="both"/>
        <w:rPr>
          <w:rFonts w:ascii="Arial" w:hAnsi="Arial" w:cs="Arial"/>
          <w:sz w:val="24"/>
          <w:szCs w:val="24"/>
        </w:rPr>
      </w:pPr>
      <w:r w:rsidRPr="00C56F62">
        <w:rPr>
          <w:rFonts w:ascii="Arial" w:hAnsi="Arial" w:cs="Arial"/>
          <w:sz w:val="24"/>
          <w:szCs w:val="24"/>
        </w:rPr>
        <w:t>Williams, L., &amp; Patel, R. (2023). The Effects of Nurse Attrition on Patient Care Quality: A Case Study of NHS Trusts in England. Health Services Research, 50(3), 321–338.</w:t>
      </w:r>
    </w:p>
    <w:p w14:paraId="572CCFFE" w14:textId="77777777" w:rsidR="006E7A9A" w:rsidRPr="00C56F62" w:rsidRDefault="00000000" w:rsidP="00C56F62">
      <w:pPr>
        <w:pStyle w:val="ListParagraph"/>
        <w:numPr>
          <w:ilvl w:val="0"/>
          <w:numId w:val="2"/>
        </w:numPr>
        <w:spacing w:line="360" w:lineRule="auto"/>
        <w:jc w:val="both"/>
        <w:rPr>
          <w:rFonts w:ascii="Arial" w:hAnsi="Arial" w:cs="Arial"/>
          <w:sz w:val="24"/>
          <w:szCs w:val="24"/>
        </w:rPr>
      </w:pPr>
      <w:r w:rsidRPr="00C56F62">
        <w:rPr>
          <w:rFonts w:ascii="Arial" w:hAnsi="Arial" w:cs="Arial"/>
          <w:sz w:val="24"/>
          <w:szCs w:val="24"/>
        </w:rPr>
        <w:t>Zheng, H. L. (2015). Research design: Descriptive research. Journal of Pediatric Oncology Nursing, 10(4), 154–157.</w:t>
      </w:r>
    </w:p>
    <w:sectPr w:rsidR="006E7A9A" w:rsidRPr="00C56F62" w:rsidSect="00C56F62">
      <w:footerReference w:type="default" r:id="rId10"/>
      <w:pgSz w:w="12240" w:h="15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A5113" w14:textId="77777777" w:rsidR="00190BBC" w:rsidRDefault="00190BBC" w:rsidP="00C56F62">
      <w:pPr>
        <w:spacing w:after="0" w:line="240" w:lineRule="auto"/>
      </w:pPr>
      <w:r>
        <w:separator/>
      </w:r>
    </w:p>
  </w:endnote>
  <w:endnote w:type="continuationSeparator" w:id="0">
    <w:p w14:paraId="6152F018" w14:textId="77777777" w:rsidR="00190BBC" w:rsidRDefault="00190BBC" w:rsidP="00C56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256945"/>
      <w:docPartObj>
        <w:docPartGallery w:val="Page Numbers (Bottom of Page)"/>
        <w:docPartUnique/>
      </w:docPartObj>
    </w:sdtPr>
    <w:sdtContent>
      <w:p w14:paraId="3E9FAA71" w14:textId="5CB1AC40" w:rsidR="00C56F62" w:rsidRDefault="00C56F62">
        <w:pPr>
          <w:pStyle w:val="Footer"/>
          <w:jc w:val="right"/>
        </w:pPr>
        <w:r>
          <w:fldChar w:fldCharType="begin"/>
        </w:r>
        <w:r>
          <w:instrText>PAGE   \* MERGEFORMAT</w:instrText>
        </w:r>
        <w:r>
          <w:fldChar w:fldCharType="separate"/>
        </w:r>
        <w:r>
          <w:rPr>
            <w:lang w:val="en-GB"/>
          </w:rPr>
          <w:t>2</w:t>
        </w:r>
        <w:r>
          <w:fldChar w:fldCharType="end"/>
        </w:r>
      </w:p>
    </w:sdtContent>
  </w:sdt>
  <w:p w14:paraId="47568765" w14:textId="77777777" w:rsidR="00C56F62" w:rsidRDefault="00C56F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D4C5F" w14:textId="77777777" w:rsidR="00190BBC" w:rsidRDefault="00190BBC" w:rsidP="00C56F62">
      <w:pPr>
        <w:spacing w:after="0" w:line="240" w:lineRule="auto"/>
      </w:pPr>
      <w:r>
        <w:separator/>
      </w:r>
    </w:p>
  </w:footnote>
  <w:footnote w:type="continuationSeparator" w:id="0">
    <w:p w14:paraId="2C08DC61" w14:textId="77777777" w:rsidR="00190BBC" w:rsidRDefault="00190BBC" w:rsidP="00C56F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6249D"/>
    <w:multiLevelType w:val="hybridMultilevel"/>
    <w:tmpl w:val="2968DDA0"/>
    <w:lvl w:ilvl="0" w:tplc="47060084">
      <w:start w:val="1"/>
      <w:numFmt w:val="decimal"/>
      <w:lvlText w:val="%1."/>
      <w:lvlJc w:val="left"/>
      <w:pPr>
        <w:ind w:left="1069" w:hanging="360"/>
      </w:pPr>
      <w:rPr>
        <w:rFonts w:hint="default"/>
      </w:rPr>
    </w:lvl>
    <w:lvl w:ilvl="1" w:tplc="0DF6FF7C" w:tentative="1">
      <w:start w:val="1"/>
      <w:numFmt w:val="lowerLetter"/>
      <w:lvlText w:val="%2."/>
      <w:lvlJc w:val="left"/>
      <w:pPr>
        <w:ind w:left="1789" w:hanging="360"/>
      </w:pPr>
    </w:lvl>
    <w:lvl w:ilvl="2" w:tplc="FB3272D8" w:tentative="1">
      <w:start w:val="1"/>
      <w:numFmt w:val="lowerRoman"/>
      <w:lvlText w:val="%3."/>
      <w:lvlJc w:val="right"/>
      <w:pPr>
        <w:ind w:left="2509" w:hanging="180"/>
      </w:pPr>
    </w:lvl>
    <w:lvl w:ilvl="3" w:tplc="5720C550" w:tentative="1">
      <w:start w:val="1"/>
      <w:numFmt w:val="decimal"/>
      <w:lvlText w:val="%4."/>
      <w:lvlJc w:val="left"/>
      <w:pPr>
        <w:ind w:left="3229" w:hanging="360"/>
      </w:pPr>
    </w:lvl>
    <w:lvl w:ilvl="4" w:tplc="275AEDF8" w:tentative="1">
      <w:start w:val="1"/>
      <w:numFmt w:val="lowerLetter"/>
      <w:lvlText w:val="%5."/>
      <w:lvlJc w:val="left"/>
      <w:pPr>
        <w:ind w:left="3949" w:hanging="360"/>
      </w:pPr>
    </w:lvl>
    <w:lvl w:ilvl="5" w:tplc="ED381884" w:tentative="1">
      <w:start w:val="1"/>
      <w:numFmt w:val="lowerRoman"/>
      <w:lvlText w:val="%6."/>
      <w:lvlJc w:val="right"/>
      <w:pPr>
        <w:ind w:left="4669" w:hanging="180"/>
      </w:pPr>
    </w:lvl>
    <w:lvl w:ilvl="6" w:tplc="F5F44C04" w:tentative="1">
      <w:start w:val="1"/>
      <w:numFmt w:val="decimal"/>
      <w:lvlText w:val="%7."/>
      <w:lvlJc w:val="left"/>
      <w:pPr>
        <w:ind w:left="5389" w:hanging="360"/>
      </w:pPr>
    </w:lvl>
    <w:lvl w:ilvl="7" w:tplc="B616EB9C" w:tentative="1">
      <w:start w:val="1"/>
      <w:numFmt w:val="lowerLetter"/>
      <w:lvlText w:val="%8."/>
      <w:lvlJc w:val="left"/>
      <w:pPr>
        <w:ind w:left="6109" w:hanging="360"/>
      </w:pPr>
    </w:lvl>
    <w:lvl w:ilvl="8" w:tplc="88F6EB2A" w:tentative="1">
      <w:start w:val="1"/>
      <w:numFmt w:val="lowerRoman"/>
      <w:lvlText w:val="%9."/>
      <w:lvlJc w:val="right"/>
      <w:pPr>
        <w:ind w:left="6829" w:hanging="180"/>
      </w:pPr>
    </w:lvl>
  </w:abstractNum>
  <w:abstractNum w:abstractNumId="1" w15:restartNumberingAfterBreak="0">
    <w:nsid w:val="1B385C4D"/>
    <w:multiLevelType w:val="hybridMultilevel"/>
    <w:tmpl w:val="8BCC766E"/>
    <w:lvl w:ilvl="0" w:tplc="8A6A7996">
      <w:start w:val="1"/>
      <w:numFmt w:val="decimal"/>
      <w:lvlText w:val="%1."/>
      <w:lvlJc w:val="left"/>
      <w:pPr>
        <w:ind w:left="720" w:hanging="360"/>
      </w:pPr>
      <w:rPr>
        <w:rFonts w:hint="default"/>
      </w:rPr>
    </w:lvl>
    <w:lvl w:ilvl="1" w:tplc="E9A86E6E" w:tentative="1">
      <w:start w:val="1"/>
      <w:numFmt w:val="lowerLetter"/>
      <w:lvlText w:val="%2."/>
      <w:lvlJc w:val="left"/>
      <w:pPr>
        <w:ind w:left="1440" w:hanging="360"/>
      </w:pPr>
    </w:lvl>
    <w:lvl w:ilvl="2" w:tplc="D36EDBD8" w:tentative="1">
      <w:start w:val="1"/>
      <w:numFmt w:val="lowerRoman"/>
      <w:lvlText w:val="%3."/>
      <w:lvlJc w:val="right"/>
      <w:pPr>
        <w:ind w:left="2160" w:hanging="180"/>
      </w:pPr>
    </w:lvl>
    <w:lvl w:ilvl="3" w:tplc="909083D8" w:tentative="1">
      <w:start w:val="1"/>
      <w:numFmt w:val="decimal"/>
      <w:lvlText w:val="%4."/>
      <w:lvlJc w:val="left"/>
      <w:pPr>
        <w:ind w:left="2880" w:hanging="360"/>
      </w:pPr>
    </w:lvl>
    <w:lvl w:ilvl="4" w:tplc="957E7FB4" w:tentative="1">
      <w:start w:val="1"/>
      <w:numFmt w:val="lowerLetter"/>
      <w:lvlText w:val="%5."/>
      <w:lvlJc w:val="left"/>
      <w:pPr>
        <w:ind w:left="3600" w:hanging="360"/>
      </w:pPr>
    </w:lvl>
    <w:lvl w:ilvl="5" w:tplc="8084ED96" w:tentative="1">
      <w:start w:val="1"/>
      <w:numFmt w:val="lowerRoman"/>
      <w:lvlText w:val="%6."/>
      <w:lvlJc w:val="right"/>
      <w:pPr>
        <w:ind w:left="4320" w:hanging="180"/>
      </w:pPr>
    </w:lvl>
    <w:lvl w:ilvl="6" w:tplc="4770146A" w:tentative="1">
      <w:start w:val="1"/>
      <w:numFmt w:val="decimal"/>
      <w:lvlText w:val="%7."/>
      <w:lvlJc w:val="left"/>
      <w:pPr>
        <w:ind w:left="5040" w:hanging="360"/>
      </w:pPr>
    </w:lvl>
    <w:lvl w:ilvl="7" w:tplc="9464285A" w:tentative="1">
      <w:start w:val="1"/>
      <w:numFmt w:val="lowerLetter"/>
      <w:lvlText w:val="%8."/>
      <w:lvlJc w:val="left"/>
      <w:pPr>
        <w:ind w:left="5760" w:hanging="360"/>
      </w:pPr>
    </w:lvl>
    <w:lvl w:ilvl="8" w:tplc="61C8D54C" w:tentative="1">
      <w:start w:val="1"/>
      <w:numFmt w:val="lowerRoman"/>
      <w:lvlText w:val="%9."/>
      <w:lvlJc w:val="right"/>
      <w:pPr>
        <w:ind w:left="6480" w:hanging="180"/>
      </w:pPr>
    </w:lvl>
  </w:abstractNum>
  <w:num w:numId="1" w16cid:durableId="1574047099">
    <w:abstractNumId w:val="1"/>
  </w:num>
  <w:num w:numId="2" w16cid:durableId="201212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CF3"/>
    <w:rsid w:val="00003B09"/>
    <w:rsid w:val="001271CD"/>
    <w:rsid w:val="00130792"/>
    <w:rsid w:val="00137CF3"/>
    <w:rsid w:val="00152A9D"/>
    <w:rsid w:val="00190BBC"/>
    <w:rsid w:val="001B6BE4"/>
    <w:rsid w:val="002F1047"/>
    <w:rsid w:val="0035003E"/>
    <w:rsid w:val="0042175E"/>
    <w:rsid w:val="004569D4"/>
    <w:rsid w:val="00634A80"/>
    <w:rsid w:val="006E595B"/>
    <w:rsid w:val="006E7A9A"/>
    <w:rsid w:val="0073199F"/>
    <w:rsid w:val="007C2490"/>
    <w:rsid w:val="007E5960"/>
    <w:rsid w:val="008E437B"/>
    <w:rsid w:val="00B208ED"/>
    <w:rsid w:val="00C56F62"/>
    <w:rsid w:val="00C90B32"/>
    <w:rsid w:val="00D82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81E6D"/>
  <w15:docId w15:val="{145DF929-0339-42F9-BD0F-12E17E129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F6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7CF3"/>
    <w:pPr>
      <w:ind w:left="720"/>
      <w:contextualSpacing/>
    </w:pPr>
  </w:style>
  <w:style w:type="paragraph" w:styleId="Header">
    <w:name w:val="header"/>
    <w:basedOn w:val="Normal"/>
    <w:link w:val="HeaderChar"/>
    <w:uiPriority w:val="99"/>
    <w:unhideWhenUsed/>
    <w:rsid w:val="00C56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F62"/>
  </w:style>
  <w:style w:type="paragraph" w:styleId="Footer">
    <w:name w:val="footer"/>
    <w:basedOn w:val="Normal"/>
    <w:link w:val="FooterChar"/>
    <w:uiPriority w:val="99"/>
    <w:unhideWhenUsed/>
    <w:rsid w:val="00C56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F62"/>
  </w:style>
  <w:style w:type="character" w:customStyle="1" w:styleId="Heading1Char">
    <w:name w:val="Heading 1 Char"/>
    <w:basedOn w:val="DefaultParagraphFont"/>
    <w:link w:val="Heading1"/>
    <w:uiPriority w:val="9"/>
    <w:rsid w:val="00C56F6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C56F62"/>
    <w:pPr>
      <w:spacing w:line="259" w:lineRule="auto"/>
      <w:outlineLvl w:val="9"/>
    </w:pPr>
    <w:rPr>
      <w:lang w:val="bg-BG" w:eastAsia="bg-BG"/>
    </w:rPr>
  </w:style>
  <w:style w:type="paragraph" w:styleId="TOC1">
    <w:name w:val="toc 1"/>
    <w:basedOn w:val="Normal"/>
    <w:next w:val="Normal"/>
    <w:autoRedefine/>
    <w:uiPriority w:val="39"/>
    <w:unhideWhenUsed/>
    <w:rsid w:val="00C56F62"/>
    <w:pPr>
      <w:spacing w:after="100"/>
    </w:pPr>
  </w:style>
  <w:style w:type="character" w:styleId="Hyperlink">
    <w:name w:val="Hyperlink"/>
    <w:basedOn w:val="DefaultParagraphFont"/>
    <w:uiPriority w:val="99"/>
    <w:unhideWhenUsed/>
    <w:rsid w:val="00C56F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AE93C-B3F1-4C72-815C-EB61B8839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10</Pages>
  <Words>2435</Words>
  <Characters>15055</Characters>
  <Application>Microsoft Office Word</Application>
  <DocSecurity>0</DocSecurity>
  <Lines>231</Lines>
  <Paragraphs>40</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Nikoleta</dc:creator>
  <cp:lastModifiedBy>Desislava Nikolova</cp:lastModifiedBy>
  <cp:revision>11</cp:revision>
  <dcterms:created xsi:type="dcterms:W3CDTF">2023-07-22T12:14:00Z</dcterms:created>
  <dcterms:modified xsi:type="dcterms:W3CDTF">2023-08-17T21:21:00Z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9c7e4e23f6798cda698be4687e8b2e28afbeced03dd2d94e2caf09655685d84c</vt:lpwstr>
  </property>
</Properties>
</file>