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Spacing"/>
        <w:spacing w:lineRule="auto" w:line="360"/>
        <w:jc w:val="center"/>
        <w:rPr>
          <w:rFonts w:ascii="Arial" w:hAnsi="Arial" w:cs="Times New Roman"/>
          <w:b/>
          <w:b/>
          <w:bCs/>
          <w:color w:val="000000"/>
          <w:shd w:fill="FFFFFF" w:val="clear"/>
        </w:rPr>
      </w:pPr>
      <w:r>
        <w:rPr>
          <w:rFonts w:cs="Times New Roman" w:ascii="Arial" w:hAnsi="Arial"/>
          <w:b/>
          <w:bCs/>
          <w:color w:val="000000"/>
          <w:shd w:fill="FFFFFF" w:val="clear"/>
        </w:rPr>
      </w:r>
    </w:p>
    <w:p>
      <w:pPr>
        <w:pStyle w:val="NoSpacing"/>
        <w:spacing w:lineRule="auto" w:line="360"/>
        <w:jc w:val="center"/>
        <w:rPr>
          <w:rFonts w:ascii="Arial" w:hAnsi="Arial" w:cs="Times New Roman"/>
          <w:b/>
          <w:b/>
          <w:bCs/>
          <w:color w:val="000000"/>
          <w:shd w:fill="FFFFFF" w:val="clear"/>
        </w:rPr>
      </w:pPr>
      <w:r>
        <w:rPr>
          <w:rFonts w:cs="Times New Roman" w:ascii="Arial" w:hAnsi="Arial"/>
          <w:b/>
          <w:bCs/>
          <w:color w:val="000000"/>
          <w:shd w:fill="FFFFFF" w:val="clear"/>
        </w:rPr>
      </w:r>
    </w:p>
    <w:p>
      <w:pPr>
        <w:pStyle w:val="NoSpacing"/>
        <w:spacing w:lineRule="auto" w:line="360"/>
        <w:jc w:val="center"/>
        <w:rPr>
          <w:rFonts w:ascii="Arial" w:hAnsi="Arial" w:cs="Times New Roman"/>
          <w:b/>
          <w:b/>
          <w:bCs/>
          <w:color w:val="000000"/>
          <w:shd w:fill="FFFFFF" w:val="clear"/>
        </w:rPr>
      </w:pPr>
      <w:r>
        <w:rPr>
          <w:rFonts w:cs="Times New Roman" w:ascii="Arial" w:hAnsi="Arial"/>
          <w:b/>
          <w:bCs/>
          <w:color w:val="000000"/>
          <w:shd w:fill="FFFFFF" w:val="clear"/>
        </w:rPr>
      </w:r>
    </w:p>
    <w:p>
      <w:pPr>
        <w:pStyle w:val="Normal"/>
        <w:rPr>
          <w:rFonts w:ascii="Arial" w:hAnsi="Arial"/>
          <w:b/>
          <w:b/>
          <w:bCs/>
          <w:i/>
          <w:i/>
          <w:iCs/>
          <w:szCs w:val="24"/>
          <w:u w:val="single"/>
          <w:shd w:fill="FFFFFF" w:val="clear"/>
        </w:rPr>
      </w:pPr>
      <w:r>
        <w:rPr>
          <w:rFonts w:ascii="Arial" w:hAnsi="Arial"/>
          <w:b/>
          <w:bCs/>
          <w:i/>
          <w:iCs/>
          <w:szCs w:val="24"/>
          <w:u w:val="single"/>
          <w:shd w:fill="FFFFFF" w:val="clear"/>
        </w:rPr>
      </w:r>
    </w:p>
    <w:p>
      <w:pPr>
        <w:pStyle w:val="Normal"/>
        <w:jc w:val="center"/>
        <w:rPr>
          <w:b/>
          <w:b/>
          <w:bCs/>
          <w:i/>
          <w:i/>
          <w:iCs/>
          <w:u w:val="single"/>
        </w:rPr>
      </w:pPr>
      <w:r>
        <w:rPr>
          <w:rFonts w:ascii="Arial" w:hAnsi="Arial"/>
          <w:b/>
          <w:bCs/>
          <w:i/>
          <w:iCs/>
          <w:szCs w:val="24"/>
          <w:u w:val="single"/>
          <w:shd w:fill="FFFFFF" w:val="clear"/>
        </w:rPr>
        <w:t>Food and beverages operations</w:t>
      </w:r>
    </w:p>
    <w:p>
      <w:pPr>
        <w:pStyle w:val="Normal"/>
        <w:jc w:val="center"/>
        <w:rPr>
          <w:rFonts w:ascii="Arial" w:hAnsi="Arial"/>
          <w:szCs w:val="24"/>
          <w:shd w:fill="FFFFFF" w:val="clear"/>
        </w:rPr>
      </w:pPr>
      <w:r>
        <w:rPr>
          <w:rFonts w:ascii="Arial" w:hAnsi="Arial"/>
          <w:b/>
          <w:i/>
          <w:iCs/>
          <w:szCs w:val="24"/>
          <w:shd w:fill="FFFFFF" w:val="clear"/>
        </w:rPr>
        <w:t xml:space="preserve"> </w:t>
      </w:r>
      <w:hyperlink r:id="rId2">
        <w:r>
          <w:rPr>
            <w:rStyle w:val="InternetLink"/>
            <w:rFonts w:ascii="Arial" w:hAnsi="Arial"/>
            <w:b/>
            <w:bCs/>
            <w:i/>
            <w:iCs/>
            <w:caps w:val="false"/>
            <w:smallCaps w:val="false"/>
            <w:strike w:val="false"/>
            <w:dstrike w:val="false"/>
            <w:color w:val="212529"/>
            <w:spacing w:val="0"/>
            <w:sz w:val="24"/>
            <w:szCs w:val="24"/>
            <w:u w:val="none"/>
            <w:effect w:val="none"/>
            <w:shd w:fill="auto" w:val="clear"/>
          </w:rPr>
          <w:t>BMIH4002</w:t>
        </w:r>
      </w:hyperlink>
    </w:p>
    <w:p>
      <w:pPr>
        <w:pStyle w:val="Normal"/>
        <w:jc w:val="center"/>
        <w:rPr>
          <w:rFonts w:ascii="Arial" w:hAnsi="Arial"/>
          <w:szCs w:val="24"/>
          <w:shd w:fill="FFFFFF" w:val="clear"/>
        </w:rPr>
      </w:pPr>
      <w:r>
        <w:rPr>
          <w:rFonts w:ascii="Arial" w:hAnsi="Arial"/>
          <w:b/>
          <w:bCs/>
          <w:i/>
          <w:iCs/>
          <w:caps w:val="false"/>
          <w:smallCaps w:val="false"/>
          <w:strike w:val="false"/>
          <w:dstrike w:val="false"/>
          <w:color w:val="212529"/>
          <w:spacing w:val="0"/>
          <w:sz w:val="24"/>
          <w:szCs w:val="24"/>
          <w:u w:val="none"/>
          <w:effect w:val="none"/>
          <w:shd w:fill="auto" w:val="clear"/>
        </w:rPr>
        <w:t>Lecturer: Mary Needham</w:t>
      </w:r>
    </w:p>
    <w:p>
      <w:pPr>
        <w:pStyle w:val="Normal"/>
        <w:jc w:val="center"/>
        <w:rPr>
          <w:rFonts w:ascii="Arial" w:hAnsi="Arial"/>
          <w:szCs w:val="24"/>
          <w:shd w:fill="FFFFFF" w:val="clear"/>
        </w:rPr>
      </w:pPr>
      <w:r>
        <w:rPr>
          <w:rFonts w:ascii="Arial" w:hAnsi="Arial"/>
          <w:b/>
          <w:bCs/>
          <w:i/>
          <w:iCs/>
          <w:caps w:val="false"/>
          <w:smallCaps w:val="false"/>
          <w:strike w:val="false"/>
          <w:dstrike w:val="false"/>
          <w:color w:val="212529"/>
          <w:spacing w:val="0"/>
          <w:sz w:val="24"/>
          <w:szCs w:val="24"/>
          <w:u w:val="none"/>
          <w:effect w:val="none"/>
          <w:shd w:fill="auto" w:val="clear"/>
        </w:rPr>
        <w:t>Student Name:  Humaun Kabir</w:t>
      </w:r>
    </w:p>
    <w:p>
      <w:pPr>
        <w:pStyle w:val="Normal"/>
        <w:jc w:val="center"/>
        <w:rPr>
          <w:rFonts w:ascii="Arial" w:hAnsi="Arial"/>
          <w:szCs w:val="24"/>
          <w:shd w:fill="FFFFFF" w:val="clear"/>
        </w:rPr>
      </w:pPr>
      <w:r>
        <w:rPr>
          <w:rFonts w:ascii="Arial" w:hAnsi="Arial"/>
          <w:b/>
          <w:bCs/>
          <w:i/>
          <w:iCs/>
          <w:caps w:val="false"/>
          <w:smallCaps w:val="false"/>
          <w:strike w:val="false"/>
          <w:dstrike w:val="false"/>
          <w:color w:val="212529"/>
          <w:spacing w:val="0"/>
          <w:sz w:val="24"/>
          <w:szCs w:val="24"/>
          <w:u w:val="none"/>
          <w:effect w:val="none"/>
          <w:shd w:fill="auto" w:val="clear"/>
        </w:rPr>
        <w:t>Student Number: 2019842</w:t>
      </w:r>
    </w:p>
    <w:p>
      <w:pPr>
        <w:pStyle w:val="Normal"/>
        <w:jc w:val="center"/>
        <w:rPr>
          <w:rFonts w:ascii="Arial" w:hAnsi="Arial"/>
          <w:szCs w:val="24"/>
          <w:shd w:fill="FFFFFF" w:val="clear"/>
        </w:rPr>
      </w:pPr>
      <w:r>
        <w:rPr/>
      </w:r>
      <w:r>
        <w:br w:type="page"/>
      </w:r>
    </w:p>
    <w:p>
      <w:pPr>
        <w:pStyle w:val="ContentsHeading"/>
        <w:rPr/>
      </w:pPr>
      <w:r>
        <w:rPr>
          <w:rFonts w:ascii="Arial" w:hAnsi="Arial"/>
          <w:sz w:val="24"/>
          <w:szCs w:val="24"/>
          <w:shd w:fill="FFFFFF" w:val="clear"/>
        </w:rPr>
        <w:t>Table of Contents</w:t>
      </w:r>
    </w:p>
    <w:sdt>
      <w:sdtPr>
        <w:docPartObj>
          <w:docPartGallery w:val="Table of Contents"/>
          <w:docPartUnique w:val="true"/>
        </w:docPartObj>
      </w:sdtPr>
      <w:sdtContent>
        <w:p>
          <w:pPr>
            <w:pStyle w:val="Contents1"/>
            <w:rPr/>
          </w:pPr>
          <w:r>
            <w:fldChar w:fldCharType="begin"/>
          </w:r>
          <w:r>
            <w:rPr/>
            <w:instrText> TOC \f \o "1-9" \h</w:instrText>
          </w:r>
          <w:r>
            <w:rPr/>
            <w:fldChar w:fldCharType="separate"/>
          </w:r>
          <w:r>
            <w:rPr/>
            <w:t>INTRODUCTION</w:t>
            <w:tab/>
          </w:r>
          <w:hyperlink w:anchor="__RefHeading__118372_331779650">
            <w:r>
              <w:rPr>
                <w:rStyle w:val="IndexLink"/>
              </w:rPr>
              <w:t>3</w:t>
            </w:r>
          </w:hyperlink>
        </w:p>
        <w:p>
          <w:pPr>
            <w:pStyle w:val="Contents1"/>
            <w:rPr/>
          </w:pPr>
          <w:r>
            <w:rPr/>
            <w:t>MAIN BODY</w:t>
            <w:tab/>
          </w:r>
          <w:hyperlink w:anchor="__RefHeading__118374_331779650">
            <w:r>
              <w:rPr>
                <w:rStyle w:val="IndexLink"/>
              </w:rPr>
              <w:t>3</w:t>
            </w:r>
          </w:hyperlink>
        </w:p>
        <w:p>
          <w:pPr>
            <w:pStyle w:val="Contents2"/>
            <w:tabs>
              <w:tab w:val="right" w:pos="9077" w:leader="dot"/>
              <w:tab w:val="right" w:pos="9360" w:leader="dot"/>
            </w:tabs>
            <w:rPr/>
          </w:pPr>
          <w:r>
            <w:rPr/>
            <w:t xml:space="preserve">Food Safety Fundamentals ( The 4C's) </w:t>
            <w:tab/>
          </w:r>
          <w:hyperlink w:anchor="__RefHeading__120094_331779650">
            <w:r>
              <w:rPr>
                <w:rStyle w:val="IndexLink"/>
              </w:rPr>
              <w:t>3</w:t>
            </w:r>
          </w:hyperlink>
        </w:p>
        <w:p>
          <w:pPr>
            <w:pStyle w:val="Contents1"/>
            <w:rPr/>
          </w:pPr>
          <w:r>
            <w:rPr/>
            <w:t xml:space="preserve">CONCLUSION </w:t>
            <w:tab/>
          </w:r>
          <w:hyperlink w:anchor="__RefHeading__118376_331779650">
            <w:r>
              <w:rPr>
                <w:rStyle w:val="IndexLink"/>
              </w:rPr>
              <w:t>4</w:t>
            </w:r>
          </w:hyperlink>
        </w:p>
        <w:p>
          <w:pPr>
            <w:pStyle w:val="Contents1"/>
            <w:rPr/>
          </w:pPr>
          <w:r>
            <w:rPr/>
            <w:t>REFERENCE</w:t>
            <w:tab/>
          </w:r>
          <w:hyperlink w:anchor="__RefHeading__118378_331779650">
            <w:r>
              <w:rPr>
                <w:rStyle w:val="IndexLink"/>
              </w:rPr>
              <w:t>5</w:t>
            </w:r>
          </w:hyperlink>
          <w:r>
            <w:rPr>
              <w:rStyle w:val="IndexLink"/>
            </w:rPr>
            <w:fldChar w:fldCharType="end"/>
          </w:r>
        </w:p>
      </w:sdtContent>
    </w:sdt>
    <w:p>
      <w:pPr>
        <w:pStyle w:val="TextBody"/>
        <w:jc w:val="center"/>
        <w:rPr>
          <w:rFonts w:ascii="Arial" w:hAnsi="Arial" w:cs="Times"/>
          <w:b/>
          <w:b/>
          <w:bCs/>
          <w:szCs w:val="24"/>
          <w:shd w:fill="FFFFFF" w:val="clear"/>
        </w:rPr>
      </w:pPr>
      <w:r>
        <w:rPr>
          <w:rFonts w:ascii="Arial" w:hAnsi="Arial"/>
          <w:szCs w:val="24"/>
          <w:shd w:fill="FFFFFF" w:val="clear"/>
        </w:rPr>
        <w:t xml:space="preserve"> </w:t>
      </w:r>
    </w:p>
    <w:p>
      <w:pPr>
        <w:pStyle w:val="TextBody"/>
        <w:jc w:val="center"/>
        <w:rPr>
          <w:rFonts w:ascii="Arial" w:hAnsi="Arial" w:cs="Times"/>
          <w:b/>
          <w:b/>
          <w:bCs/>
          <w:szCs w:val="24"/>
          <w:shd w:fill="FFFFFF" w:val="clear"/>
        </w:rPr>
      </w:pPr>
      <w:r>
        <w:rPr>
          <w:rFonts w:cs="Times" w:ascii="Arial" w:hAnsi="Arial"/>
          <w:b/>
          <w:bCs/>
          <w:szCs w:val="24"/>
          <w:shd w:fill="FFFFFF" w:val="clear"/>
        </w:rPr>
      </w:r>
    </w:p>
    <w:p>
      <w:pPr>
        <w:pStyle w:val="TextBody"/>
        <w:rPr>
          <w:rFonts w:ascii="Arial" w:hAnsi="Arial" w:cs="Times"/>
          <w:b/>
          <w:b/>
          <w:bCs/>
          <w:szCs w:val="24"/>
          <w:shd w:fill="FFFFFF" w:val="clear"/>
        </w:rPr>
      </w:pPr>
      <w:r>
        <w:rPr>
          <w:rFonts w:cs="Times" w:ascii="Arial" w:hAnsi="Arial"/>
          <w:b/>
          <w:bCs/>
          <w:szCs w:val="24"/>
          <w:shd w:fill="FFFFFF" w:val="clear"/>
        </w:rPr>
      </w:r>
    </w:p>
    <w:p>
      <w:pPr>
        <w:pStyle w:val="Normal"/>
        <w:shd w:val="clear" w:color="auto" w:fill="FFFFFF"/>
        <w:spacing w:before="100" w:after="100"/>
        <w:rPr>
          <w:rFonts w:ascii="Arial" w:hAnsi="Arial" w:cs="Times"/>
          <w:b/>
          <w:b/>
          <w:bCs/>
          <w:szCs w:val="24"/>
          <w:shd w:fill="FFFFFF" w:val="clear"/>
        </w:rPr>
      </w:pPr>
      <w:r>
        <w:rPr>
          <w:rFonts w:eastAsia="Times New Roman" w:cs="Calibri" w:ascii="Arial" w:hAnsi="Arial"/>
          <w:szCs w:val="24"/>
          <w:shd w:fill="FFFFFF" w:val="clear"/>
        </w:rPr>
        <w:tab/>
      </w:r>
    </w:p>
    <w:p>
      <w:pPr>
        <w:pStyle w:val="TextBody"/>
        <w:jc w:val="center"/>
        <w:rPr>
          <w:rFonts w:ascii="Arial" w:hAnsi="Arial" w:cs="Times"/>
          <w:b/>
          <w:b/>
          <w:bCs/>
          <w:szCs w:val="24"/>
          <w:shd w:fill="FFFFFF" w:val="clear"/>
        </w:rPr>
      </w:pPr>
      <w:r>
        <w:rPr>
          <w:rFonts w:cs="Times" w:ascii="Arial" w:hAnsi="Arial"/>
          <w:b/>
          <w:bCs/>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Heading1"/>
        <w:numPr>
          <w:ilvl w:val="0"/>
          <w:numId w:val="0"/>
        </w:numPr>
        <w:ind w:left="0" w:hanging="0"/>
        <w:rPr>
          <w:rFonts w:ascii="Arial" w:hAnsi="Arial"/>
          <w:sz w:val="24"/>
          <w:szCs w:val="24"/>
          <w:shd w:fill="FFFFFF" w:val="clear"/>
        </w:rPr>
      </w:pPr>
      <w:r>
        <w:rPr>
          <w:rFonts w:ascii="Arial" w:hAnsi="Arial"/>
          <w:sz w:val="24"/>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Normal"/>
        <w:rPr>
          <w:rFonts w:ascii="Arial" w:hAnsi="Arial"/>
          <w:szCs w:val="24"/>
          <w:shd w:fill="FFFFFF" w:val="clear"/>
        </w:rPr>
      </w:pPr>
      <w:r>
        <w:rPr>
          <w:rFonts w:ascii="Arial" w:hAnsi="Arial"/>
          <w:szCs w:val="24"/>
          <w:shd w:fill="FFFFFF" w:val="clear"/>
        </w:rPr>
      </w:r>
    </w:p>
    <w:p>
      <w:pPr>
        <w:pStyle w:val="Heading1"/>
        <w:rPr>
          <w:rFonts w:ascii="Arial" w:hAnsi="Arial"/>
          <w:sz w:val="24"/>
          <w:szCs w:val="24"/>
          <w:shd w:fill="FFFFFF" w:val="clear"/>
        </w:rPr>
      </w:pPr>
      <w:r>
        <w:rPr>
          <w:rFonts w:ascii="Arial" w:hAnsi="Arial"/>
          <w:sz w:val="24"/>
          <w:szCs w:val="24"/>
          <w:shd w:fill="FFFFFF" w:val="clear"/>
        </w:rPr>
      </w:r>
      <w:r>
        <w:br w:type="page"/>
      </w:r>
    </w:p>
    <w:p>
      <w:pPr>
        <w:pStyle w:val="Heading1"/>
        <w:rPr>
          <w:rFonts w:ascii="Arial" w:hAnsi="Arial"/>
          <w:sz w:val="24"/>
          <w:szCs w:val="24"/>
          <w:shd w:fill="FFFFFF" w:val="clear"/>
        </w:rPr>
      </w:pPr>
      <w:bookmarkStart w:id="0" w:name="__RefHeading__118372_331779650"/>
      <w:bookmarkEnd w:id="0"/>
      <w:r>
        <w:rPr>
          <w:rFonts w:ascii="Arial" w:hAnsi="Arial"/>
          <w:sz w:val="24"/>
          <w:szCs w:val="24"/>
          <w:shd w:fill="FFFFFF" w:val="clear"/>
        </w:rPr>
        <w:t>INTRODUCTION</w:t>
      </w:r>
    </w:p>
    <w:p>
      <w:pPr>
        <w:pStyle w:val="Normal"/>
        <w:rPr>
          <w:rFonts w:ascii="Arial" w:hAnsi="Arial"/>
          <w:szCs w:val="24"/>
          <w:shd w:fill="FFFFFF" w:val="clear"/>
        </w:rPr>
      </w:pPr>
      <w:r>
        <w:rPr>
          <w:rFonts w:ascii="Arial" w:hAnsi="Arial"/>
          <w:szCs w:val="24"/>
          <w:shd w:fill="FFFFFF" w:val="clear"/>
        </w:rPr>
        <w:tab/>
        <w:t xml:space="preserve">Hospitality industry is defined as the broad category of service industry that includes various departments such as food and drink service, lodging, travel and tourism as well as event planning. Hotels, restaurants, bars and travel agencies are included in hospitality sector (Chelladurai and Jayas, 2018). Food and beverage operations are the important part of hospitality industry that includes various activities such as purchasing raw material, preparing and providing food as well as beverages to customers. In this report food safety fundamentals are covered that consist 4C's such as cross-contamination, cleaning, cooking and chilling in the context of hospitality industry. </w:t>
      </w:r>
    </w:p>
    <w:p>
      <w:pPr>
        <w:pStyle w:val="Heading1"/>
        <w:rPr>
          <w:rFonts w:ascii="Arial" w:hAnsi="Arial"/>
          <w:sz w:val="24"/>
          <w:szCs w:val="24"/>
          <w:shd w:fill="FFFFFF" w:val="clear"/>
        </w:rPr>
      </w:pPr>
      <w:bookmarkStart w:id="1" w:name="__RefHeading__118374_331779650"/>
      <w:bookmarkEnd w:id="1"/>
      <w:r>
        <w:rPr>
          <w:rFonts w:ascii="Arial" w:hAnsi="Arial"/>
          <w:sz w:val="24"/>
          <w:szCs w:val="24"/>
          <w:shd w:fill="FFFFFF" w:val="clear"/>
        </w:rPr>
        <w:t>MAIN BODY</w:t>
      </w:r>
    </w:p>
    <w:p>
      <w:pPr>
        <w:pStyle w:val="Heading2"/>
        <w:numPr>
          <w:ilvl w:val="1"/>
          <w:numId w:val="1"/>
        </w:numPr>
        <w:rPr>
          <w:rFonts w:ascii="Arial" w:hAnsi="Arial"/>
          <w:szCs w:val="24"/>
          <w:shd w:fill="FFFFFF" w:val="clear"/>
        </w:rPr>
      </w:pPr>
      <w:bookmarkStart w:id="2" w:name="__RefHeading__120094_331779650"/>
      <w:bookmarkEnd w:id="2"/>
      <w:r>
        <w:rPr>
          <w:rFonts w:ascii="Arial" w:hAnsi="Arial"/>
          <w:szCs w:val="24"/>
          <w:shd w:fill="FFFFFF" w:val="clear"/>
        </w:rPr>
        <w:t xml:space="preserve">Food Safety Fundamentals ( The 4C's) </w:t>
      </w:r>
    </w:p>
    <w:p>
      <w:pPr>
        <w:pStyle w:val="Normal"/>
        <w:rPr>
          <w:rFonts w:ascii="Arial" w:hAnsi="Arial"/>
          <w:szCs w:val="24"/>
          <w:shd w:fill="FFFFFF" w:val="clear"/>
        </w:rPr>
      </w:pPr>
      <w:r>
        <w:rPr>
          <w:rFonts w:ascii="Arial" w:hAnsi="Arial"/>
          <w:szCs w:val="24"/>
          <w:shd w:fill="FFFFFF" w:val="clear"/>
        </w:rPr>
        <w:t xml:space="preserve">Food safety fundamentals includes 4 C's are the standard practices that are defined by the food and safety organisation across the world. These fundamentals includes cross-contamination, cleaning, cooking and chilling that ensures that food products that are prepared as well as served by the organisation are safe for customer's consumption. </w:t>
      </w:r>
    </w:p>
    <w:p>
      <w:pPr>
        <w:pStyle w:val="Normal"/>
        <w:rPr>
          <w:rFonts w:ascii="Arial" w:hAnsi="Arial"/>
          <w:szCs w:val="24"/>
          <w:shd w:fill="FFFFFF" w:val="clear"/>
        </w:rPr>
      </w:pPr>
      <w:r>
        <w:rPr>
          <w:rFonts w:ascii="Arial" w:hAnsi="Arial"/>
          <w:szCs w:val="24"/>
          <w:shd w:fill="FFFFFF" w:val="clear"/>
        </w:rPr>
        <w:tab/>
        <w:t xml:space="preserve">According to my point of view cross-contamination is take place in the situation when raw material through which food will be prepared is not handled properly and multiple bacteria are spread in kitchen that lead to food poisoning. It is necessary to maintain high degree of personal hygiene by the food handlers (Feinstein, Hertzman and Stefanelli,  2017). The process of practising being hygienic and personal hygiene facilitates organisation to reduce the chances of cross-contamination. According to my view point there are various ways that enables organisation to eliminate cross-contamination from the process of preparing food items such as raw meat should be washed separately and use separated chopping board to cut raw meat and washing hands, utensils and dishes with hot soapy water. The food and beverage sector of hospitality industry communicates standards and measures on the bases of that they have to prepare food products with safely. </w:t>
      </w:r>
    </w:p>
    <w:p>
      <w:pPr>
        <w:pStyle w:val="Normal"/>
        <w:rPr>
          <w:rFonts w:ascii="Arial" w:hAnsi="Arial"/>
          <w:szCs w:val="24"/>
          <w:shd w:fill="FFFFFF" w:val="clear"/>
        </w:rPr>
      </w:pPr>
      <w:r>
        <w:rPr>
          <w:rFonts w:ascii="Arial" w:hAnsi="Arial"/>
          <w:szCs w:val="24"/>
          <w:shd w:fill="FFFFFF" w:val="clear"/>
        </w:rPr>
        <w:tab/>
        <w:t xml:space="preserve">I have analysed that cleaning is the important thing to maintain safety in food and beverages operations. Food department of hospitality industry ensures cleanliness in the process of preparing food items. I prefer washing had with soap for the duration of 20 seconds, paper towel or clean cloth is used for drying hands, surface or platform of kitchen must be clean before  and after preparing food on regular bases. Apart from that I prefer use of sanitizers, anti-bacteria cleaner to prevent bacteria from thriving. I have learnt various skills such as interpersonal skills, maintains hygiene and behavioural competencies to interact with guest and enhance their overall experience with organisation through providing and safe and hygienic food products. These skills and competencies enables me to perform defined operations in most efficient manner to achieve determined goals and objectives. </w:t>
      </w:r>
    </w:p>
    <w:p>
      <w:pPr>
        <w:pStyle w:val="Normal"/>
        <w:rPr>
          <w:rFonts w:ascii="Arial" w:hAnsi="Arial"/>
          <w:szCs w:val="24"/>
          <w:shd w:fill="FFFFFF" w:val="clear"/>
        </w:rPr>
      </w:pPr>
      <w:r>
        <w:rPr>
          <w:rFonts w:ascii="Arial" w:hAnsi="Arial"/>
          <w:szCs w:val="24"/>
          <w:shd w:fill="FFFFFF" w:val="clear"/>
        </w:rPr>
        <w:tab/>
        <w:t xml:space="preserve">According to my perceptive food items must be cooked properly at high temperature. I have analysed that food must be cooked for long time until steam comes out from it. I always prefer to follow the instructions regarding temperature and time of cooking different food products that enables to prevent them from lethal germs (Purnama and Nurdiniah, 2019). I noticed that ideal temperature of re-heating food product is 74 degree C or 165 degree F. Chilling is the another way that is used by me for protecting food from germs through keeping food product in fridge at right temperature. I have analysed that in business, it is required to chilled food at set temperature which is below than 5 degree C which prevent food from harmful germs germ getting grow and multiply. </w:t>
      </w:r>
    </w:p>
    <w:p>
      <w:pPr>
        <w:pStyle w:val="Normal"/>
        <w:rPr>
          <w:rFonts w:ascii="Arial" w:hAnsi="Arial"/>
          <w:szCs w:val="24"/>
        </w:rPr>
      </w:pPr>
      <w:r>
        <w:rPr>
          <w:rFonts w:ascii="Arial" w:hAnsi="Arial"/>
          <w:szCs w:val="24"/>
          <w:shd w:fill="FFFFFF" w:val="clear"/>
        </w:rPr>
        <w:tab/>
        <w:t xml:space="preserve">As per my point of view, it is very important to implement strong food safety management system in food and beverages operations in hospitality industry. It enables organisation to establishing strong and reliable brand image among customers. I believes that is customers found that, an organisation follows all food safety standards and measures than they will prefer food of that organisation as compared to other organisations. It helps business to enhance sales, profitability ratio and enables to gain sustainable competitive advantages (Kastelli, Tsakanikas and Caloghirou, 2018). It facilitates organisation to provide high customer experience through offering quality and hygienic products and services to customers. </w:t>
      </w:r>
    </w:p>
    <w:p>
      <w:pPr>
        <w:pStyle w:val="Heading1"/>
        <w:rPr>
          <w:rFonts w:ascii="Arial" w:hAnsi="Arial"/>
          <w:sz w:val="24"/>
          <w:szCs w:val="24"/>
          <w:shd w:fill="FFFFFF" w:val="clear"/>
        </w:rPr>
      </w:pPr>
      <w:bookmarkStart w:id="3" w:name="__RefHeading__118376_331779650"/>
      <w:bookmarkEnd w:id="3"/>
      <w:r>
        <w:rPr>
          <w:rFonts w:ascii="Arial" w:hAnsi="Arial"/>
          <w:sz w:val="24"/>
          <w:szCs w:val="24"/>
        </w:rPr>
        <w:t>CONCLUSION</w:t>
      </w:r>
      <w:r>
        <w:rPr>
          <w:rFonts w:ascii="Arial" w:hAnsi="Arial"/>
          <w:sz w:val="24"/>
          <w:szCs w:val="24"/>
          <w:shd w:fill="FFFFFF" w:val="clear"/>
        </w:rPr>
        <w:t xml:space="preserve"> </w:t>
      </w:r>
    </w:p>
    <w:p>
      <w:pPr>
        <w:pStyle w:val="Normal"/>
        <w:rPr>
          <w:rFonts w:ascii="Arial" w:hAnsi="Arial"/>
          <w:szCs w:val="24"/>
          <w:shd w:fill="FFFFFF" w:val="clear"/>
        </w:rPr>
      </w:pPr>
      <w:r>
        <w:rPr>
          <w:rFonts w:ascii="Arial" w:hAnsi="Arial"/>
          <w:szCs w:val="24"/>
          <w:shd w:fill="FFFFFF" w:val="clear"/>
        </w:rPr>
        <w:tab/>
        <w:t xml:space="preserve">As per the above report, it can be concluded that hospitality industry covers wide part of service industry that provides food and beverages, travel and tourism and lodging facilitates. Food and beverage operations are the great part of hospitality industry that is engages in preparing and serving food products to customers through restaurant. Food sector of hospitality industry implements various fundamental of food safety that enables organisation to attract large customer base. </w:t>
      </w:r>
    </w:p>
    <w:p>
      <w:pPr>
        <w:pStyle w:val="Heading1"/>
        <w:rPr>
          <w:rFonts w:ascii="Arial" w:hAnsi="Arial"/>
          <w:sz w:val="24"/>
          <w:szCs w:val="24"/>
          <w:u w:val="single"/>
          <w:shd w:fill="FFFFFF" w:val="clear"/>
        </w:rPr>
      </w:pPr>
      <w:bookmarkStart w:id="4" w:name="__RefHeading__118378_331779650"/>
      <w:bookmarkEnd w:id="4"/>
      <w:r>
        <w:rPr>
          <w:rFonts w:ascii="Arial" w:hAnsi="Arial"/>
          <w:sz w:val="24"/>
          <w:szCs w:val="24"/>
          <w:shd w:fill="FFFFFF" w:val="clear"/>
        </w:rPr>
        <w:t>REFERENCE</w:t>
      </w:r>
    </w:p>
    <w:p>
      <w:pPr>
        <w:pStyle w:val="Normal"/>
        <w:rPr>
          <w:rFonts w:ascii="Arial" w:hAnsi="Arial"/>
          <w:szCs w:val="24"/>
          <w:shd w:fill="FFFFFF" w:val="clear"/>
        </w:rPr>
      </w:pPr>
      <w:r>
        <w:rPr>
          <w:rFonts w:ascii="Arial" w:hAnsi="Arial"/>
          <w:szCs w:val="24"/>
          <w:u w:val="single"/>
          <w:shd w:fill="FFFFFF" w:val="clear"/>
        </w:rPr>
        <w:t>Book and journal</w:t>
      </w:r>
    </w:p>
    <w:p>
      <w:pPr>
        <w:pStyle w:val="Normal"/>
        <w:ind w:left="836" w:hanging="836"/>
        <w:rPr>
          <w:rFonts w:ascii="Arial" w:hAnsi="Arial"/>
          <w:szCs w:val="24"/>
          <w:shd w:fill="FFFFFF" w:val="clear"/>
        </w:rPr>
      </w:pPr>
      <w:r>
        <w:rPr>
          <w:rFonts w:ascii="Arial" w:hAnsi="Arial"/>
          <w:szCs w:val="24"/>
          <w:shd w:fill="FFFFFF" w:val="clear"/>
        </w:rPr>
        <w:t>Chelladurai, V. and Jayas, D. S., 2018. </w:t>
      </w:r>
      <w:r>
        <w:rPr>
          <w:rFonts w:ascii="Arial" w:hAnsi="Arial"/>
          <w:i/>
          <w:szCs w:val="24"/>
          <w:shd w:fill="FFFFFF" w:val="clear"/>
        </w:rPr>
        <w:t>Nanoscience and nanotechnology in foods and beverages</w:t>
      </w:r>
      <w:r>
        <w:rPr>
          <w:rFonts w:ascii="Arial" w:hAnsi="Arial"/>
          <w:szCs w:val="24"/>
          <w:shd w:fill="FFFFFF" w:val="clear"/>
        </w:rPr>
        <w:t>. CRC Press.</w:t>
      </w:r>
    </w:p>
    <w:p>
      <w:pPr>
        <w:pStyle w:val="Normal"/>
        <w:ind w:left="836" w:hanging="836"/>
        <w:rPr>
          <w:rFonts w:ascii="Arial" w:hAnsi="Arial"/>
          <w:szCs w:val="24"/>
          <w:shd w:fill="FFFFFF" w:val="clear"/>
        </w:rPr>
      </w:pPr>
      <w:r>
        <w:rPr>
          <w:rFonts w:ascii="Arial" w:hAnsi="Arial"/>
          <w:szCs w:val="24"/>
          <w:shd w:fill="FFFFFF" w:val="clear"/>
        </w:rPr>
        <w:t>Feinstein, A. H., Hertzman, J. L. and Stefanelli, J. M., 2017. </w:t>
      </w:r>
      <w:r>
        <w:rPr>
          <w:rFonts w:ascii="Arial" w:hAnsi="Arial"/>
          <w:i/>
          <w:szCs w:val="24"/>
          <w:shd w:fill="FFFFFF" w:val="clear"/>
        </w:rPr>
        <w:t>Purchasing: selection and procurement for the hospitality industry</w:t>
      </w:r>
      <w:r>
        <w:rPr>
          <w:rFonts w:ascii="Arial" w:hAnsi="Arial"/>
          <w:szCs w:val="24"/>
          <w:shd w:fill="FFFFFF" w:val="clear"/>
        </w:rPr>
        <w:t>. Wiley.</w:t>
      </w:r>
    </w:p>
    <w:p>
      <w:pPr>
        <w:pStyle w:val="Normal"/>
        <w:ind w:left="836" w:hanging="836"/>
        <w:rPr>
          <w:rFonts w:ascii="Arial" w:hAnsi="Arial"/>
          <w:szCs w:val="24"/>
          <w:shd w:fill="FFFFFF" w:val="clear"/>
        </w:rPr>
      </w:pPr>
      <w:r>
        <w:rPr>
          <w:rFonts w:ascii="Arial" w:hAnsi="Arial"/>
          <w:szCs w:val="24"/>
          <w:shd w:fill="FFFFFF" w:val="clear"/>
        </w:rPr>
        <w:t>Purnama, I. and Nurdiniah, D., 2019. Profitability, firm size, and earnings management: the moderating effect of managerial ownership. </w:t>
      </w:r>
      <w:r>
        <w:rPr>
          <w:rFonts w:ascii="Arial" w:hAnsi="Arial"/>
          <w:i/>
          <w:szCs w:val="24"/>
          <w:shd w:fill="FFFFFF" w:val="clear"/>
        </w:rPr>
        <w:t>Advances in Economics, Business and Management Research</w:t>
      </w:r>
      <w:r>
        <w:rPr>
          <w:rFonts w:ascii="Arial" w:hAnsi="Arial"/>
          <w:szCs w:val="24"/>
          <w:shd w:fill="FFFFFF" w:val="clear"/>
        </w:rPr>
        <w:t>, 73, pp.41-46.</w:t>
      </w:r>
    </w:p>
    <w:p>
      <w:pPr>
        <w:pStyle w:val="Normal"/>
        <w:ind w:left="836" w:hanging="836"/>
        <w:rPr>
          <w:rFonts w:ascii="Arial" w:hAnsi="Arial"/>
          <w:b/>
          <w:b/>
          <w:bCs/>
          <w:szCs w:val="24"/>
          <w:u w:val="single"/>
          <w:shd w:fill="FFFFFF" w:val="clear"/>
        </w:rPr>
      </w:pPr>
      <w:r>
        <w:rPr>
          <w:rFonts w:ascii="Arial" w:hAnsi="Arial"/>
          <w:szCs w:val="24"/>
          <w:shd w:fill="FFFFFF" w:val="clear"/>
        </w:rPr>
        <w:t>Kastelli, I., Tsakanikas, A. and Caloghirou, Y., 2018. Technology transfer as a mechanism for dynamic transformation in the food sector. </w:t>
      </w:r>
      <w:r>
        <w:rPr>
          <w:rFonts w:ascii="Arial" w:hAnsi="Arial"/>
          <w:i/>
          <w:szCs w:val="24"/>
          <w:shd w:fill="FFFFFF" w:val="clear"/>
        </w:rPr>
        <w:t>The Journal of Technology Transfer</w:t>
      </w:r>
      <w:r>
        <w:rPr>
          <w:rFonts w:ascii="Arial" w:hAnsi="Arial"/>
          <w:szCs w:val="24"/>
          <w:shd w:fill="FFFFFF" w:val="clear"/>
        </w:rPr>
        <w:t>, 43(4), pp.882-900.</w:t>
      </w:r>
    </w:p>
    <w:p>
      <w:pPr>
        <w:pStyle w:val="Normal"/>
        <w:rPr>
          <w:rFonts w:ascii="Arial" w:hAnsi="Arial"/>
          <w:szCs w:val="24"/>
        </w:rPr>
      </w:pPr>
      <w:r>
        <w:rPr>
          <w:rFonts w:ascii="Arial" w:hAnsi="Arial"/>
          <w:b/>
          <w:bCs/>
          <w:szCs w:val="24"/>
          <w:u w:val="single"/>
          <w:shd w:fill="FFFFFF" w:val="clear"/>
        </w:rPr>
        <w:t>Online:</w:t>
      </w:r>
    </w:p>
    <w:p>
      <w:pPr>
        <w:pStyle w:val="Normal"/>
        <w:ind w:left="836" w:hanging="825"/>
        <w:rPr>
          <w:rFonts w:ascii="Arial" w:hAnsi="Arial"/>
          <w:szCs w:val="24"/>
          <w:u w:val="double"/>
        </w:rPr>
      </w:pPr>
      <w:r>
        <w:rPr>
          <w:rFonts w:ascii="Arial" w:hAnsi="Arial"/>
          <w:szCs w:val="24"/>
        </w:rPr>
        <w:t>4C’s of Food Safety.2021 [Online] available through :&lt;https://tosh.in/blog/4cs-of-food-safety-cross-contamination-cleaning-cooking-and-chilling/&gt;</w:t>
      </w:r>
    </w:p>
    <w:p>
      <w:pPr>
        <w:pStyle w:val="Normal"/>
        <w:ind w:left="836" w:hanging="825"/>
        <w:rPr>
          <w:rFonts w:ascii="Arial" w:hAnsi="Arial"/>
          <w:szCs w:val="24"/>
          <w:u w:val="double"/>
        </w:rPr>
      </w:pPr>
      <w:r>
        <w:rPr>
          <w:rFonts w:ascii="Arial" w:hAnsi="Arial"/>
          <w:szCs w:val="24"/>
          <w:u w:val="double"/>
        </w:rPr>
      </w:r>
    </w:p>
    <w:p>
      <w:pPr>
        <w:pStyle w:val="Normal"/>
        <w:ind w:left="836" w:hanging="836"/>
        <w:rPr>
          <w:rFonts w:ascii="Arial" w:hAnsi="Arial"/>
          <w:szCs w:val="24"/>
          <w:shd w:fill="FFFFFF" w:val="clear"/>
        </w:rPr>
      </w:pPr>
      <w:r>
        <w:rPr/>
      </w:r>
    </w:p>
    <w:sectPr>
      <w:headerReference w:type="default" r:id="rId3"/>
      <w:footerReference w:type="default" r:id="rId4"/>
      <w:type w:val="nextPage"/>
      <w:pgSz w:w="12240" w:h="15840"/>
      <w:pgMar w:left="1440" w:right="1440" w:header="720" w:top="1440" w:footer="720" w:bottom="1440"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Arial">
    <w:charset w:val="00"/>
    <w:family w:val="roman"/>
    <w:pitch w:val="variable"/>
  </w:font>
  <w:font w:name="Tinos">
    <w:charset w:val="00"/>
    <w:family w:val="roman"/>
    <w:pitch w:val="variable"/>
  </w:font>
  <w:font w:name="DejaVu Sans Mono">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60" w:before="0" w:after="0"/>
      <w:jc w:val="both"/>
    </w:pPr>
    <w:rPr>
      <w:rFonts w:eastAsia="Calibri" w:ascii="Times New Roman" w:hAnsi="Times New Roman" w:cs="Times New Roman"/>
      <w:color w:val="000000"/>
      <w:kern w:val="0"/>
      <w:sz w:val="24"/>
      <w:szCs w:val="22"/>
      <w:lang w:eastAsia="ar-SA" w:val="en-GB" w:bidi="ar-SA"/>
    </w:rPr>
  </w:style>
  <w:style w:type="paragraph" w:styleId="Heading1">
    <w:name w:val="Heading 1"/>
    <w:basedOn w:val="Normal"/>
    <w:next w:val="Normal"/>
    <w:qFormat/>
    <w:pPr>
      <w:keepNext w:val="true"/>
      <w:keepLines/>
      <w:spacing w:before="113" w:after="0"/>
      <w:outlineLvl w:val="0"/>
    </w:pPr>
    <w:rPr>
      <w:rFonts w:eastAsia="Times New Roman"/>
      <w:b/>
      <w:bCs/>
      <w:sz w:val="28"/>
      <w:szCs w:val="28"/>
    </w:rPr>
  </w:style>
  <w:style w:type="paragraph" w:styleId="Heading2">
    <w:name w:val="Heading 2"/>
    <w:basedOn w:val="Normal"/>
    <w:next w:val="Normal"/>
    <w:qFormat/>
    <w:pPr>
      <w:keepNext w:val="true"/>
      <w:keepLines/>
      <w:spacing w:before="113" w:after="0"/>
      <w:outlineLvl w:val="1"/>
    </w:pPr>
    <w:rPr>
      <w:rFonts w:eastAsia="Times New Roman"/>
      <w:bCs/>
      <w:szCs w:val="26"/>
      <w:u w:val="single"/>
    </w:rPr>
  </w:style>
  <w:style w:type="paragraph" w:styleId="Heading3">
    <w:name w:val="Heading 3"/>
    <w:basedOn w:val="Heading"/>
    <w:next w:val="TextBody"/>
    <w:qFormat/>
    <w:pPr>
      <w:outlineLvl w:val="2"/>
    </w:pPr>
    <w:rPr>
      <w:b/>
      <w:bCs/>
    </w:rPr>
  </w:style>
  <w:style w:type="paragraph" w:styleId="Heading4">
    <w:name w:val="Heading 4"/>
    <w:basedOn w:val="Heading"/>
    <w:next w:val="TextBody"/>
    <w:qFormat/>
    <w:pPr>
      <w:outlineLvl w:val="3"/>
    </w:pPr>
    <w:rPr>
      <w:b/>
      <w:bCs/>
      <w:i/>
      <w:iCs/>
      <w:sz w:val="24"/>
      <w:szCs w:val="24"/>
    </w:rPr>
  </w:style>
  <w:style w:type="paragraph" w:styleId="Heading5">
    <w:name w:val="Heading 5"/>
    <w:basedOn w:val="Heading"/>
    <w:next w:val="TextBody"/>
    <w:qFormat/>
    <w:pPr>
      <w:outlineLvl w:val="4"/>
    </w:pPr>
    <w:rPr>
      <w:b/>
      <w:bCs/>
      <w:sz w:val="24"/>
      <w:szCs w:val="24"/>
    </w:rPr>
  </w:style>
  <w:style w:type="paragraph" w:styleId="Heading6">
    <w:name w:val="Heading 6"/>
    <w:basedOn w:val="Heading"/>
    <w:next w:val="TextBody"/>
    <w:qFormat/>
    <w:pPr>
      <w:outlineLvl w:val="5"/>
    </w:pPr>
    <w:rPr>
      <w:b/>
      <w:bCs/>
      <w:sz w:val="21"/>
      <w:szCs w:val="21"/>
    </w:rPr>
  </w:style>
  <w:style w:type="paragraph" w:styleId="Heading7">
    <w:name w:val="Heading 7"/>
    <w:basedOn w:val="Heading"/>
    <w:next w:val="TextBody"/>
    <w:qFormat/>
    <w:pPr>
      <w:outlineLvl w:val="6"/>
    </w:pPr>
    <w:rPr>
      <w:b/>
      <w:bCs/>
      <w:sz w:val="21"/>
      <w:szCs w:val="21"/>
    </w:rPr>
  </w:style>
  <w:style w:type="paragraph" w:styleId="Heading8">
    <w:name w:val="Heading 8"/>
    <w:basedOn w:val="Heading"/>
    <w:next w:val="TextBody"/>
    <w:qFormat/>
    <w:pPr>
      <w:outlineLvl w:val="7"/>
    </w:pPr>
    <w:rPr>
      <w:b/>
      <w:bCs/>
      <w:sz w:val="21"/>
      <w:szCs w:val="21"/>
    </w:rPr>
  </w:style>
  <w:style w:type="paragraph" w:styleId="Heading9">
    <w:name w:val="Heading 9"/>
    <w:basedOn w:val="Heading"/>
    <w:next w:val="TextBody"/>
    <w:qFormat/>
    <w:pPr>
      <w:outlineLvl w:val="8"/>
    </w:pPr>
    <w:rPr>
      <w:b/>
      <w:bCs/>
      <w:sz w:val="21"/>
      <w:szCs w:val="21"/>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DefaultParagraphFont1" w:customStyle="1">
    <w:name w:val="Default Paragraph Font1"/>
    <w:qFormat/>
    <w:rPr/>
  </w:style>
  <w:style w:type="character" w:styleId="WW8Num2z0" w:customStyle="1">
    <w:name w:val="WW8Num2z0"/>
    <w:qFormat/>
    <w:rPr>
      <w:rFonts w:ascii="Symbol" w:hAnsi="Symbol" w:cs="OpenSymbol"/>
    </w:rPr>
  </w:style>
  <w:style w:type="character" w:styleId="WW8Num2z1" w:customStyle="1">
    <w:name w:val="WW8Num2z1"/>
    <w:qFormat/>
    <w:rPr>
      <w:rFonts w:ascii="OpenSymbol" w:hAnsi="OpenSymbol" w:cs="OpenSymbol"/>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DefaultParagraphFont" w:customStyle="1">
    <w:name w:val="WW-Default Paragraph Font"/>
    <w:qFormat/>
    <w:rPr/>
  </w:style>
  <w:style w:type="character" w:styleId="WWDefaultParagraphFont1" w:customStyle="1">
    <w:name w:val="WW-Default Paragraph Font1"/>
    <w:qFormat/>
    <w:rPr/>
  </w:style>
  <w:style w:type="character" w:styleId="WW8Num3z0" w:customStyle="1">
    <w:name w:val="WW8Num3z0"/>
    <w:qFormat/>
    <w:rPr>
      <w:rFonts w:ascii="Symbol" w:hAnsi="Symbol" w:cs="OpenSymbol"/>
    </w:rPr>
  </w:style>
  <w:style w:type="character" w:styleId="WW8Num3z1" w:customStyle="1">
    <w:name w:val="WW8Num3z1"/>
    <w:qFormat/>
    <w:rPr>
      <w:rFonts w:ascii="OpenSymbol" w:hAnsi="OpenSymbol" w:cs="OpenSymbol"/>
    </w:rPr>
  </w:style>
  <w:style w:type="character" w:styleId="WWDefaultParagraphFont11" w:customStyle="1">
    <w:name w:val="WW-Default Paragraph Font11"/>
    <w:qFormat/>
    <w:rPr/>
  </w:style>
  <w:style w:type="character" w:styleId="HeaderChar" w:customStyle="1">
    <w:name w:val="Header Char"/>
    <w:basedOn w:val="WWDefaultParagraphFont11"/>
    <w:qFormat/>
    <w:rPr/>
  </w:style>
  <w:style w:type="character" w:styleId="FooterChar" w:customStyle="1">
    <w:name w:val="Footer Char"/>
    <w:basedOn w:val="WWDefaultParagraphFont11"/>
    <w:qFormat/>
    <w:rPr/>
  </w:style>
  <w:style w:type="character" w:styleId="Heading1Char" w:customStyle="1">
    <w:name w:val="Heading 1 Char"/>
    <w:qFormat/>
    <w:rPr>
      <w:rFonts w:ascii="Times New Roman" w:hAnsi="Times New Roman" w:eastAsia="Times New Roman" w:cs="Times New Roman"/>
      <w:b/>
      <w:bCs/>
      <w:sz w:val="28"/>
      <w:szCs w:val="28"/>
    </w:rPr>
  </w:style>
  <w:style w:type="character" w:styleId="Heading2Char" w:customStyle="1">
    <w:name w:val="Heading 2 Char"/>
    <w:qFormat/>
    <w:rPr>
      <w:rFonts w:ascii="Times New Roman" w:hAnsi="Times New Roman" w:eastAsia="Times New Roman" w:cs="Times New Roman"/>
      <w:bCs/>
      <w:sz w:val="24"/>
      <w:szCs w:val="26"/>
      <w:u w:val="single"/>
    </w:rPr>
  </w:style>
  <w:style w:type="character" w:styleId="Bullets" w:customStyle="1">
    <w:name w:val="Bullets"/>
    <w:qFormat/>
    <w:rPr>
      <w:rFonts w:ascii="OpenSymbol" w:hAnsi="OpenSymbol" w:eastAsia="OpenSymbol" w:cs="OpenSymbol"/>
    </w:rPr>
  </w:style>
  <w:style w:type="character" w:styleId="InternetLink">
    <w:name w:val="Hyperlink"/>
    <w:rPr>
      <w:color w:val="000080"/>
      <w:u w:val="single"/>
    </w:rPr>
  </w:style>
  <w:style w:type="character" w:styleId="IndexLink" w:customStyle="1">
    <w:name w:val="Index Link"/>
    <w:qFormat/>
    <w:rPr/>
  </w:style>
  <w:style w:type="character" w:styleId="NumberingSymbols" w:customStyle="1">
    <w:name w:val="Numbering Symbols"/>
    <w:qFormat/>
    <w:rPr/>
  </w:style>
  <w:style w:type="character" w:styleId="Quotation" w:customStyle="1">
    <w:name w:val="Quotation"/>
    <w:qFormat/>
    <w:rPr>
      <w:i/>
      <w:iCs/>
    </w:rPr>
  </w:style>
  <w:style w:type="character" w:styleId="BodyTextChar" w:customStyle="1">
    <w:name w:val="Body Text Char"/>
    <w:basedOn w:val="DefaultParagraphFont1"/>
    <w:qFormat/>
    <w:rPr>
      <w:rFonts w:eastAsia="Calibri"/>
      <w:color w:val="000000"/>
      <w:sz w:val="24"/>
      <w:szCs w:val="22"/>
      <w:lang w:val="en-GB"/>
    </w:rPr>
  </w:style>
  <w:style w:type="paragraph" w:styleId="Heading" w:customStyle="1">
    <w:name w:val="Heading"/>
    <w:basedOn w:val="Normal"/>
    <w:next w:val="TextBody"/>
    <w:qFormat/>
    <w:pPr>
      <w:keepNext w:val="true"/>
      <w:spacing w:before="240" w:after="120"/>
    </w:pPr>
    <w:rPr>
      <w:rFonts w:ascii="Arial" w:hAnsi="Arial" w:eastAsia="Droid Sans" w:cs="DejaVu Sans"/>
      <w:sz w:val="28"/>
      <w:szCs w:val="28"/>
    </w:rPr>
  </w:style>
  <w:style w:type="paragraph" w:styleId="TextBody">
    <w:name w:val="Body Text"/>
    <w:basedOn w:val="Normal"/>
    <w:pPr/>
    <w:rPr/>
  </w:style>
  <w:style w:type="paragraph" w:styleId="List">
    <w:name w:val="List"/>
    <w:basedOn w:val="TextBody"/>
    <w:pPr/>
    <w:rPr>
      <w:rFonts w:cs="DejaVu Sans"/>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DejaVu Sans"/>
    </w:rPr>
  </w:style>
  <w:style w:type="paragraph" w:styleId="Caption1" w:customStyle="1">
    <w:name w:val="Caption1"/>
    <w:basedOn w:val="Normal"/>
    <w:qFormat/>
    <w:pPr>
      <w:suppressLineNumbers/>
      <w:spacing w:before="120" w:after="120"/>
    </w:pPr>
    <w:rPr>
      <w:rFonts w:cs="DejaVu Sans"/>
      <w:i/>
      <w:iCs/>
      <w:szCs w:val="24"/>
    </w:rPr>
  </w:style>
  <w:style w:type="paragraph" w:styleId="HeaderandFooter">
    <w:name w:val="Header and Footer"/>
    <w:basedOn w:val="Normal"/>
    <w:qFormat/>
    <w:pPr/>
    <w:rPr/>
  </w:style>
  <w:style w:type="paragraph" w:styleId="Header">
    <w:name w:val="Header"/>
    <w:basedOn w:val="Normal"/>
    <w:pPr>
      <w:tabs>
        <w:tab w:val="clear" w:pos="720"/>
        <w:tab w:val="center" w:pos="4680" w:leader="none"/>
        <w:tab w:val="right" w:pos="9360" w:leader="none"/>
      </w:tabs>
      <w:spacing w:lineRule="auto" w:line="240"/>
    </w:pPr>
    <w:rPr/>
  </w:style>
  <w:style w:type="paragraph" w:styleId="Footer">
    <w:name w:val="Footer"/>
    <w:basedOn w:val="Normal"/>
    <w:pPr>
      <w:tabs>
        <w:tab w:val="clear" w:pos="720"/>
        <w:tab w:val="center" w:pos="4680" w:leader="none"/>
        <w:tab w:val="right" w:pos="9360" w:leader="none"/>
      </w:tabs>
      <w:spacing w:lineRule="auto" w:line="240"/>
    </w:pPr>
    <w:rPr/>
  </w:style>
  <w:style w:type="paragraph" w:styleId="IndexHeading">
    <w:name w:val="Index Heading"/>
    <w:basedOn w:val="Heading"/>
    <w:pPr/>
    <w:rPr/>
  </w:style>
  <w:style w:type="paragraph" w:styleId="ContentsHeading" w:customStyle="1">
    <w:name w:val="TOA Heading"/>
    <w:basedOn w:val="Heading"/>
    <w:pPr>
      <w:suppressLineNumbers/>
      <w:jc w:val="center"/>
    </w:pPr>
    <w:rPr>
      <w:rFonts w:ascii="Times New Roman" w:hAnsi="Times New Roman" w:cs="Times New Roman"/>
      <w:b/>
      <w:bCs/>
      <w:szCs w:val="32"/>
    </w:rPr>
  </w:style>
  <w:style w:type="paragraph" w:styleId="NoSpacing">
    <w:name w:val="No Spacing"/>
    <w:qFormat/>
    <w:pPr>
      <w:widowControl/>
      <w:suppressAutoHyphens w:val="true"/>
      <w:bidi w:val="0"/>
      <w:spacing w:lineRule="atLeast" w:line="100" w:before="0" w:after="0"/>
      <w:jc w:val="left"/>
    </w:pPr>
    <w:rPr>
      <w:rFonts w:ascii="Tinos" w:hAnsi="Tinos" w:eastAsia="Droid Sans" w:cs="DejaVu Sans"/>
      <w:color w:val="auto"/>
      <w:kern w:val="0"/>
      <w:sz w:val="24"/>
      <w:szCs w:val="24"/>
      <w:lang w:eastAsia="hi-IN" w:bidi="hi-IN" w:val="en-GB"/>
    </w:rPr>
  </w:style>
  <w:style w:type="paragraph" w:styleId="Contents1">
    <w:name w:val="TOC 1"/>
    <w:basedOn w:val="Index"/>
    <w:pPr>
      <w:tabs>
        <w:tab w:val="clear" w:pos="720"/>
        <w:tab w:val="right" w:pos="9360" w:leader="dot"/>
      </w:tabs>
    </w:pPr>
    <w:rPr/>
  </w:style>
  <w:style w:type="paragraph" w:styleId="Contents2">
    <w:name w:val="TOC 2"/>
    <w:basedOn w:val="Index"/>
    <w:pPr>
      <w:tabs>
        <w:tab w:val="clear" w:pos="720"/>
        <w:tab w:val="right" w:pos="9077" w:leader="dot"/>
      </w:tabs>
      <w:ind w:left="283" w:hanging="0"/>
    </w:pPr>
    <w:rPr/>
  </w:style>
  <w:style w:type="paragraph" w:styleId="Contents3">
    <w:name w:val="TOC 3"/>
    <w:basedOn w:val="Index"/>
    <w:pPr>
      <w:tabs>
        <w:tab w:val="clear" w:pos="720"/>
        <w:tab w:val="right" w:pos="9072" w:leader="dot"/>
      </w:tabs>
      <w:ind w:left="566" w:hanging="0"/>
    </w:pPr>
    <w:rPr/>
  </w:style>
  <w:style w:type="paragraph" w:styleId="Contents4">
    <w:name w:val="TOC 4"/>
    <w:basedOn w:val="Index"/>
    <w:pPr>
      <w:tabs>
        <w:tab w:val="clear" w:pos="720"/>
        <w:tab w:val="right" w:pos="8789" w:leader="dot"/>
      </w:tabs>
      <w:ind w:left="849" w:hanging="0"/>
    </w:pPr>
    <w:rPr/>
  </w:style>
  <w:style w:type="paragraph" w:styleId="Contents5">
    <w:name w:val="TOC 5"/>
    <w:basedOn w:val="Index"/>
    <w:pPr>
      <w:tabs>
        <w:tab w:val="clear" w:pos="720"/>
        <w:tab w:val="right" w:pos="8506" w:leader="dot"/>
      </w:tabs>
      <w:ind w:left="1132" w:hanging="0"/>
    </w:pPr>
    <w:rPr/>
  </w:style>
  <w:style w:type="paragraph" w:styleId="Contents6">
    <w:name w:val="TOC 6"/>
    <w:basedOn w:val="Index"/>
    <w:pPr>
      <w:tabs>
        <w:tab w:val="clear" w:pos="720"/>
        <w:tab w:val="right" w:pos="8223" w:leader="dot"/>
      </w:tabs>
      <w:ind w:left="1415" w:hanging="0"/>
    </w:pPr>
    <w:rPr/>
  </w:style>
  <w:style w:type="paragraph" w:styleId="Contents7">
    <w:name w:val="TOC 7"/>
    <w:basedOn w:val="Index"/>
    <w:pPr>
      <w:tabs>
        <w:tab w:val="clear" w:pos="720"/>
        <w:tab w:val="right" w:pos="7940" w:leader="dot"/>
      </w:tabs>
      <w:ind w:left="1698" w:hanging="0"/>
    </w:pPr>
    <w:rPr/>
  </w:style>
  <w:style w:type="paragraph" w:styleId="Contents8">
    <w:name w:val="TOC 8"/>
    <w:basedOn w:val="Index"/>
    <w:pPr>
      <w:tabs>
        <w:tab w:val="clear" w:pos="720"/>
        <w:tab w:val="right" w:pos="7657" w:leader="dot"/>
      </w:tabs>
      <w:ind w:left="1981" w:hanging="0"/>
    </w:pPr>
    <w:rPr/>
  </w:style>
  <w:style w:type="paragraph" w:styleId="Contents9">
    <w:name w:val="TOC 9"/>
    <w:basedOn w:val="Index"/>
    <w:pPr>
      <w:tabs>
        <w:tab w:val="clear" w:pos="720"/>
        <w:tab w:val="right" w:pos="7374" w:leader="dot"/>
      </w:tabs>
      <w:ind w:left="2264" w:hanging="0"/>
    </w:pPr>
    <w:rPr/>
  </w:style>
  <w:style w:type="paragraph" w:styleId="Contents10" w:customStyle="1">
    <w:name w:val="Contents 10"/>
    <w:basedOn w:val="Index"/>
    <w:qFormat/>
    <w:pPr>
      <w:tabs>
        <w:tab w:val="clear" w:pos="720"/>
        <w:tab w:val="right" w:pos="7091" w:leader="dot"/>
      </w:tabs>
      <w:ind w:left="2547" w:hanging="0"/>
    </w:pPr>
    <w:rPr/>
  </w:style>
  <w:style w:type="paragraph" w:styleId="PreformattedText" w:customStyle="1">
    <w:name w:val="Preformatted Text"/>
    <w:basedOn w:val="Normal"/>
    <w:qFormat/>
    <w:pPr/>
    <w:rPr>
      <w:rFonts w:ascii="DejaVu Sans Mono" w:hAnsi="DejaVu Sans Mono" w:eastAsia="DejaVu Sans Mono" w:cs="DejaVu Sans Mono"/>
      <w:sz w:val="20"/>
      <w:szCs w:val="20"/>
    </w:rPr>
  </w:style>
  <w:style w:type="paragraph" w:styleId="TableContents" w:customStyle="1">
    <w:name w:val="Table Contents"/>
    <w:basedOn w:val="Normal"/>
    <w:qFormat/>
    <w:pPr>
      <w:suppressLineNumbers/>
    </w:pPr>
    <w:rPr/>
  </w:style>
  <w:style w:type="paragraph" w:styleId="TableHeading" w:customStyle="1">
    <w:name w:val="Table Heading"/>
    <w:basedOn w:val="TableContents"/>
    <w:qFormat/>
    <w:pPr>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oodle.uwtsd.ac.uk/course/view.php?id=3670"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LibreOffice/7.0.1.2$Windows_X86_64 LibreOffice_project/7cbcfc562f6eb6708b5ff7d7397325de9e764452</Application>
  <Pages>5</Pages>
  <Words>889</Words>
  <Characters>5086</Characters>
  <CharactersWithSpaces>5969</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2021-10-21T13:19:00Z</dcterms:created>
  <dc:creator>KNHPI</dc:creator>
  <dc:description/>
  <dc:language>en-GB</dc:language>
  <cp:lastModifiedBy/>
  <cp:lastPrinted>1601-01-01T00:00:00Z</cp:lastPrinted>
  <dcterms:modified xsi:type="dcterms:W3CDTF">2021-10-21T15:26:54Z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