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mc:Ignorable="w14 w15 w16se w16cid w16 w16cex w16sdtdh w16sdtfl w16du wp14">
  <w:body>
    <w:p w:rsidR="5748ED03" w:rsidP="6AB72661" w:rsidRDefault="749E734D" w14:paraId="72948975" w14:textId="22151A42">
      <w:pPr>
        <w:pStyle w:val="NoSpacing"/>
        <w:spacing w:line="360" w:lineRule="auto"/>
        <w:rPr>
          <w:rFonts w:cs="Aptos"/>
          <w:sz w:val="22"/>
          <w:szCs w:val="22"/>
        </w:rPr>
      </w:pPr>
      <w:r w:rsidRPr="6AB72661">
        <w:rPr>
          <w:rFonts w:cs="Aptos"/>
          <w:b/>
          <w:bCs/>
          <w:sz w:val="22"/>
          <w:szCs w:val="22"/>
        </w:rPr>
        <w:t>Name: Dalsooz Alshateri</w:t>
      </w:r>
    </w:p>
    <w:p w:rsidR="5748ED03" w:rsidP="6AB72661" w:rsidRDefault="749E734D" w14:paraId="09088C9E" w14:textId="6CCFE1EF">
      <w:pPr>
        <w:pStyle w:val="NoSpacing"/>
        <w:spacing w:line="360" w:lineRule="auto"/>
        <w:rPr>
          <w:rFonts w:cs="Aptos"/>
          <w:sz w:val="22"/>
          <w:szCs w:val="22"/>
        </w:rPr>
      </w:pPr>
      <w:r w:rsidRPr="6AB72661">
        <w:rPr>
          <w:rFonts w:cs="Aptos"/>
          <w:b/>
          <w:bCs/>
          <w:sz w:val="22"/>
          <w:szCs w:val="22"/>
        </w:rPr>
        <w:t xml:space="preserve">Student id: (2432908) </w:t>
      </w:r>
    </w:p>
    <w:p w:rsidR="5748ED03" w:rsidP="6AB72661" w:rsidRDefault="749E734D" w14:paraId="20F6BF7D" w14:textId="0904D192">
      <w:pPr>
        <w:pStyle w:val="NoSpacing"/>
        <w:spacing w:line="360" w:lineRule="auto"/>
        <w:rPr>
          <w:rFonts w:cs="Aptos"/>
          <w:b/>
          <w:bCs/>
          <w:sz w:val="22"/>
          <w:szCs w:val="22"/>
        </w:rPr>
      </w:pPr>
      <w:r w:rsidRPr="6AB72661">
        <w:rPr>
          <w:rFonts w:cs="Aptos"/>
          <w:b/>
          <w:bCs/>
          <w:sz w:val="22"/>
          <w:szCs w:val="22"/>
        </w:rPr>
        <w:t>Module code: LCHS4003_BIRM</w:t>
      </w:r>
    </w:p>
    <w:p w:rsidR="5748ED03" w:rsidP="6AB72661" w:rsidRDefault="749E734D" w14:paraId="1222EC10" w14:textId="5BB15DFF">
      <w:pPr>
        <w:pStyle w:val="NoSpacing"/>
        <w:spacing w:before="120" w:after="120" w:line="360" w:lineRule="auto"/>
        <w:jc w:val="both"/>
        <w:rPr>
          <w:rFonts w:cs="Aptos"/>
          <w:sz w:val="22"/>
          <w:szCs w:val="22"/>
        </w:rPr>
      </w:pPr>
      <w:r w:rsidRPr="6AB72661">
        <w:rPr>
          <w:rFonts w:cs="Aptos"/>
          <w:b/>
          <w:bCs/>
          <w:sz w:val="22"/>
          <w:szCs w:val="22"/>
        </w:rPr>
        <w:t xml:space="preserve">Module: </w:t>
      </w:r>
      <w:r w:rsidRPr="6AB72661" w:rsidR="0D24FFBE">
        <w:rPr>
          <w:rFonts w:ascii="Arial" w:hAnsi="Arial" w:eastAsia="Arial" w:cs="Arial"/>
          <w:b/>
          <w:bCs/>
          <w:sz w:val="22"/>
          <w:szCs w:val="22"/>
        </w:rPr>
        <w:t>Introduction to Health and Social Care</w:t>
      </w:r>
      <w:r w:rsidRPr="6AB72661" w:rsidR="0D24FFBE">
        <w:rPr>
          <w:rFonts w:cs="Aptos"/>
          <w:b/>
          <w:bCs/>
          <w:sz w:val="22"/>
          <w:szCs w:val="22"/>
        </w:rPr>
        <w:t xml:space="preserve"> </w:t>
      </w:r>
    </w:p>
    <w:p w:rsidR="5748ED03" w:rsidP="6AB72661" w:rsidRDefault="0D24FFBE" w14:paraId="48FD5687" w14:textId="0A547421">
      <w:pPr>
        <w:pStyle w:val="NoSpacing"/>
        <w:spacing w:line="360" w:lineRule="auto"/>
        <w:rPr>
          <w:rFonts w:cs="Aptos"/>
          <w:b/>
          <w:bCs/>
          <w:sz w:val="22"/>
          <w:szCs w:val="22"/>
        </w:rPr>
      </w:pPr>
      <w:r w:rsidRPr="6AB72661">
        <w:rPr>
          <w:rFonts w:cs="Aptos"/>
          <w:b/>
          <w:bCs/>
          <w:sz w:val="22"/>
          <w:szCs w:val="22"/>
        </w:rPr>
        <w:t>lecturer</w:t>
      </w:r>
      <w:r w:rsidRPr="6AB72661" w:rsidR="749E734D">
        <w:rPr>
          <w:rFonts w:cs="Aptos"/>
          <w:b/>
          <w:bCs/>
          <w:sz w:val="22"/>
          <w:szCs w:val="22"/>
        </w:rPr>
        <w:t xml:space="preserve">: </w:t>
      </w:r>
      <w:r w:rsidRPr="6AB72661" w:rsidR="72D866C5">
        <w:rPr>
          <w:rFonts w:cs="Aptos"/>
          <w:b/>
          <w:bCs/>
          <w:sz w:val="22"/>
          <w:szCs w:val="22"/>
        </w:rPr>
        <w:t>Debra Odeh</w:t>
      </w:r>
    </w:p>
    <w:p w:rsidR="446E7BD4" w:rsidP="446E7BD4" w:rsidRDefault="446E7BD4" w14:noSpellErr="1" w14:paraId="7570FA48" w14:textId="16A34EED">
      <w:pPr>
        <w:pStyle w:val="NoSpacing"/>
        <w:spacing w:line="360" w:lineRule="auto"/>
        <w:rPr>
          <w:rFonts w:cs="Aptos"/>
          <w:b w:val="1"/>
          <w:bCs w:val="1"/>
          <w:sz w:val="22"/>
          <w:szCs w:val="22"/>
        </w:rPr>
      </w:pPr>
    </w:p>
    <w:p w:rsidR="5748ED03" w:rsidP="6AB72661" w:rsidRDefault="5748ED03" w14:paraId="2E648A0F" w14:textId="5FE4ED7E">
      <w:pPr>
        <w:pStyle w:val="NoSpacing"/>
        <w:spacing w:line="360" w:lineRule="auto"/>
        <w:rPr>
          <w:rFonts w:cs="Aptos"/>
          <w:b/>
          <w:bCs/>
          <w:sz w:val="22"/>
          <w:szCs w:val="22"/>
        </w:rPr>
      </w:pPr>
    </w:p>
    <w:p w:rsidR="5748ED03" w:rsidP="6AB72661" w:rsidRDefault="5748ED03" w14:paraId="64A7EC8C" w14:textId="29B46CAA">
      <w:pPr>
        <w:pStyle w:val="NoSpacing"/>
        <w:spacing w:line="360" w:lineRule="auto"/>
        <w:rPr>
          <w:rFonts w:cs="Aptos"/>
          <w:b/>
          <w:bCs/>
          <w:sz w:val="22"/>
          <w:szCs w:val="22"/>
        </w:rPr>
      </w:pPr>
    </w:p>
    <w:p w:rsidR="5748ED03" w:rsidP="6AB72661" w:rsidRDefault="5748ED03" w14:paraId="6904A761" w14:textId="2F7CC041">
      <w:pPr>
        <w:pStyle w:val="NoSpacing"/>
        <w:spacing w:line="360" w:lineRule="auto"/>
        <w:rPr>
          <w:rFonts w:cs="Aptos"/>
          <w:b/>
          <w:bCs/>
          <w:sz w:val="22"/>
          <w:szCs w:val="22"/>
        </w:rPr>
      </w:pPr>
    </w:p>
    <w:p w:rsidR="5748ED03" w:rsidP="6AB72661" w:rsidRDefault="5748ED03" w14:paraId="6A9172A5" w14:textId="194D3007">
      <w:pPr>
        <w:pStyle w:val="NoSpacing"/>
        <w:spacing w:line="360" w:lineRule="auto"/>
        <w:rPr>
          <w:rFonts w:cs="Aptos"/>
          <w:b/>
          <w:bCs/>
          <w:sz w:val="22"/>
          <w:szCs w:val="22"/>
        </w:rPr>
      </w:pPr>
    </w:p>
    <w:p w:rsidR="5748ED03" w:rsidP="6AB72661" w:rsidRDefault="5748ED03" w14:paraId="3E4AD710" w14:textId="3C7AFBAD">
      <w:pPr>
        <w:pStyle w:val="NoSpacing"/>
        <w:spacing w:line="360" w:lineRule="auto"/>
        <w:rPr>
          <w:rFonts w:cs="Aptos"/>
          <w:b/>
          <w:bCs/>
          <w:sz w:val="22"/>
          <w:szCs w:val="22"/>
        </w:rPr>
      </w:pPr>
    </w:p>
    <w:p w:rsidR="5748ED03" w:rsidP="6AB72661" w:rsidRDefault="5748ED03" w14:paraId="667996AD" w14:textId="736A4E19">
      <w:pPr>
        <w:pStyle w:val="NoSpacing"/>
        <w:spacing w:line="360" w:lineRule="auto"/>
        <w:rPr>
          <w:rFonts w:cs="Aptos"/>
          <w:b/>
          <w:bCs/>
          <w:sz w:val="22"/>
          <w:szCs w:val="22"/>
        </w:rPr>
      </w:pPr>
    </w:p>
    <w:p w:rsidR="5748ED03" w:rsidP="6AB72661" w:rsidRDefault="5748ED03" w14:paraId="53C402CF" w14:textId="65DEC898">
      <w:pPr>
        <w:pStyle w:val="NoSpacing"/>
        <w:spacing w:line="360" w:lineRule="auto"/>
        <w:rPr>
          <w:rFonts w:cs="Aptos"/>
          <w:b/>
          <w:bCs/>
          <w:sz w:val="22"/>
          <w:szCs w:val="22"/>
        </w:rPr>
      </w:pPr>
    </w:p>
    <w:p w:rsidR="5748ED03" w:rsidP="6AB72661" w:rsidRDefault="5748ED03" w14:paraId="688DF37B" w14:textId="22E89326">
      <w:pPr>
        <w:pStyle w:val="NoSpacing"/>
        <w:spacing w:line="360" w:lineRule="auto"/>
        <w:rPr>
          <w:rFonts w:cs="Aptos"/>
          <w:b/>
          <w:bCs/>
          <w:sz w:val="22"/>
          <w:szCs w:val="22"/>
        </w:rPr>
      </w:pPr>
    </w:p>
    <w:p w:rsidR="5748ED03" w:rsidP="6AB72661" w:rsidRDefault="5748ED03" w14:paraId="66CF737B" w14:textId="0624F144">
      <w:pPr>
        <w:pStyle w:val="NoSpacing"/>
        <w:spacing w:line="360" w:lineRule="auto"/>
        <w:rPr>
          <w:rFonts w:cs="Aptos"/>
          <w:b/>
          <w:bCs/>
          <w:sz w:val="22"/>
          <w:szCs w:val="22"/>
        </w:rPr>
      </w:pPr>
    </w:p>
    <w:p w:rsidR="5748ED03" w:rsidP="6AB72661" w:rsidRDefault="5748ED03" w14:paraId="04C6B48A" w14:textId="35485A6B">
      <w:pPr>
        <w:pStyle w:val="NoSpacing"/>
        <w:spacing w:line="360" w:lineRule="auto"/>
        <w:rPr>
          <w:rFonts w:cs="Aptos"/>
          <w:b/>
          <w:bCs/>
          <w:sz w:val="22"/>
          <w:szCs w:val="22"/>
        </w:rPr>
      </w:pPr>
    </w:p>
    <w:p w:rsidR="5748ED03" w:rsidP="6AB72661" w:rsidRDefault="5748ED03" w14:paraId="37A59E87" w14:textId="2A4A13E1">
      <w:pPr>
        <w:pStyle w:val="NoSpacing"/>
        <w:spacing w:line="360" w:lineRule="auto"/>
        <w:rPr>
          <w:rFonts w:cs="Aptos"/>
          <w:b/>
          <w:bCs/>
          <w:sz w:val="22"/>
          <w:szCs w:val="22"/>
        </w:rPr>
      </w:pPr>
    </w:p>
    <w:p w:rsidR="5748ED03" w:rsidP="6AB72661" w:rsidRDefault="5748ED03" w14:paraId="27E053A5" w14:textId="2A052B71">
      <w:pPr>
        <w:pStyle w:val="NoSpacing"/>
        <w:spacing w:line="360" w:lineRule="auto"/>
        <w:rPr>
          <w:rFonts w:cs="Aptos"/>
          <w:b/>
          <w:bCs/>
          <w:sz w:val="22"/>
          <w:szCs w:val="22"/>
        </w:rPr>
      </w:pPr>
    </w:p>
    <w:p w:rsidR="5748ED03" w:rsidP="6AB72661" w:rsidRDefault="5748ED03" w14:paraId="40E1B8EB" w14:textId="55CF96D6">
      <w:pPr>
        <w:pStyle w:val="NoSpacing"/>
        <w:spacing w:line="360" w:lineRule="auto"/>
        <w:rPr>
          <w:rFonts w:cs="Aptos"/>
          <w:b/>
          <w:bCs/>
          <w:sz w:val="22"/>
          <w:szCs w:val="22"/>
        </w:rPr>
      </w:pPr>
    </w:p>
    <w:p w:rsidR="5748ED03" w:rsidP="6AB72661" w:rsidRDefault="5748ED03" w14:paraId="38C902EE" w14:textId="465EB8C8">
      <w:pPr>
        <w:pStyle w:val="NoSpacing"/>
        <w:spacing w:line="360" w:lineRule="auto"/>
        <w:rPr>
          <w:rFonts w:cs="Aptos"/>
          <w:b/>
          <w:bCs/>
          <w:sz w:val="22"/>
          <w:szCs w:val="22"/>
        </w:rPr>
      </w:pPr>
    </w:p>
    <w:p w:rsidR="5748ED03" w:rsidP="6AB72661" w:rsidRDefault="5748ED03" w14:paraId="1561BA29" w14:textId="34B2A41A">
      <w:pPr>
        <w:pStyle w:val="NoSpacing"/>
        <w:spacing w:line="360" w:lineRule="auto"/>
        <w:rPr>
          <w:rFonts w:cs="Aptos"/>
          <w:b/>
          <w:bCs/>
          <w:sz w:val="22"/>
          <w:szCs w:val="22"/>
        </w:rPr>
      </w:pPr>
    </w:p>
    <w:p w:rsidR="5748ED03" w:rsidP="6AB72661" w:rsidRDefault="5748ED03" w14:paraId="7ED3941F" w14:textId="0430FF5F">
      <w:pPr>
        <w:pStyle w:val="NoSpacing"/>
        <w:spacing w:line="360" w:lineRule="auto"/>
        <w:rPr>
          <w:rFonts w:cs="Aptos"/>
          <w:b/>
          <w:bCs/>
          <w:sz w:val="22"/>
          <w:szCs w:val="22"/>
        </w:rPr>
      </w:pPr>
    </w:p>
    <w:p w:rsidR="5748ED03" w:rsidP="6AB72661" w:rsidRDefault="5748ED03" w14:paraId="1806A320" w14:textId="38C54DF7">
      <w:pPr>
        <w:pStyle w:val="NoSpacing"/>
        <w:spacing w:line="360" w:lineRule="auto"/>
        <w:rPr>
          <w:rFonts w:cs="Aptos"/>
          <w:b/>
          <w:bCs/>
          <w:sz w:val="22"/>
          <w:szCs w:val="22"/>
        </w:rPr>
      </w:pPr>
    </w:p>
    <w:p w:rsidR="5748ED03" w:rsidP="6AB72661" w:rsidRDefault="5748ED03" w14:paraId="4F3618AB" w14:textId="30131E65">
      <w:pPr>
        <w:pStyle w:val="NoSpacing"/>
        <w:spacing w:line="360" w:lineRule="auto"/>
        <w:rPr>
          <w:rFonts w:cs="Aptos"/>
          <w:b/>
          <w:bCs/>
          <w:sz w:val="22"/>
          <w:szCs w:val="22"/>
        </w:rPr>
      </w:pPr>
    </w:p>
    <w:p w:rsidR="5748ED03" w:rsidP="6AB72661" w:rsidRDefault="5748ED03" w14:paraId="7F3DD85A" w14:textId="5288DF0D">
      <w:pPr>
        <w:pStyle w:val="NoSpacing"/>
        <w:spacing w:line="360" w:lineRule="auto"/>
        <w:rPr>
          <w:rFonts w:cs="Aptos"/>
          <w:b/>
          <w:bCs/>
          <w:sz w:val="22"/>
          <w:szCs w:val="22"/>
        </w:rPr>
      </w:pPr>
    </w:p>
    <w:p w:rsidR="5748ED03" w:rsidP="6AB72661" w:rsidRDefault="5748ED03" w14:paraId="7FD57DE7" w14:textId="4285E645">
      <w:pPr>
        <w:pStyle w:val="NoSpacing"/>
        <w:spacing w:line="360" w:lineRule="auto"/>
        <w:rPr>
          <w:rFonts w:cs="Aptos"/>
          <w:b/>
          <w:bCs/>
          <w:sz w:val="22"/>
          <w:szCs w:val="22"/>
        </w:rPr>
      </w:pPr>
    </w:p>
    <w:p w:rsidR="5748ED03" w:rsidP="6AB72661" w:rsidRDefault="5748ED03" w14:paraId="79100576" w14:textId="4CE27366">
      <w:pPr>
        <w:pStyle w:val="NoSpacing"/>
        <w:spacing w:line="360" w:lineRule="auto"/>
        <w:rPr>
          <w:rFonts w:cs="Aptos"/>
          <w:b/>
          <w:bCs/>
          <w:sz w:val="22"/>
          <w:szCs w:val="22"/>
        </w:rPr>
      </w:pPr>
    </w:p>
    <w:p w:rsidR="5748ED03" w:rsidP="6AB72661" w:rsidRDefault="5748ED03" w14:paraId="11F891D5" w14:textId="0CEE7A1E">
      <w:pPr>
        <w:pStyle w:val="NoSpacing"/>
        <w:spacing w:line="360" w:lineRule="auto"/>
        <w:rPr>
          <w:rFonts w:cs="Aptos"/>
          <w:b/>
          <w:bCs/>
          <w:sz w:val="22"/>
          <w:szCs w:val="22"/>
        </w:rPr>
      </w:pPr>
    </w:p>
    <w:p w:rsidR="5748ED03" w:rsidP="6AB72661" w:rsidRDefault="5748ED03" w14:paraId="58E8283E" w14:textId="1D81EE13">
      <w:pPr>
        <w:pStyle w:val="NoSpacing"/>
        <w:spacing w:line="360" w:lineRule="auto"/>
        <w:rPr>
          <w:rFonts w:cs="Aptos"/>
          <w:b/>
          <w:bCs/>
          <w:sz w:val="22"/>
          <w:szCs w:val="22"/>
        </w:rPr>
      </w:pPr>
    </w:p>
    <w:p w:rsidR="5748ED03" w:rsidP="6AB72661" w:rsidRDefault="5748ED03" w14:paraId="396320CB" w14:textId="728FA4E9">
      <w:pPr>
        <w:spacing w:after="0" w:line="360" w:lineRule="auto"/>
        <w:rPr>
          <w:rFonts w:cs="Aptos"/>
          <w:sz w:val="22"/>
          <w:szCs w:val="22"/>
        </w:rPr>
      </w:pPr>
    </w:p>
    <w:p w:rsidR="5748ED03" w:rsidP="6AB72661" w:rsidRDefault="5748ED03" w14:paraId="372531F4" w14:textId="5B782C0F">
      <w:pPr>
        <w:rPr>
          <w:rFonts w:ascii="Source Sans Pro" w:hAnsi="Source Sans Pro" w:eastAsia="Source Sans Pro" w:cs="Source Sans Pro"/>
          <w:color w:val="242130"/>
          <w:sz w:val="21"/>
          <w:szCs w:val="21"/>
        </w:rPr>
      </w:pPr>
    </w:p>
    <w:p w:rsidR="5748ED03" w:rsidP="6AB72661" w:rsidRDefault="5748ED03" w14:paraId="0232A400" w14:textId="59E14337"/>
    <w:p w:rsidR="5748ED03" w:rsidP="6AB72661" w:rsidRDefault="5748ED03" w14:paraId="7AC6B262" w14:textId="34755665"/>
    <w:p w:rsidR="446E7BD4" w:rsidP="446E7BD4" w:rsidRDefault="446E7BD4" w14:noSpellErr="1" w14:paraId="03B91781" w14:textId="0401F413">
      <w:pPr>
        <w:pStyle w:val="Normal"/>
        <w:spacing w:line="360" w:lineRule="auto"/>
        <w:rPr>
          <w:rFonts w:ascii="Arial" w:hAnsi="Arial" w:cs="Arial"/>
          <w:b w:val="1"/>
          <w:bCs w:val="1"/>
          <w:sz w:val="22"/>
          <w:szCs w:val="22"/>
        </w:rPr>
      </w:pPr>
    </w:p>
    <w:p w:rsidR="446E7BD4" w:rsidP="446E7BD4" w:rsidRDefault="446E7BD4" w14:paraId="102465E0" w14:textId="72FB518E">
      <w:pPr>
        <w:pStyle w:val="Normal"/>
        <w:spacing w:line="360" w:lineRule="auto"/>
        <w:rPr>
          <w:rFonts w:ascii="Arial" w:hAnsi="Arial" w:cs="Arial"/>
          <w:b w:val="1"/>
          <w:bCs w:val="1"/>
          <w:sz w:val="22"/>
          <w:szCs w:val="22"/>
        </w:rPr>
      </w:pPr>
    </w:p>
    <w:p w:rsidR="348D8488" w:rsidP="446E7BD4" w:rsidRDefault="348D8488" w14:noSpellErr="1" w14:paraId="0AB20BAC" w14:textId="755C31CD">
      <w:pPr>
        <w:spacing w:line="360" w:lineRule="auto"/>
        <w:rPr>
          <w:rFonts w:ascii="Arial" w:hAnsi="Arial" w:cs="Arial"/>
          <w:b w:val="1"/>
          <w:bCs w:val="1"/>
          <w:sz w:val="22"/>
          <w:szCs w:val="22"/>
        </w:rPr>
      </w:pPr>
      <w:r w:rsidRPr="446E7BD4" w:rsidR="348D8488">
        <w:rPr>
          <w:rFonts w:ascii="Arial" w:hAnsi="Arial" w:cs="Arial"/>
          <w:b w:val="1"/>
          <w:bCs w:val="1"/>
          <w:sz w:val="22"/>
          <w:szCs w:val="22"/>
        </w:rPr>
        <w:t>Essay: The Origins and Current Structure of the National Health Service (NHS)</w:t>
      </w:r>
    </w:p>
    <w:p w:rsidR="00BF5E76" w:rsidRDefault="006E33F6" w14:paraId="0FD386FE" w14:textId="77777777">
      <w:pPr>
        <w:spacing w:line="360" w:lineRule="auto"/>
        <w:rPr>
          <w:rFonts w:ascii="Arial" w:hAnsi="Arial" w:cs="Arial"/>
          <w:sz w:val="22"/>
          <w:szCs w:val="22"/>
        </w:rPr>
      </w:pPr>
      <w:r>
        <w:rPr>
          <w:rFonts w:ascii="Arial" w:hAnsi="Arial" w:cs="Arial"/>
          <w:sz w:val="22"/>
          <w:szCs w:val="22"/>
        </w:rPr>
        <w:t>The National Health Service (NHS) continues to be one of the most important social policy achievements in the United Kingdom, representing the principle of universal healthcare. Since it was established in 1948, the NHS has undergone multiple transformations while continuing to maintain its founding principles of free, comprehensive and accessible healthcare for all (</w:t>
      </w:r>
      <w:proofErr w:type="spellStart"/>
      <w:r>
        <w:rPr>
          <w:rFonts w:ascii="Arial" w:hAnsi="Arial" w:cs="Arial"/>
          <w:sz w:val="22"/>
          <w:szCs w:val="22"/>
        </w:rPr>
        <w:t>Rivett</w:t>
      </w:r>
      <w:proofErr w:type="spellEnd"/>
      <w:r>
        <w:rPr>
          <w:rFonts w:ascii="Arial" w:hAnsi="Arial" w:cs="Arial"/>
          <w:sz w:val="22"/>
          <w:szCs w:val="22"/>
        </w:rPr>
        <w:t>, 2018). This essay aims to explore the origins of the NHS, the historical context and key principles that shaped its establishment, and evaluates its current structure, with a particular focus on staff shortages and current long waiting lists.</w:t>
      </w:r>
    </w:p>
    <w:p w:rsidR="00BF5E76" w:rsidRDefault="006E33F6" w14:paraId="40EE87C7" w14:textId="77777777">
      <w:pPr>
        <w:spacing w:line="360" w:lineRule="auto"/>
        <w:rPr>
          <w:rFonts w:ascii="Arial" w:hAnsi="Arial" w:cs="Arial"/>
          <w:b/>
          <w:bCs/>
          <w:sz w:val="22"/>
          <w:szCs w:val="22"/>
        </w:rPr>
      </w:pPr>
      <w:r>
        <w:rPr>
          <w:rFonts w:ascii="Arial" w:hAnsi="Arial" w:cs="Arial"/>
          <w:b/>
          <w:bCs/>
          <w:sz w:val="22"/>
          <w:szCs w:val="22"/>
        </w:rPr>
        <w:t>Origins of the NHS</w:t>
      </w:r>
    </w:p>
    <w:p w:rsidR="00BF5E76" w:rsidRDefault="006E33F6" w14:paraId="19DBBE67" w14:textId="77777777">
      <w:pPr>
        <w:spacing w:line="360" w:lineRule="auto"/>
        <w:rPr>
          <w:rFonts w:ascii="Arial" w:hAnsi="Arial" w:cs="Arial"/>
          <w:sz w:val="22"/>
          <w:szCs w:val="22"/>
        </w:rPr>
      </w:pPr>
      <w:r>
        <w:rPr>
          <w:rFonts w:ascii="Arial" w:hAnsi="Arial" w:cs="Arial"/>
          <w:sz w:val="22"/>
          <w:szCs w:val="22"/>
        </w:rPr>
        <w:t xml:space="preserve">The establishment of the NHS can be traced to the social and political climate of post-World War II Britain. The war highlighted the broken healthcare system, and exposed the inadequacies, which involved a mix of voluntary hospitals, local authority services, and private practices (Webster, 2002). Influenced by the 1942 </w:t>
      </w:r>
      <w:proofErr w:type="spellStart"/>
      <w:r>
        <w:rPr>
          <w:rFonts w:ascii="Arial" w:hAnsi="Arial" w:cs="Arial"/>
          <w:sz w:val="22"/>
          <w:szCs w:val="22"/>
        </w:rPr>
        <w:t>Beveridge</w:t>
      </w:r>
      <w:proofErr w:type="spellEnd"/>
      <w:r>
        <w:rPr>
          <w:rFonts w:ascii="Arial" w:hAnsi="Arial" w:cs="Arial"/>
          <w:sz w:val="22"/>
          <w:szCs w:val="22"/>
        </w:rPr>
        <w:t xml:space="preserve"> Report, which identified "disease" as one of the five giants to be eliminated from society, the government recognised the need for a comprehensive and publicly funded healthcare service (</w:t>
      </w:r>
      <w:proofErr w:type="spellStart"/>
      <w:r>
        <w:rPr>
          <w:rFonts w:ascii="Arial" w:hAnsi="Arial" w:cs="Arial"/>
          <w:sz w:val="22"/>
          <w:szCs w:val="22"/>
        </w:rPr>
        <w:t>Timmins</w:t>
      </w:r>
      <w:proofErr w:type="spellEnd"/>
      <w:r>
        <w:rPr>
          <w:rFonts w:ascii="Arial" w:hAnsi="Arial" w:cs="Arial"/>
          <w:sz w:val="22"/>
          <w:szCs w:val="22"/>
        </w:rPr>
        <w:t>, 2017).</w:t>
      </w:r>
    </w:p>
    <w:p w:rsidR="00BF5E76" w:rsidRDefault="006E33F6" w14:paraId="1E24387B" w14:textId="77777777">
      <w:pPr>
        <w:spacing w:line="360" w:lineRule="auto"/>
        <w:rPr>
          <w:rFonts w:ascii="Arial" w:hAnsi="Arial" w:cs="Arial"/>
          <w:sz w:val="22"/>
          <w:szCs w:val="22"/>
        </w:rPr>
      </w:pPr>
      <w:r>
        <w:rPr>
          <w:rFonts w:ascii="Arial" w:hAnsi="Arial" w:cs="Arial"/>
          <w:sz w:val="22"/>
          <w:szCs w:val="22"/>
        </w:rPr>
        <w:t xml:space="preserve">The Minister of Health at the time </w:t>
      </w:r>
      <w:proofErr w:type="spellStart"/>
      <w:r>
        <w:rPr>
          <w:rFonts w:ascii="Arial" w:hAnsi="Arial" w:cs="Arial"/>
          <w:sz w:val="22"/>
          <w:szCs w:val="22"/>
        </w:rPr>
        <w:t>Aneurin</w:t>
      </w:r>
      <w:proofErr w:type="spellEnd"/>
      <w:r>
        <w:rPr>
          <w:rFonts w:ascii="Arial" w:hAnsi="Arial" w:cs="Arial"/>
          <w:sz w:val="22"/>
          <w:szCs w:val="22"/>
        </w:rPr>
        <w:t xml:space="preserve"> Bevan, was key to the NHS’s invention. He argued for a publicly funded system financed through taxation of the public and available to everyone regardless of their income (Bevan, 1952). The model made sure equity, universality, and accessibility, making healthcare a societal responsibility rather than a privilege for those who could afford it.</w:t>
      </w:r>
    </w:p>
    <w:p w:rsidR="00BF5E76" w:rsidRDefault="006E33F6" w14:paraId="6E978FF6" w14:textId="77777777">
      <w:pPr>
        <w:spacing w:line="360" w:lineRule="auto"/>
        <w:rPr>
          <w:rFonts w:ascii="Arial" w:hAnsi="Arial" w:cs="Arial"/>
          <w:b/>
          <w:bCs/>
          <w:sz w:val="22"/>
          <w:szCs w:val="22"/>
        </w:rPr>
      </w:pPr>
      <w:r>
        <w:rPr>
          <w:rFonts w:ascii="Arial" w:hAnsi="Arial" w:cs="Arial"/>
          <w:b/>
          <w:bCs/>
          <w:sz w:val="22"/>
          <w:szCs w:val="22"/>
        </w:rPr>
        <w:t>Historical Context and Key Principles</w:t>
      </w:r>
    </w:p>
    <w:p w:rsidR="00BF5E76" w:rsidRDefault="006E33F6" w14:paraId="477AC2EF" w14:textId="77777777">
      <w:pPr>
        <w:spacing w:line="360" w:lineRule="auto"/>
        <w:rPr>
          <w:rFonts w:ascii="Arial" w:hAnsi="Arial" w:cs="Arial"/>
          <w:sz w:val="22"/>
          <w:szCs w:val="22"/>
        </w:rPr>
      </w:pPr>
      <w:r>
        <w:rPr>
          <w:rFonts w:ascii="Arial" w:hAnsi="Arial" w:cs="Arial"/>
          <w:sz w:val="22"/>
          <w:szCs w:val="22"/>
        </w:rPr>
        <w:t>The NHS was founded on three key principles: it would meet the needs of everyone, be free at the point of delivery, and be based on clinical need rather than ability to pay (Department of Health and Social Care, 2015). These three principals were revolutionary, as most health systems at the time relied on insurance-based or fee-for-service models. The NHS was initially popular but faced resistance from medical professionals, particularly general practitioners, who worried for loss of autonomy. Bevan famously “stuffed their mouths with gold” by offering concessions to ensure their participation (</w:t>
      </w:r>
      <w:proofErr w:type="spellStart"/>
      <w:r>
        <w:rPr>
          <w:rFonts w:ascii="Arial" w:hAnsi="Arial" w:cs="Arial"/>
          <w:sz w:val="22"/>
          <w:szCs w:val="22"/>
        </w:rPr>
        <w:t>Rivett</w:t>
      </w:r>
      <w:proofErr w:type="spellEnd"/>
      <w:r>
        <w:rPr>
          <w:rFonts w:ascii="Arial" w:hAnsi="Arial" w:cs="Arial"/>
          <w:sz w:val="22"/>
          <w:szCs w:val="22"/>
        </w:rPr>
        <w:t>, 2018).</w:t>
      </w:r>
    </w:p>
    <w:p w:rsidR="00BF5E76" w:rsidRDefault="006E33F6" w14:paraId="4B951A53" w14:textId="77777777">
      <w:pPr>
        <w:spacing w:line="360" w:lineRule="auto"/>
        <w:rPr>
          <w:rFonts w:ascii="Arial" w:hAnsi="Arial" w:cs="Arial"/>
          <w:b/>
          <w:bCs/>
          <w:sz w:val="22"/>
          <w:szCs w:val="22"/>
        </w:rPr>
      </w:pPr>
      <w:r>
        <w:rPr>
          <w:rFonts w:ascii="Arial" w:hAnsi="Arial" w:cs="Arial"/>
          <w:b/>
          <w:bCs/>
          <w:sz w:val="22"/>
          <w:szCs w:val="22"/>
        </w:rPr>
        <w:t>Current Structure of the NHS</w:t>
      </w:r>
    </w:p>
    <w:p w:rsidR="00BF5E76" w:rsidRDefault="006E33F6" w14:paraId="321FB147" w14:textId="77777777">
      <w:pPr>
        <w:spacing w:line="360" w:lineRule="auto"/>
        <w:rPr>
          <w:rFonts w:ascii="Arial" w:hAnsi="Arial" w:cs="Arial"/>
          <w:sz w:val="22"/>
          <w:szCs w:val="22"/>
        </w:rPr>
      </w:pPr>
      <w:r>
        <w:rPr>
          <w:rFonts w:ascii="Arial" w:hAnsi="Arial" w:cs="Arial"/>
          <w:sz w:val="22"/>
          <w:szCs w:val="22"/>
        </w:rPr>
        <w:t>Over the decades, the NHS has evolved into a complex organisation. It is primarily funded through taxation and National Insurance contributions of citizens, with responsibility for service delivery devolved to England, Scotland, Wales, and Northern Ireland (</w:t>
      </w:r>
      <w:proofErr w:type="spellStart"/>
      <w:r>
        <w:rPr>
          <w:rFonts w:ascii="Arial" w:hAnsi="Arial" w:cs="Arial"/>
          <w:sz w:val="22"/>
          <w:szCs w:val="22"/>
        </w:rPr>
        <w:t>Timmins</w:t>
      </w:r>
      <w:proofErr w:type="spellEnd"/>
      <w:r>
        <w:rPr>
          <w:rFonts w:ascii="Arial" w:hAnsi="Arial" w:cs="Arial"/>
          <w:sz w:val="22"/>
          <w:szCs w:val="22"/>
        </w:rPr>
        <w:t>, 2017). NHS England, for instance, commissions services through Integrated Care Boards (formerly Clinical Commissioning Groups), while NHS trusts manage hospitals and community services (Ham, 2021).</w:t>
      </w:r>
    </w:p>
    <w:p w:rsidR="00BF5E76" w:rsidRDefault="006E33F6" w14:paraId="04E0C371" w14:textId="77777777">
      <w:pPr>
        <w:spacing w:line="360" w:lineRule="auto"/>
        <w:rPr>
          <w:rFonts w:ascii="Arial" w:hAnsi="Arial" w:cs="Arial"/>
          <w:sz w:val="22"/>
          <w:szCs w:val="22"/>
        </w:rPr>
      </w:pPr>
      <w:r>
        <w:rPr>
          <w:rFonts w:ascii="Arial" w:hAnsi="Arial" w:cs="Arial"/>
          <w:sz w:val="22"/>
          <w:szCs w:val="22"/>
        </w:rPr>
        <w:t>Despite its resilience, the NHS faces significant pressures. Rising demand due to an ageing population, financial constraints, and workforce shortages have strained its capacity (Kings Fund, 2022). Waiting times for elective procedures and emergency care have lengthened, raising concerns about the sustainability of the service, while the COVID-19 pandemic worsened existing pressures (Marmot et al., 2020).</w:t>
      </w:r>
    </w:p>
    <w:p w:rsidR="00BF5E76" w:rsidRDefault="006E33F6" w14:paraId="3DB686F0" w14:textId="77777777">
      <w:pPr>
        <w:spacing w:line="360" w:lineRule="auto"/>
        <w:rPr>
          <w:rFonts w:ascii="Arial" w:hAnsi="Arial" w:cs="Arial"/>
          <w:b/>
          <w:bCs/>
          <w:sz w:val="22"/>
          <w:szCs w:val="22"/>
        </w:rPr>
      </w:pPr>
      <w:r>
        <w:rPr>
          <w:rFonts w:ascii="Arial" w:hAnsi="Arial" w:cs="Arial"/>
          <w:b/>
          <w:bCs/>
          <w:sz w:val="22"/>
          <w:szCs w:val="22"/>
        </w:rPr>
        <w:t>Critical Examination: Staff Shortages and Long Waiting Lists</w:t>
      </w:r>
    </w:p>
    <w:p w:rsidR="00BF5E76" w:rsidRDefault="006E33F6" w14:paraId="1E638A91" w14:textId="77777777">
      <w:pPr>
        <w:spacing w:line="360" w:lineRule="auto"/>
        <w:rPr>
          <w:rFonts w:ascii="Arial" w:hAnsi="Arial" w:cs="Arial"/>
          <w:sz w:val="22"/>
          <w:szCs w:val="22"/>
        </w:rPr>
      </w:pPr>
      <w:r>
        <w:rPr>
          <w:rFonts w:ascii="Arial" w:hAnsi="Arial" w:cs="Arial"/>
          <w:sz w:val="22"/>
          <w:szCs w:val="22"/>
        </w:rPr>
        <w:t>One of the most problematic challenges facing the NHS today is staff shortages. Workforce gaps are present across nursing, general practice, and hospital care, with the NHS in England reporting over 110,000 vacancies in 2022 (NHS Digital, 2022). Contributing factors include increased demand for services, insufficient training places, burnout, and the impact of Brexit on recruitment of international staff (Buchan et al., 2019). Staff shortages directly affect patient safety, quality of care, and the ability to deliver services efficiently.</w:t>
      </w:r>
    </w:p>
    <w:p w:rsidR="00BF5E76" w:rsidRDefault="006E33F6" w14:paraId="6BC7AD4C" w14:textId="77777777">
      <w:pPr>
        <w:spacing w:line="360" w:lineRule="auto"/>
        <w:rPr>
          <w:rFonts w:ascii="Arial" w:hAnsi="Arial" w:cs="Arial"/>
          <w:sz w:val="22"/>
          <w:szCs w:val="22"/>
        </w:rPr>
      </w:pPr>
      <w:r>
        <w:rPr>
          <w:rFonts w:ascii="Arial" w:hAnsi="Arial" w:cs="Arial"/>
          <w:sz w:val="22"/>
          <w:szCs w:val="22"/>
        </w:rPr>
        <w:t>Long waiting lists are another critical issue. By early 2023, over 7 million people in England were waiting for elective treatment, the highest figure since records began (NHS England, 2023). These delays are attributed to growing demand, reduced capacity, and pandemic-related backlogs. Extended waiting times weaken the public’s confidence in the NHS and worsen health outcomes, particularly for patients with chronic or progressive conditions (Kings Fund, 2022).</w:t>
      </w:r>
    </w:p>
    <w:p w:rsidR="00BF5E76" w:rsidRDefault="006E33F6" w14:paraId="66502788" w14:textId="77777777">
      <w:pPr>
        <w:spacing w:line="360" w:lineRule="auto"/>
        <w:rPr>
          <w:rFonts w:ascii="Arial" w:hAnsi="Arial" w:cs="Arial"/>
          <w:sz w:val="22"/>
          <w:szCs w:val="22"/>
        </w:rPr>
      </w:pPr>
      <w:r>
        <w:rPr>
          <w:rFonts w:ascii="Arial" w:hAnsi="Arial" w:cs="Arial"/>
          <w:sz w:val="22"/>
          <w:szCs w:val="22"/>
        </w:rPr>
        <w:t>These two challenges are interconnected: staff shortages reduce the system’s ability to meet demand, which in turn contributes to rising waiting times. Addressing them requires long-term workforce planning, investment in recruitment and retention, and better integration of health and social care to alleviate hospital pressures (Buchan et al., 2019). Without tackling these structural issues, the NHS risks failing to meet its founding principle of timely, universal access to care.</w:t>
      </w:r>
    </w:p>
    <w:p w:rsidR="00BF5E76" w:rsidRDefault="006E33F6" w14:paraId="2C096E0A" w14:textId="77777777">
      <w:pPr>
        <w:spacing w:line="360" w:lineRule="auto"/>
        <w:rPr>
          <w:rFonts w:ascii="Arial" w:hAnsi="Arial" w:cs="Arial"/>
          <w:b/>
          <w:bCs/>
          <w:sz w:val="22"/>
          <w:szCs w:val="22"/>
        </w:rPr>
      </w:pPr>
      <w:r>
        <w:rPr>
          <w:rFonts w:ascii="Arial" w:hAnsi="Arial" w:cs="Arial"/>
          <w:b/>
          <w:bCs/>
          <w:sz w:val="22"/>
          <w:szCs w:val="22"/>
        </w:rPr>
        <w:t>Conclusion</w:t>
      </w:r>
    </w:p>
    <w:p w:rsidR="00BF5E76" w:rsidRDefault="006E33F6" w14:paraId="00CF431D" w14:textId="77777777">
      <w:pPr>
        <w:spacing w:line="360" w:lineRule="auto"/>
        <w:rPr>
          <w:rFonts w:ascii="Arial" w:hAnsi="Arial" w:cs="Arial"/>
          <w:sz w:val="22"/>
          <w:szCs w:val="22"/>
        </w:rPr>
      </w:pPr>
      <w:r>
        <w:rPr>
          <w:rFonts w:ascii="Arial" w:hAnsi="Arial" w:cs="Arial"/>
          <w:sz w:val="22"/>
          <w:szCs w:val="22"/>
        </w:rPr>
        <w:t>The NHS was born out of a vision to eliminate inequalities in healthcare and provide universal access based on need rather than wealth. Guided by principles of universality, equity, and comprehensiveness, it has transformed the health of the nation. Nevertheless, the system today faces immense pressures, particularly from workforce shortages and long waiting lists. These challenges undermine service delivery and public confidence, highlighting the urgent need for sustainable workforce strategies and capacity improvements. Till this day, even though they face certain flaws the NHS remains a cornerstone of British society and a testament to the enduring value of collective healthcare.</w:t>
      </w:r>
    </w:p>
    <w:p w:rsidR="00BF5E76" w:rsidRDefault="006E33F6" w14:paraId="2A4E5BF8" w14:textId="77777777">
      <w:pPr>
        <w:spacing w:line="360" w:lineRule="auto"/>
        <w:rPr>
          <w:rFonts w:ascii="Arial" w:hAnsi="Arial" w:cs="Arial"/>
          <w:b/>
          <w:bCs/>
          <w:sz w:val="22"/>
          <w:szCs w:val="22"/>
        </w:rPr>
      </w:pPr>
      <w:r>
        <w:rPr>
          <w:rFonts w:ascii="Arial" w:hAnsi="Arial" w:cs="Arial"/>
          <w:b/>
          <w:bCs/>
          <w:sz w:val="22"/>
          <w:szCs w:val="22"/>
        </w:rPr>
        <w:t xml:space="preserve">POSTER: </w:t>
      </w:r>
    </w:p>
    <w:p w:rsidR="00BF5E76" w:rsidRDefault="006E33F6" w14:paraId="1B2B07EC" w14:textId="77777777">
      <w:pPr>
        <w:spacing w:line="360" w:lineRule="auto"/>
      </w:pPr>
      <w:r>
        <w:rPr>
          <w:rFonts w:ascii="Arial" w:hAnsi="Arial" w:cs="Arial"/>
          <w:noProof/>
          <w:sz w:val="22"/>
          <w:szCs w:val="22"/>
        </w:rPr>
        <w:drawing>
          <wp:inline distT="0" distB="0" distL="0" distR="0" wp14:anchorId="113D85B9" wp14:editId="003FD0CB">
            <wp:extent cx="5724528" cy="7639053"/>
            <wp:effectExtent l="0" t="0" r="9522" b="0"/>
            <wp:docPr id="995980668" name="Picture 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
                    <a:srcRect/>
                    <a:stretch>
                      <a:fillRect/>
                    </a:stretch>
                  </pic:blipFill>
                  <pic:spPr>
                    <a:xfrm>
                      <a:off x="0" y="0"/>
                      <a:ext cx="5724528" cy="7639053"/>
                    </a:xfrm>
                    <a:prstGeom prst="rect">
                      <a:avLst/>
                    </a:prstGeom>
                    <a:noFill/>
                    <a:ln>
                      <a:noFill/>
                      <a:prstDash/>
                    </a:ln>
                  </pic:spPr>
                </pic:pic>
              </a:graphicData>
            </a:graphic>
          </wp:inline>
        </w:drawing>
      </w:r>
    </w:p>
    <w:p w:rsidR="00BF5E76" w:rsidRDefault="006E33F6" w14:paraId="5CDBAB02" w14:textId="77777777">
      <w:r>
        <w:rPr>
          <w:noProof/>
        </w:rPr>
        <mc:AlternateContent>
          <mc:Choice Requires="wps">
            <w:drawing>
              <wp:inline distT="0" distB="0" distL="0" distR="0" wp14:anchorId="2B39B345" wp14:editId="5F9F2865">
                <wp:extent cx="5734046" cy="76196"/>
                <wp:effectExtent l="0" t="0" r="19054" b="19054"/>
                <wp:docPr id="1226349991" name="Horizontal Line 7"/>
                <wp:cNvGraphicFramePr/>
                <a:graphic xmlns:a="http://schemas.openxmlformats.org/drawingml/2006/main">
                  <a:graphicData uri="http://schemas.microsoft.com/office/word/2010/wordprocessingShape">
                    <wps:wsp>
                      <wps:cNvSpPr/>
                      <wps:spPr>
                        <a:xfrm>
                          <a:off x="0" y="0"/>
                          <a:ext cx="5734046" cy="76196"/>
                        </a:xfrm>
                        <a:prstGeom prst="rect">
                          <a:avLst/>
                        </a:prstGeom>
                        <a:noFill/>
                        <a:ln w="9528" cap="flat">
                          <a:solidFill>
                            <a:srgbClr val="A0A0A0"/>
                          </a:solidFill>
                          <a:prstDash val="solid"/>
                          <a:miter/>
                        </a:ln>
                      </wps:spPr>
                      <wps:bodyPr lIns="0" tIns="0" rIns="0" bIns="0"/>
                    </wps:wsp>
                  </a:graphicData>
                </a:graphic>
              </wp:inline>
            </w:drawing>
          </mc:Choice>
          <mc:Fallback xmlns:arto="http://schemas.microsoft.com/office/word/2006/arto" xmlns:pic="http://schemas.openxmlformats.org/drawingml/2006/picture" xmlns:a="http://schemas.openxmlformats.org/drawingml/2006/main">
            <w:pict>
              <v:rect id="Horizontal Line 7" style="width:451.5pt;height:6pt;visibility:visible;mso-wrap-style:square;mso-left-percent:-10001;mso-top-percent:-10001;mso-position-horizontal:absolute;mso-position-horizontal-relative:char;mso-position-vertical:absolute;mso-position-vertical-relative:line;mso-left-percent:-10001;mso-top-percent:-10001;v-text-anchor:top" o:spid="_x0000_s1026" filled="f" strokecolor="#a0a0a0" strokeweight=".26467mm" w14:anchorId="2D2CA2E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">
                <v:textbox inset="0,0,0,0"/>
                <w10:anchorlock/>
              </v:rect>
            </w:pict>
          </mc:Fallback>
        </mc:AlternateContent>
      </w:r>
    </w:p>
    <w:p w:rsidR="00BF5E76" w:rsidRDefault="006E33F6" w14:paraId="723C4BBF" w14:textId="77777777">
      <w:pPr>
        <w:rPr>
          <w:b/>
          <w:bCs/>
        </w:rPr>
      </w:pPr>
      <w:r>
        <w:rPr>
          <w:b/>
          <w:bCs/>
        </w:rPr>
        <w:t>References:</w:t>
      </w:r>
    </w:p>
    <w:p w:rsidR="00BF5E76" w:rsidRDefault="006E33F6" w14:paraId="0E32C2B8" w14:textId="77777777">
      <w:r>
        <w:t xml:space="preserve">Bevan, A. (1952) </w:t>
      </w:r>
      <w:r>
        <w:rPr>
          <w:i/>
          <w:iCs/>
        </w:rPr>
        <w:t>In Place of Fear</w:t>
      </w:r>
      <w:r>
        <w:t>. London: Heinemann.</w:t>
      </w:r>
    </w:p>
    <w:p w:rsidR="00BF5E76" w:rsidRDefault="006E33F6" w14:paraId="4C64C8B6" w14:textId="77777777">
      <w:r>
        <w:t xml:space="preserve">Buchan, J., </w:t>
      </w:r>
      <w:proofErr w:type="spellStart"/>
      <w:r>
        <w:t>Gershlick</w:t>
      </w:r>
      <w:proofErr w:type="spellEnd"/>
      <w:r>
        <w:t xml:space="preserve">, B., </w:t>
      </w:r>
      <w:proofErr w:type="spellStart"/>
      <w:r>
        <w:t>Charlesworth</w:t>
      </w:r>
      <w:proofErr w:type="spellEnd"/>
      <w:r>
        <w:t xml:space="preserve">, A. and </w:t>
      </w:r>
      <w:proofErr w:type="spellStart"/>
      <w:r>
        <w:t>Seccombe</w:t>
      </w:r>
      <w:proofErr w:type="spellEnd"/>
      <w:r>
        <w:t xml:space="preserve">, I. (2019) </w:t>
      </w:r>
      <w:r>
        <w:rPr>
          <w:i/>
          <w:iCs/>
        </w:rPr>
        <w:t>Falling Short: The NHS Workforce Challenge</w:t>
      </w:r>
      <w:r>
        <w:t>. London: The Health Foundation.</w:t>
      </w:r>
    </w:p>
    <w:p w:rsidR="00BF5E76" w:rsidRDefault="006E33F6" w14:paraId="5174CCFA" w14:textId="77777777">
      <w:r>
        <w:t xml:space="preserve">Department of Health and Social Care (2015) </w:t>
      </w:r>
      <w:r>
        <w:rPr>
          <w:i/>
          <w:iCs/>
        </w:rPr>
        <w:t>The NHS Constitution for England</w:t>
      </w:r>
      <w:r>
        <w:t>. Available at: https://www.gov.uk/government/publications/the-nhs-constitution-for-england (Accessed: 15 October 2025).</w:t>
      </w:r>
    </w:p>
    <w:p w:rsidR="00BF5E76" w:rsidRDefault="006E33F6" w14:paraId="08E86B04" w14:textId="77777777">
      <w:r>
        <w:t xml:space="preserve">Ham, C. (2021) </w:t>
      </w:r>
      <w:r>
        <w:rPr>
          <w:i/>
          <w:iCs/>
        </w:rPr>
        <w:t>The Future of the NHS: Lessons from the Past</w:t>
      </w:r>
      <w:r>
        <w:t>. London: The Nuffield Trust.</w:t>
      </w:r>
    </w:p>
    <w:p w:rsidR="00BF5E76" w:rsidRDefault="006E33F6" w14:paraId="575E23E9" w14:textId="77777777">
      <w:r>
        <w:t xml:space="preserve">Kings Fund (2022) </w:t>
      </w:r>
      <w:r>
        <w:rPr>
          <w:i/>
          <w:iCs/>
        </w:rPr>
        <w:t>The NHS at 75: Priorities for the Future</w:t>
      </w:r>
      <w:r>
        <w:t>. Available at: https://www.kingsfund.org.uk (Accessed: 15 October 2025).</w:t>
      </w:r>
    </w:p>
    <w:p w:rsidR="00BF5E76" w:rsidRDefault="006E33F6" w14:paraId="519488F8" w14:textId="77777777">
      <w:r>
        <w:t xml:space="preserve">Marmot, M., Allen, J., </w:t>
      </w:r>
      <w:proofErr w:type="spellStart"/>
      <w:r>
        <w:t>Goldblatt</w:t>
      </w:r>
      <w:proofErr w:type="spellEnd"/>
      <w:r>
        <w:t xml:space="preserve">, P., Herd, E. and Morrison, J. (2020) </w:t>
      </w:r>
      <w:r>
        <w:rPr>
          <w:i/>
          <w:iCs/>
        </w:rPr>
        <w:t>Health Equity in England: The Marmot Review 10 Years On</w:t>
      </w:r>
      <w:r>
        <w:t>. London: Institute of Health Equity.</w:t>
      </w:r>
    </w:p>
    <w:p w:rsidR="00BF5E76" w:rsidRDefault="006E33F6" w14:paraId="4A577E71" w14:textId="77777777">
      <w:r>
        <w:t xml:space="preserve">NHS Digital (2022) </w:t>
      </w:r>
      <w:r>
        <w:rPr>
          <w:i/>
          <w:iCs/>
        </w:rPr>
        <w:t>NHS Vacancy Statistics England April 2015 – September 2022</w:t>
      </w:r>
      <w:r>
        <w:t>. Available at: https://digital.nhs.uk (Accessed: 15 October 2025).</w:t>
      </w:r>
    </w:p>
    <w:p w:rsidR="00BF5E76" w:rsidRDefault="006E33F6" w14:paraId="199A818E" w14:textId="77777777">
      <w:r>
        <w:t xml:space="preserve">NHS England (2023) </w:t>
      </w:r>
      <w:r>
        <w:rPr>
          <w:i/>
          <w:iCs/>
        </w:rPr>
        <w:t>Referral to Treatment (RTT) Waiting Times Data 2023</w:t>
      </w:r>
      <w:r>
        <w:t>. Available at: https://www.england.nhs.uk (Accessed: 15 October 2025).</w:t>
      </w:r>
    </w:p>
    <w:p w:rsidR="00BF5E76" w:rsidRDefault="006E33F6" w14:paraId="5768E985" w14:textId="77777777">
      <w:proofErr w:type="spellStart"/>
      <w:r>
        <w:t>Rivett</w:t>
      </w:r>
      <w:proofErr w:type="spellEnd"/>
      <w:r>
        <w:t xml:space="preserve">, G. (2018) </w:t>
      </w:r>
      <w:r>
        <w:rPr>
          <w:i/>
          <w:iCs/>
        </w:rPr>
        <w:t>From Cradle to Grave: 70 Years of the NHS</w:t>
      </w:r>
      <w:r>
        <w:t>. London: NHS Confederation.</w:t>
      </w:r>
    </w:p>
    <w:p w:rsidR="00BF5E76" w:rsidRDefault="006E33F6" w14:paraId="6ED37159" w14:textId="77777777">
      <w:proofErr w:type="spellStart"/>
      <w:r>
        <w:t>Timmins</w:t>
      </w:r>
      <w:proofErr w:type="spellEnd"/>
      <w:r>
        <w:t xml:space="preserve">, N. (2017) </w:t>
      </w:r>
      <w:r>
        <w:rPr>
          <w:i/>
          <w:iCs/>
        </w:rPr>
        <w:t>The Five Giants: A Biography of the Welfare State</w:t>
      </w:r>
      <w:r>
        <w:t>. London: William Collins.</w:t>
      </w:r>
    </w:p>
    <w:p w:rsidR="00BF5E76" w:rsidRDefault="006E33F6" w14:paraId="40B061F6" w14:textId="77777777">
      <w:r>
        <w:t xml:space="preserve">Webster, C. (2002) </w:t>
      </w:r>
      <w:r>
        <w:rPr>
          <w:i/>
          <w:iCs/>
        </w:rPr>
        <w:t>The National Health Service: A Political History</w:t>
      </w:r>
      <w:r>
        <w:t>. Oxford: Oxford University Press.</w:t>
      </w:r>
    </w:p>
    <w:p w:rsidR="00BF5E76" w:rsidRDefault="006E33F6" w14:paraId="49AAF328" w14:textId="77777777">
      <w:r>
        <w:t xml:space="preserve">Barclay, L. &amp; Smith, J., 2015. </w:t>
      </w:r>
      <w:r>
        <w:rPr>
          <w:i/>
          <w:iCs/>
        </w:rPr>
        <w:t>Pharmacy and healthcare: evolving roles and responsibilities</w:t>
      </w:r>
      <w:r>
        <w:t>. London: Healthcare Press.</w:t>
      </w:r>
    </w:p>
    <w:p w:rsidR="00BF5E76" w:rsidRDefault="006E33F6" w14:paraId="3E3F28BD" w14:textId="77777777">
      <w:proofErr w:type="spellStart"/>
      <w:r>
        <w:t>Hendry</w:t>
      </w:r>
      <w:proofErr w:type="spellEnd"/>
      <w:r>
        <w:t xml:space="preserve">, R., 2009. </w:t>
      </w:r>
      <w:r>
        <w:rPr>
          <w:i/>
          <w:iCs/>
        </w:rPr>
        <w:t>A history of pharmacy: from Mesopotamia to modern medicine</w:t>
      </w:r>
      <w:r>
        <w:t>. Oxford: Oxford University Press.</w:t>
      </w:r>
    </w:p>
    <w:p w:rsidR="00BF5E76" w:rsidRDefault="006E33F6" w14:paraId="180AA105" w14:textId="77777777">
      <w:r>
        <w:t xml:space="preserve">Pharmacy Research UK, 2020. </w:t>
      </w:r>
      <w:r>
        <w:rPr>
          <w:i/>
          <w:iCs/>
        </w:rPr>
        <w:t>The evolving role of pharmacy in the UK healthcare system</w:t>
      </w:r>
      <w:r>
        <w:t>. [online] Available at: https://pharmacyresearchuk.org [Accessed 7 October 2025].</w:t>
      </w:r>
    </w:p>
    <w:p w:rsidR="00BF5E76" w:rsidRDefault="006E33F6" w14:paraId="6AD005CB" w14:textId="77777777">
      <w:r>
        <w:t xml:space="preserve">The Pharmaceutical Journal, 2023. </w:t>
      </w:r>
      <w:r>
        <w:rPr>
          <w:i/>
          <w:iCs/>
        </w:rPr>
        <w:t>Impact of clinical pathways on GP referrals</w:t>
      </w:r>
      <w:r>
        <w:t xml:space="preserve">. </w:t>
      </w:r>
      <w:r>
        <w:rPr>
          <w:i/>
          <w:iCs/>
        </w:rPr>
        <w:t>The Pharmaceutical Journal</w:t>
      </w:r>
      <w:r>
        <w:t>. [online] Available at: https://pharmaceutical-journal.com [Accessed 7 October 2025].</w:t>
      </w:r>
    </w:p>
    <w:p w:rsidR="00BF5E76" w:rsidRDefault="006E33F6" w14:paraId="497B39CD" w14:textId="77777777">
      <w:r>
        <w:t xml:space="preserve">Williams, K., Patel, N. &amp; Jones, M., 2018. </w:t>
      </w:r>
      <w:r>
        <w:rPr>
          <w:i/>
          <w:iCs/>
        </w:rPr>
        <w:t>Pharmacists as frontline healthcare providers: accessibility and impact on patient outcomes</w:t>
      </w:r>
      <w:r>
        <w:t xml:space="preserve">. </w:t>
      </w:r>
      <w:r>
        <w:rPr>
          <w:i/>
          <w:iCs/>
        </w:rPr>
        <w:t>Journal of Primary Healthcare</w:t>
      </w:r>
      <w:r>
        <w:t>, 10(3), pp.45-53.</w:t>
      </w:r>
    </w:p>
    <w:p w:rsidR="00BF5E76" w:rsidRDefault="00BF5E76" w14:paraId="17654D75" w14:textId="77777777"/>
    <w:p w:rsidR="00BF5E76" w:rsidRDefault="00BF5E76" w14:paraId="24594F22" w14:textId="77777777"/>
    <w:sectPr w:rsidR="00BF5E76">
      <w:pgSz w:w="11906" w:h="16838" w:orient="portrait"/>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182716" w:rsidRDefault="00182716" w14:paraId="76FC8412" w14:textId="77777777">
      <w:pPr>
        <w:spacing w:after="0" w:line="240" w:lineRule="auto"/>
      </w:pPr>
      <w:r>
        <w:separator/>
      </w:r>
    </w:p>
  </w:endnote>
  <w:endnote w:type="continuationSeparator" w:id="0">
    <w:p w:rsidR="00182716" w:rsidRDefault="00182716" w14:paraId="19EF598C"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0000000000000000000"/>
    <w:charset w:val="00"/>
    <w:family w:val="roman"/>
    <w:notTrueType/>
    <w:pitch w:val="default"/>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Source Sans Pro">
    <w:charset w:val="00"/>
    <w:family w:val="swiss"/>
    <w:pitch w:val="variable"/>
    <w:sig w:usb0="600002F7" w:usb1="02000001" w:usb2="00000000" w:usb3="00000000" w:csb0="0000019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4002EFF" w:usb1="C000247B" w:usb2="00000009" w:usb3="00000000" w:csb0="000001FF" w:csb1="00000000"/>
  </w:font>
  <w:font w:name="Yu Mincho">
    <w:altName w:val="游明朝"/>
    <w:panose1 w:val="00000000000000000000"/>
    <w:charset w:val="80"/>
    <w:family w:val="roman"/>
    <w:notTrueType/>
    <w:pitch w:val="default"/>
  </w:font>
  <w:font w:name="Calibri">
    <w:panose1 w:val="020F05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182716" w:rsidRDefault="00182716" w14:paraId="408FBE9A" w14:textId="77777777">
      <w:pPr>
        <w:spacing w:after="0" w:line="240" w:lineRule="auto"/>
      </w:pPr>
      <w:r>
        <w:rPr>
          <w:color w:val="000000"/>
        </w:rPr>
        <w:separator/>
      </w:r>
    </w:p>
  </w:footnote>
  <w:footnote w:type="continuationSeparator" w:id="0">
    <w:p w:rsidR="00182716" w:rsidRDefault="00182716" w14:paraId="5D82A375" w14:textId="7777777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proofState w:spelling="clean" w:grammar="dirty"/>
  <w:trackRevisions w:val="false"/>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F5E76"/>
    <w:rsid w:val="00065B71"/>
    <w:rsid w:val="000A3D3A"/>
    <w:rsid w:val="000C7515"/>
    <w:rsid w:val="001454F1"/>
    <w:rsid w:val="00182716"/>
    <w:rsid w:val="002A6A9F"/>
    <w:rsid w:val="004E0D97"/>
    <w:rsid w:val="006E33F6"/>
    <w:rsid w:val="006E4A32"/>
    <w:rsid w:val="007A618D"/>
    <w:rsid w:val="008914C0"/>
    <w:rsid w:val="009F585B"/>
    <w:rsid w:val="00A50225"/>
    <w:rsid w:val="00BF5E76"/>
    <w:rsid w:val="00D744B9"/>
    <w:rsid w:val="00F91A75"/>
    <w:rsid w:val="0D24FFBE"/>
    <w:rsid w:val="348D8488"/>
    <w:rsid w:val="446E7BD4"/>
    <w:rsid w:val="5748ED03"/>
    <w:rsid w:val="6AB72661"/>
    <w:rsid w:val="6D9391C0"/>
    <w:rsid w:val="72D866C5"/>
    <w:rsid w:val="749E734D"/>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7C52D6F8"/>
  <w15:docId w15:val="{AF643478-542A-4A9F-8B32-EC95FBC5A2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hAnsi="Aptos" w:eastAsia="Aptos" w:cs="Times New Roman"/>
        <w:kern w:val="3"/>
        <w:sz w:val="24"/>
        <w:szCs w:val="24"/>
        <w:lang w:val="en-GB" w:eastAsia="en-US" w:bidi="ar-SA"/>
      </w:rPr>
    </w:rPrDefault>
    <w:pPrDefault>
      <w:pPr>
        <w:autoSpaceDN w:val="0"/>
        <w:spacing w:after="16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pPr>
      <w:suppressAutoHyphens/>
    </w:pPr>
  </w:style>
  <w:style w:type="paragraph" w:styleId="Heading1">
    <w:name w:val="heading 1"/>
    <w:basedOn w:val="Normal"/>
    <w:next w:val="Normal"/>
    <w:uiPriority w:val="9"/>
    <w:qFormat/>
    <w:pPr>
      <w:keepNext/>
      <w:keepLines/>
      <w:spacing w:before="360" w:after="80"/>
      <w:outlineLvl w:val="0"/>
    </w:pPr>
    <w:rPr>
      <w:rFonts w:ascii="Aptos Display" w:hAnsi="Aptos Display" w:eastAsia="Times New Roman"/>
      <w:color w:val="0F4761"/>
      <w:sz w:val="40"/>
      <w:szCs w:val="40"/>
    </w:rPr>
  </w:style>
  <w:style w:type="paragraph" w:styleId="Heading2">
    <w:name w:val="heading 2"/>
    <w:basedOn w:val="Normal"/>
    <w:next w:val="Normal"/>
    <w:uiPriority w:val="9"/>
    <w:semiHidden/>
    <w:unhideWhenUsed/>
    <w:qFormat/>
    <w:pPr>
      <w:keepNext/>
      <w:keepLines/>
      <w:spacing w:before="160" w:after="80"/>
      <w:outlineLvl w:val="1"/>
    </w:pPr>
    <w:rPr>
      <w:rFonts w:ascii="Aptos Display" w:hAnsi="Aptos Display" w:eastAsia="Times New Roman"/>
      <w:color w:val="0F4761"/>
      <w:sz w:val="32"/>
      <w:szCs w:val="32"/>
    </w:rPr>
  </w:style>
  <w:style w:type="paragraph" w:styleId="Heading3">
    <w:name w:val="heading 3"/>
    <w:basedOn w:val="Normal"/>
    <w:next w:val="Normal"/>
    <w:uiPriority w:val="9"/>
    <w:semiHidden/>
    <w:unhideWhenUsed/>
    <w:qFormat/>
    <w:pPr>
      <w:keepNext/>
      <w:keepLines/>
      <w:spacing w:before="160" w:after="80"/>
      <w:outlineLvl w:val="2"/>
    </w:pPr>
    <w:rPr>
      <w:rFonts w:eastAsia="Times New Roman"/>
      <w:color w:val="0F4761"/>
      <w:sz w:val="28"/>
      <w:szCs w:val="28"/>
    </w:rPr>
  </w:style>
  <w:style w:type="paragraph" w:styleId="Heading4">
    <w:name w:val="heading 4"/>
    <w:basedOn w:val="Normal"/>
    <w:next w:val="Normal"/>
    <w:uiPriority w:val="9"/>
    <w:semiHidden/>
    <w:unhideWhenUsed/>
    <w:qFormat/>
    <w:pPr>
      <w:keepNext/>
      <w:keepLines/>
      <w:spacing w:before="80" w:after="40"/>
      <w:outlineLvl w:val="3"/>
    </w:pPr>
    <w:rPr>
      <w:rFonts w:eastAsia="Times New Roman"/>
      <w:i/>
      <w:iCs/>
      <w:color w:val="0F4761"/>
    </w:rPr>
  </w:style>
  <w:style w:type="paragraph" w:styleId="Heading5">
    <w:name w:val="heading 5"/>
    <w:basedOn w:val="Normal"/>
    <w:next w:val="Normal"/>
    <w:uiPriority w:val="9"/>
    <w:semiHidden/>
    <w:unhideWhenUsed/>
    <w:qFormat/>
    <w:pPr>
      <w:keepNext/>
      <w:keepLines/>
      <w:spacing w:before="80" w:after="40"/>
      <w:outlineLvl w:val="4"/>
    </w:pPr>
    <w:rPr>
      <w:rFonts w:eastAsia="Times New Roman"/>
      <w:color w:val="0F4761"/>
    </w:rPr>
  </w:style>
  <w:style w:type="paragraph" w:styleId="Heading6">
    <w:name w:val="heading 6"/>
    <w:basedOn w:val="Normal"/>
    <w:next w:val="Normal"/>
    <w:uiPriority w:val="9"/>
    <w:semiHidden/>
    <w:unhideWhenUsed/>
    <w:qFormat/>
    <w:pPr>
      <w:keepNext/>
      <w:keepLines/>
      <w:spacing w:before="40" w:after="0"/>
      <w:outlineLvl w:val="5"/>
    </w:pPr>
    <w:rPr>
      <w:rFonts w:eastAsia="Times New Roman"/>
      <w:i/>
      <w:iCs/>
      <w:color w:val="595959"/>
    </w:rPr>
  </w:style>
  <w:style w:type="paragraph" w:styleId="Heading7">
    <w:name w:val="heading 7"/>
    <w:basedOn w:val="Normal"/>
    <w:next w:val="Normal"/>
    <w:pPr>
      <w:keepNext/>
      <w:keepLines/>
      <w:spacing w:before="40" w:after="0"/>
      <w:outlineLvl w:val="6"/>
    </w:pPr>
    <w:rPr>
      <w:rFonts w:eastAsia="Times New Roman"/>
      <w:color w:val="595959"/>
    </w:rPr>
  </w:style>
  <w:style w:type="paragraph" w:styleId="Heading8">
    <w:name w:val="heading 8"/>
    <w:basedOn w:val="Normal"/>
    <w:next w:val="Normal"/>
    <w:pPr>
      <w:keepNext/>
      <w:keepLines/>
      <w:spacing w:after="0"/>
      <w:outlineLvl w:val="7"/>
    </w:pPr>
    <w:rPr>
      <w:rFonts w:eastAsia="Times New Roman"/>
      <w:i/>
      <w:iCs/>
      <w:color w:val="272727"/>
    </w:rPr>
  </w:style>
  <w:style w:type="paragraph" w:styleId="Heading9">
    <w:name w:val="heading 9"/>
    <w:basedOn w:val="Normal"/>
    <w:next w:val="Normal"/>
    <w:pPr>
      <w:keepNext/>
      <w:keepLines/>
      <w:spacing w:after="0"/>
      <w:outlineLvl w:val="8"/>
    </w:pPr>
    <w:rPr>
      <w:rFonts w:eastAsia="Times New Roman"/>
      <w:color w:val="272727"/>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rPr>
      <w:rFonts w:ascii="Aptos Display" w:hAnsi="Aptos Display" w:eastAsia="Times New Roman" w:cs="Times New Roman"/>
      <w:color w:val="0F4761"/>
      <w:sz w:val="40"/>
      <w:szCs w:val="40"/>
    </w:rPr>
  </w:style>
  <w:style w:type="character" w:styleId="Heading2Char" w:customStyle="1">
    <w:name w:val="Heading 2 Char"/>
    <w:basedOn w:val="DefaultParagraphFont"/>
    <w:rPr>
      <w:rFonts w:ascii="Aptos Display" w:hAnsi="Aptos Display" w:eastAsia="Times New Roman" w:cs="Times New Roman"/>
      <w:color w:val="0F4761"/>
      <w:sz w:val="32"/>
      <w:szCs w:val="32"/>
    </w:rPr>
  </w:style>
  <w:style w:type="character" w:styleId="Heading3Char" w:customStyle="1">
    <w:name w:val="Heading 3 Char"/>
    <w:basedOn w:val="DefaultParagraphFont"/>
    <w:rPr>
      <w:rFonts w:eastAsia="Times New Roman" w:cs="Times New Roman"/>
      <w:color w:val="0F4761"/>
      <w:sz w:val="28"/>
      <w:szCs w:val="28"/>
    </w:rPr>
  </w:style>
  <w:style w:type="character" w:styleId="Heading4Char" w:customStyle="1">
    <w:name w:val="Heading 4 Char"/>
    <w:basedOn w:val="DefaultParagraphFont"/>
    <w:rPr>
      <w:rFonts w:eastAsia="Times New Roman" w:cs="Times New Roman"/>
      <w:i/>
      <w:iCs/>
      <w:color w:val="0F4761"/>
    </w:rPr>
  </w:style>
  <w:style w:type="character" w:styleId="Heading5Char" w:customStyle="1">
    <w:name w:val="Heading 5 Char"/>
    <w:basedOn w:val="DefaultParagraphFont"/>
    <w:rPr>
      <w:rFonts w:eastAsia="Times New Roman" w:cs="Times New Roman"/>
      <w:color w:val="0F4761"/>
    </w:rPr>
  </w:style>
  <w:style w:type="character" w:styleId="Heading6Char" w:customStyle="1">
    <w:name w:val="Heading 6 Char"/>
    <w:basedOn w:val="DefaultParagraphFont"/>
    <w:rPr>
      <w:rFonts w:eastAsia="Times New Roman" w:cs="Times New Roman"/>
      <w:i/>
      <w:iCs/>
      <w:color w:val="595959"/>
    </w:rPr>
  </w:style>
  <w:style w:type="character" w:styleId="Heading7Char" w:customStyle="1">
    <w:name w:val="Heading 7 Char"/>
    <w:basedOn w:val="DefaultParagraphFont"/>
    <w:rPr>
      <w:rFonts w:eastAsia="Times New Roman" w:cs="Times New Roman"/>
      <w:color w:val="595959"/>
    </w:rPr>
  </w:style>
  <w:style w:type="character" w:styleId="Heading8Char" w:customStyle="1">
    <w:name w:val="Heading 8 Char"/>
    <w:basedOn w:val="DefaultParagraphFont"/>
    <w:rPr>
      <w:rFonts w:eastAsia="Times New Roman" w:cs="Times New Roman"/>
      <w:i/>
      <w:iCs/>
      <w:color w:val="272727"/>
    </w:rPr>
  </w:style>
  <w:style w:type="character" w:styleId="Heading9Char" w:customStyle="1">
    <w:name w:val="Heading 9 Char"/>
    <w:basedOn w:val="DefaultParagraphFont"/>
    <w:rPr>
      <w:rFonts w:eastAsia="Times New Roman" w:cs="Times New Roman"/>
      <w:color w:val="272727"/>
    </w:rPr>
  </w:style>
  <w:style w:type="paragraph" w:styleId="Title">
    <w:name w:val="Title"/>
    <w:basedOn w:val="Normal"/>
    <w:next w:val="Normal"/>
    <w:uiPriority w:val="10"/>
    <w:qFormat/>
    <w:pPr>
      <w:spacing w:after="80" w:line="240" w:lineRule="auto"/>
    </w:pPr>
    <w:rPr>
      <w:rFonts w:ascii="Aptos Display" w:hAnsi="Aptos Display" w:eastAsia="Times New Roman"/>
      <w:spacing w:val="-10"/>
      <w:sz w:val="56"/>
      <w:szCs w:val="56"/>
    </w:rPr>
  </w:style>
  <w:style w:type="character" w:styleId="TitleChar" w:customStyle="1">
    <w:name w:val="Title Char"/>
    <w:basedOn w:val="DefaultParagraphFont"/>
    <w:rPr>
      <w:rFonts w:ascii="Aptos Display" w:hAnsi="Aptos Display" w:eastAsia="Times New Roman" w:cs="Times New Roman"/>
      <w:spacing w:val="-10"/>
      <w:kern w:val="3"/>
      <w:sz w:val="56"/>
      <w:szCs w:val="56"/>
    </w:rPr>
  </w:style>
  <w:style w:type="paragraph" w:styleId="Subtitle">
    <w:name w:val="Subtitle"/>
    <w:basedOn w:val="Normal"/>
    <w:next w:val="Normal"/>
    <w:uiPriority w:val="11"/>
    <w:qFormat/>
    <w:rPr>
      <w:rFonts w:eastAsia="Times New Roman"/>
      <w:color w:val="595959"/>
      <w:spacing w:val="15"/>
      <w:sz w:val="28"/>
      <w:szCs w:val="28"/>
    </w:rPr>
  </w:style>
  <w:style w:type="character" w:styleId="SubtitleChar" w:customStyle="1">
    <w:name w:val="Subtitle Char"/>
    <w:basedOn w:val="DefaultParagraphFont"/>
    <w:rPr>
      <w:rFonts w:eastAsia="Times New Roman" w:cs="Times New Roman"/>
      <w:color w:val="595959"/>
      <w:spacing w:val="15"/>
      <w:sz w:val="28"/>
      <w:szCs w:val="28"/>
    </w:rPr>
  </w:style>
  <w:style w:type="paragraph" w:styleId="Quote">
    <w:name w:val="Quote"/>
    <w:basedOn w:val="Normal"/>
    <w:next w:val="Normal"/>
    <w:pPr>
      <w:spacing w:before="160"/>
      <w:jc w:val="center"/>
    </w:pPr>
    <w:rPr>
      <w:i/>
      <w:iCs/>
      <w:color w:val="404040"/>
    </w:rPr>
  </w:style>
  <w:style w:type="character" w:styleId="QuoteChar" w:customStyle="1">
    <w:name w:val="Quote Char"/>
    <w:basedOn w:val="DefaultParagraphFont"/>
    <w:rPr>
      <w:i/>
      <w:iCs/>
      <w:color w:val="404040"/>
    </w:rPr>
  </w:style>
  <w:style w:type="paragraph" w:styleId="ListParagraph">
    <w:name w:val="List Paragraph"/>
    <w:basedOn w:val="Normal"/>
    <w:pPr>
      <w:ind w:left="720"/>
    </w:pPr>
  </w:style>
  <w:style w:type="character" w:styleId="IntenseEmphasis">
    <w:name w:val="Intense Emphasis"/>
    <w:basedOn w:val="DefaultParagraphFont"/>
    <w:rPr>
      <w:i/>
      <w:iCs/>
      <w:color w:val="0F4761"/>
    </w:rPr>
  </w:style>
  <w:style w:type="paragraph" w:styleId="IntenseQuote">
    <w:name w:val="Intense Quote"/>
    <w:basedOn w:val="Normal"/>
    <w:next w:val="Normal"/>
    <w:pPr>
      <w:pBdr>
        <w:top w:val="single" w:color="0F4761" w:sz="4" w:space="10"/>
        <w:bottom w:val="single" w:color="0F4761" w:sz="4" w:space="10"/>
      </w:pBdr>
      <w:spacing w:before="360" w:after="360"/>
      <w:ind w:left="864" w:right="864"/>
      <w:jc w:val="center"/>
    </w:pPr>
    <w:rPr>
      <w:i/>
      <w:iCs/>
      <w:color w:val="0F4761"/>
    </w:rPr>
  </w:style>
  <w:style w:type="character" w:styleId="IntenseQuoteChar" w:customStyle="1">
    <w:name w:val="Intense Quote Char"/>
    <w:basedOn w:val="DefaultParagraphFont"/>
    <w:rPr>
      <w:i/>
      <w:iCs/>
      <w:color w:val="0F4761"/>
    </w:rPr>
  </w:style>
  <w:style w:type="character" w:styleId="IntenseReference">
    <w:name w:val="Intense Reference"/>
    <w:basedOn w:val="DefaultParagraphFont"/>
    <w:rPr>
      <w:b/>
      <w:bCs/>
      <w:smallCaps/>
      <w:color w:val="0F4761"/>
      <w:spacing w:val="5"/>
    </w:rPr>
  </w:style>
  <w:style w:type="paragraph" w:styleId="Header">
    <w:name w:val="header"/>
    <w:basedOn w:val="Normal"/>
    <w:link w:val="HeaderChar"/>
    <w:uiPriority w:val="99"/>
    <w:semiHidden/>
    <w:unhideWhenUsed/>
    <w:rsid w:val="008914C0"/>
    <w:pPr>
      <w:tabs>
        <w:tab w:val="center" w:pos="4680"/>
        <w:tab w:val="right" w:pos="9360"/>
      </w:tabs>
      <w:spacing w:after="0" w:line="240" w:lineRule="auto"/>
    </w:pPr>
  </w:style>
  <w:style w:type="character" w:styleId="HeaderChar" w:customStyle="1">
    <w:name w:val="Header Char"/>
    <w:basedOn w:val="DefaultParagraphFont"/>
    <w:link w:val="Header"/>
    <w:uiPriority w:val="99"/>
    <w:semiHidden/>
    <w:rsid w:val="008914C0"/>
  </w:style>
  <w:style w:type="paragraph" w:styleId="Footer">
    <w:name w:val="footer"/>
    <w:basedOn w:val="Normal"/>
    <w:link w:val="FooterChar"/>
    <w:uiPriority w:val="99"/>
    <w:semiHidden/>
    <w:unhideWhenUsed/>
    <w:rsid w:val="008914C0"/>
    <w:pPr>
      <w:tabs>
        <w:tab w:val="center" w:pos="4680"/>
        <w:tab w:val="right" w:pos="9360"/>
      </w:tabs>
      <w:spacing w:after="0" w:line="240" w:lineRule="auto"/>
    </w:pPr>
  </w:style>
  <w:style w:type="character" w:styleId="FooterChar" w:customStyle="1">
    <w:name w:val="Footer Char"/>
    <w:basedOn w:val="DefaultParagraphFont"/>
    <w:link w:val="Footer"/>
    <w:uiPriority w:val="99"/>
    <w:semiHidden/>
    <w:rsid w:val="008914C0"/>
  </w:style>
  <w:style w:type="paragraph" w:styleId="NoSpacing">
    <w:name w:val="No Spacing"/>
    <w:uiPriority w:val="1"/>
    <w:qFormat/>
    <w:rsid w:val="6AB72661"/>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&#65279;<?xml version="1.0" encoding="utf-8"?><Relationships xmlns="http://schemas.openxmlformats.org/package/2006/relationships"><Relationship Type="http://schemas.openxmlformats.org/officeDocument/2006/relationships/theme" Target="theme/theme1.xml" Id="rId8" /><Relationship Type="http://schemas.openxmlformats.org/officeDocument/2006/relationships/webSettings" Target="webSettings.xml" Id="rId3" /><Relationship Type="http://schemas.openxmlformats.org/officeDocument/2006/relationships/fontTable" Target="fontTable.xml" Id="rId7"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image" Target="media/image1.jpeg" Id="rId6" /><Relationship Type="http://schemas.openxmlformats.org/officeDocument/2006/relationships/endnotes" Target="endnotes.xml" Id="rId5" /><Relationship Type="http://schemas.openxmlformats.org/officeDocument/2006/relationships/footnotes" Target="footnotes.xml" Id="rId4"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Sina Mirzaei</dc:creator>
  <keywords/>
  <dc:description/>
  <lastModifiedBy>Dalsooz Alshateri (2432908)</lastModifiedBy>
  <revision>7</revision>
  <dcterms:created xsi:type="dcterms:W3CDTF">2025-10-15T20:09:00.0000000Z</dcterms:created>
  <dcterms:modified xsi:type="dcterms:W3CDTF">2025-10-15T21:12:25.4406732Z</dcterms:modified>
</coreProperties>
</file>