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sz w:val="24"/>
          <w:szCs w:val="24"/>
          <w:highlight w:val="none"/>
          <w:lang w:eastAsia="zh-CN"/>
        </w:rPr>
      </w:pPr>
      <w:r>
        <w:rPr>
          <w:rFonts w:hint="eastAsia" w:ascii="Arial" w:hAnsi="Arial" w:cs="Arial" w:eastAsiaTheme="minorEastAsia"/>
          <w:sz w:val="24"/>
          <w:szCs w:val="24"/>
          <w:highlight w:val="none"/>
          <w:lang w:eastAsia="zh-CN"/>
        </w:rPr>
        <w:drawing>
          <wp:inline distT="0" distB="0" distL="114300" distR="114300">
            <wp:extent cx="6072505" cy="8590915"/>
            <wp:effectExtent l="0" t="0" r="8255" b="4445"/>
            <wp:docPr id="17" name="图片 17" descr="封面"/>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封面"/>
                    <pic:cNvPicPr>
                      <a:picLocks noChangeAspect="1"/>
                    </pic:cNvPicPr>
                  </pic:nvPicPr>
                  <pic:blipFill>
                    <a:blip r:embed="rId5"/>
                    <a:stretch>
                      <a:fillRect/>
                    </a:stretch>
                  </pic:blipFill>
                  <pic:spPr>
                    <a:xfrm>
                      <a:off x="0" y="0"/>
                      <a:ext cx="6072505" cy="859091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sz w:val="28"/>
          <w:szCs w:val="28"/>
          <w:highlight w:val="none"/>
        </w:rPr>
      </w:pPr>
      <w:r>
        <w:rPr>
          <w:rFonts w:hint="default" w:ascii="Arial" w:hAnsi="Arial" w:cs="Arial"/>
          <w:b/>
          <w:bCs/>
          <w:sz w:val="28"/>
          <w:szCs w:val="28"/>
          <w:highlight w:val="none"/>
        </w:rPr>
        <w:t>Contents Page</w:t>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TOC \o "1-3" \h \u </w:instrText>
      </w:r>
      <w:r>
        <w:rPr>
          <w:rFonts w:hint="default" w:ascii="Arial" w:hAnsi="Arial" w:cs="Arial"/>
          <w:sz w:val="24"/>
          <w:szCs w:val="24"/>
          <w:highlight w:val="none"/>
        </w:rPr>
        <w:fldChar w:fldCharType="separate"/>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\l _Toc32105 </w:instrText>
      </w:r>
      <w:r>
        <w:rPr>
          <w:rFonts w:hint="default" w:ascii="Arial" w:hAnsi="Arial" w:cs="Arial"/>
          <w:sz w:val="24"/>
          <w:szCs w:val="24"/>
          <w:highlight w:val="none"/>
        </w:rPr>
        <w:fldChar w:fldCharType="separate"/>
      </w:r>
      <w:r>
        <w:rPr>
          <w:rFonts w:hint="default" w:ascii="Arial" w:hAnsi="Arial" w:cs="Arial"/>
          <w:sz w:val="24"/>
          <w:szCs w:val="24"/>
          <w:highlight w:val="none"/>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_Toc32105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highlight w:val="none"/>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\l _Toc6700 </w:instrText>
      </w:r>
      <w:r>
        <w:rPr>
          <w:rFonts w:hint="default" w:ascii="Arial" w:hAnsi="Arial" w:cs="Arial"/>
          <w:sz w:val="24"/>
          <w:szCs w:val="24"/>
          <w:highlight w:val="none"/>
        </w:rPr>
        <w:fldChar w:fldCharType="separate"/>
      </w:r>
      <w:r>
        <w:rPr>
          <w:rFonts w:hint="default" w:ascii="Arial" w:hAnsi="Arial" w:cs="Arial"/>
          <w:sz w:val="24"/>
          <w:szCs w:val="24"/>
          <w:highlight w:val="none"/>
        </w:rPr>
        <w:t>SOSTAC</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_Toc6700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highlight w:val="none"/>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\l _Toc32607 </w:instrText>
      </w:r>
      <w:r>
        <w:rPr>
          <w:rFonts w:hint="default" w:ascii="Arial" w:hAnsi="Arial" w:cs="Arial"/>
          <w:sz w:val="24"/>
          <w:szCs w:val="24"/>
          <w:highlight w:val="none"/>
        </w:rPr>
        <w:fldChar w:fldCharType="separate"/>
      </w:r>
      <w:r>
        <w:rPr>
          <w:rFonts w:hint="default" w:ascii="Arial" w:hAnsi="Arial" w:cs="Arial"/>
          <w:sz w:val="24"/>
          <w:szCs w:val="24"/>
          <w:highlight w:val="none"/>
          <w:lang w:val="en-US" w:eastAsia="zh-CN"/>
        </w:rPr>
        <w:t>1.0 Situation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_Toc32607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highlight w:val="none"/>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\l _Toc12098 </w:instrText>
      </w:r>
      <w:r>
        <w:rPr>
          <w:rFonts w:hint="default" w:ascii="Arial" w:hAnsi="Arial" w:cs="Arial"/>
          <w:sz w:val="24"/>
          <w:szCs w:val="24"/>
          <w:highlight w:val="none"/>
        </w:rPr>
        <w:fldChar w:fldCharType="separate"/>
      </w:r>
      <w:r>
        <w:rPr>
          <w:rFonts w:hint="default" w:ascii="Arial" w:hAnsi="Arial" w:cs="Arial"/>
          <w:sz w:val="24"/>
          <w:szCs w:val="24"/>
          <w:highlight w:val="none"/>
          <w:lang w:val="en-US" w:eastAsia="zh-CN"/>
        </w:rPr>
        <w:t>2.0 Objectives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_Toc12098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highlight w:val="none"/>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\l _Toc2899 </w:instrText>
      </w:r>
      <w:r>
        <w:rPr>
          <w:rFonts w:hint="default" w:ascii="Arial" w:hAnsi="Arial" w:cs="Arial"/>
          <w:sz w:val="24"/>
          <w:szCs w:val="24"/>
          <w:highlight w:val="none"/>
        </w:rPr>
        <w:fldChar w:fldCharType="separate"/>
      </w:r>
      <w:r>
        <w:rPr>
          <w:rFonts w:hint="default" w:ascii="Arial" w:hAnsi="Arial" w:cs="Arial"/>
          <w:sz w:val="24"/>
          <w:szCs w:val="24"/>
          <w:highlight w:val="none"/>
          <w:lang w:val="en-US" w:eastAsia="zh-CN"/>
        </w:rPr>
        <w:t>3.0 Strategy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_Toc2899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highlight w:val="none"/>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\l _Toc21860 </w:instrText>
      </w:r>
      <w:r>
        <w:rPr>
          <w:rFonts w:hint="default" w:ascii="Arial" w:hAnsi="Arial" w:cs="Arial"/>
          <w:sz w:val="24"/>
          <w:szCs w:val="24"/>
          <w:highlight w:val="none"/>
        </w:rPr>
        <w:fldChar w:fldCharType="separate"/>
      </w:r>
      <w:r>
        <w:rPr>
          <w:rFonts w:hint="default" w:ascii="Arial" w:hAnsi="Arial" w:cs="Arial"/>
          <w:sz w:val="24"/>
          <w:szCs w:val="24"/>
          <w:highlight w:val="none"/>
          <w:lang w:val="en-US" w:eastAsia="zh-CN"/>
        </w:rPr>
        <w:t>4.0 Tactics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_Toc21860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highlight w:val="none"/>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\l _Toc14358 </w:instrText>
      </w:r>
      <w:r>
        <w:rPr>
          <w:rFonts w:hint="default" w:ascii="Arial" w:hAnsi="Arial" w:cs="Arial"/>
          <w:sz w:val="24"/>
          <w:szCs w:val="24"/>
          <w:highlight w:val="none"/>
        </w:rPr>
        <w:fldChar w:fldCharType="separate"/>
      </w:r>
      <w:r>
        <w:rPr>
          <w:rFonts w:hint="default" w:ascii="Arial" w:hAnsi="Arial" w:cs="Arial"/>
          <w:sz w:val="24"/>
          <w:szCs w:val="24"/>
          <w:highlight w:val="none"/>
          <w:lang w:val="en-US" w:eastAsia="zh-CN"/>
        </w:rPr>
        <w:t>5.0 Actions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_Toc14358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highlight w:val="none"/>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\l _Toc31294 </w:instrText>
      </w:r>
      <w:r>
        <w:rPr>
          <w:rFonts w:hint="default" w:ascii="Arial" w:hAnsi="Arial" w:cs="Arial"/>
          <w:sz w:val="24"/>
          <w:szCs w:val="24"/>
          <w:highlight w:val="none"/>
        </w:rPr>
        <w:fldChar w:fldCharType="separate"/>
      </w:r>
      <w:r>
        <w:rPr>
          <w:rFonts w:hint="default" w:ascii="Arial" w:hAnsi="Arial" w:cs="Arial"/>
          <w:sz w:val="24"/>
          <w:szCs w:val="24"/>
          <w:highlight w:val="none"/>
          <w:lang w:val="en-US" w:eastAsia="zh-CN"/>
        </w:rPr>
        <w:t>6.0 Control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_Toc31294 \h </w:instrText>
      </w:r>
      <w:r>
        <w:rPr>
          <w:rFonts w:hint="default" w:ascii="Arial" w:hAnsi="Arial" w:cs="Arial"/>
          <w:sz w:val="24"/>
          <w:szCs w:val="24"/>
        </w:rPr>
        <w:fldChar w:fldCharType="separate"/>
      </w:r>
      <w:r>
        <w:rPr>
          <w:rFonts w:hint="default" w:ascii="Arial" w:hAnsi="Arial" w:cs="Arial"/>
          <w:sz w:val="24"/>
          <w:szCs w:val="24"/>
        </w:rPr>
        <w:t>18</w:t>
      </w:r>
      <w:r>
        <w:rPr>
          <w:rFonts w:hint="default" w:ascii="Arial" w:hAnsi="Arial" w:cs="Arial"/>
          <w:sz w:val="24"/>
          <w:szCs w:val="24"/>
        </w:rPr>
        <w:fldChar w:fldCharType="end"/>
      </w:r>
      <w:r>
        <w:rPr>
          <w:rFonts w:hint="default" w:ascii="Arial" w:hAnsi="Arial" w:cs="Arial"/>
          <w:sz w:val="24"/>
          <w:szCs w:val="24"/>
          <w:highlight w:val="none"/>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\l _Toc11840 </w:instrText>
      </w:r>
      <w:r>
        <w:rPr>
          <w:rFonts w:hint="default" w:ascii="Arial" w:hAnsi="Arial" w:cs="Arial"/>
          <w:sz w:val="24"/>
          <w:szCs w:val="24"/>
          <w:highlight w:val="none"/>
        </w:rPr>
        <w:fldChar w:fldCharType="separate"/>
      </w:r>
      <w:r>
        <w:rPr>
          <w:rFonts w:hint="default" w:ascii="Arial" w:hAnsi="Arial" w:cs="Arial"/>
          <w:sz w:val="24"/>
          <w:szCs w:val="24"/>
          <w:highlight w:val="none"/>
          <w:lang w:val="en-US" w:eastAsia="zh-CN"/>
        </w:rPr>
        <w:t>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_Toc11840 \h </w:instrText>
      </w:r>
      <w:r>
        <w:rPr>
          <w:rFonts w:hint="default" w:ascii="Arial" w:hAnsi="Arial" w:cs="Arial"/>
          <w:sz w:val="24"/>
          <w:szCs w:val="24"/>
        </w:rPr>
        <w:fldChar w:fldCharType="separate"/>
      </w:r>
      <w:r>
        <w:rPr>
          <w:rFonts w:hint="default" w:ascii="Arial" w:hAnsi="Arial" w:cs="Arial"/>
          <w:sz w:val="24"/>
          <w:szCs w:val="24"/>
        </w:rPr>
        <w:t>19</w:t>
      </w:r>
      <w:r>
        <w:rPr>
          <w:rFonts w:hint="default" w:ascii="Arial" w:hAnsi="Arial" w:cs="Arial"/>
          <w:sz w:val="24"/>
          <w:szCs w:val="24"/>
        </w:rPr>
        <w:fldChar w:fldCharType="end"/>
      </w:r>
      <w:r>
        <w:rPr>
          <w:rFonts w:hint="default" w:ascii="Arial" w:hAnsi="Arial" w:cs="Arial"/>
          <w:sz w:val="24"/>
          <w:szCs w:val="24"/>
          <w:highlight w:val="none"/>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\l _Toc14140 </w:instrText>
      </w:r>
      <w:r>
        <w:rPr>
          <w:rFonts w:hint="default" w:ascii="Arial" w:hAnsi="Arial" w:cs="Arial"/>
          <w:sz w:val="24"/>
          <w:szCs w:val="24"/>
          <w:highlight w:val="none"/>
        </w:rPr>
        <w:fldChar w:fldCharType="separate"/>
      </w:r>
      <w:r>
        <w:rPr>
          <w:rFonts w:hint="default" w:ascii="Arial" w:hAnsi="Arial" w:cs="Arial"/>
          <w:sz w:val="24"/>
          <w:szCs w:val="24"/>
          <w:highlight w:val="none"/>
          <w:lang w:val="en-US" w:eastAsia="zh-CN"/>
        </w:rPr>
        <w:t>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_Toc14140 \h </w:instrText>
      </w:r>
      <w:r>
        <w:rPr>
          <w:rFonts w:hint="default" w:ascii="Arial" w:hAnsi="Arial" w:cs="Arial"/>
          <w:sz w:val="24"/>
          <w:szCs w:val="24"/>
        </w:rPr>
        <w:fldChar w:fldCharType="separate"/>
      </w:r>
      <w:r>
        <w:rPr>
          <w:rFonts w:hint="default" w:ascii="Arial" w:hAnsi="Arial" w:cs="Arial"/>
          <w:sz w:val="24"/>
          <w:szCs w:val="24"/>
        </w:rPr>
        <w:t>21</w:t>
      </w:r>
      <w:r>
        <w:rPr>
          <w:rFonts w:hint="default" w:ascii="Arial" w:hAnsi="Arial" w:cs="Arial"/>
          <w:sz w:val="24"/>
          <w:szCs w:val="24"/>
        </w:rPr>
        <w:fldChar w:fldCharType="end"/>
      </w:r>
      <w:r>
        <w:rPr>
          <w:rFonts w:hint="default" w:ascii="Arial" w:hAnsi="Arial" w:cs="Arial"/>
          <w:sz w:val="24"/>
          <w:szCs w:val="24"/>
          <w:highlight w:val="none"/>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\l _Toc12276 </w:instrText>
      </w:r>
      <w:r>
        <w:rPr>
          <w:rFonts w:hint="default" w:ascii="Arial" w:hAnsi="Arial" w:cs="Arial"/>
          <w:sz w:val="24"/>
          <w:szCs w:val="24"/>
          <w:highlight w:val="none"/>
        </w:rPr>
        <w:fldChar w:fldCharType="separate"/>
      </w:r>
      <w:r>
        <w:rPr>
          <w:rFonts w:hint="default" w:ascii="Arial" w:hAnsi="Arial" w:cs="Arial"/>
          <w:sz w:val="24"/>
          <w:szCs w:val="24"/>
          <w:highlight w:val="none"/>
          <w:lang w:val="en-US" w:eastAsia="zh-CN"/>
        </w:rPr>
        <w:t>Reference List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_Toc12276 \h </w:instrText>
      </w:r>
      <w:r>
        <w:rPr>
          <w:rFonts w:hint="default" w:ascii="Arial" w:hAnsi="Arial" w:cs="Arial"/>
          <w:sz w:val="24"/>
          <w:szCs w:val="24"/>
        </w:rPr>
        <w:fldChar w:fldCharType="separate"/>
      </w:r>
      <w:r>
        <w:rPr>
          <w:rFonts w:hint="default" w:ascii="Arial" w:hAnsi="Arial" w:cs="Arial"/>
          <w:sz w:val="24"/>
          <w:szCs w:val="24"/>
        </w:rPr>
        <w:t>24</w:t>
      </w:r>
      <w:r>
        <w:rPr>
          <w:rFonts w:hint="default" w:ascii="Arial" w:hAnsi="Arial" w:cs="Arial"/>
          <w:sz w:val="24"/>
          <w:szCs w:val="24"/>
        </w:rPr>
        <w:fldChar w:fldCharType="end"/>
      </w:r>
      <w:r>
        <w:rPr>
          <w:rFonts w:hint="default" w:ascii="Arial" w:hAnsi="Arial" w:cs="Arial"/>
          <w:sz w:val="24"/>
          <w:szCs w:val="24"/>
          <w:highlight w:val="none"/>
        </w:rPr>
        <w:fldChar w:fldCharType="end"/>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r>
        <w:rPr>
          <w:rFonts w:hint="default" w:ascii="Arial" w:hAnsi="Arial" w:cs="Arial"/>
          <w:sz w:val="24"/>
          <w:szCs w:val="24"/>
          <w:highlight w:val="none"/>
        </w:rPr>
        <w:fldChar w:fldCharType="end"/>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sz w:val="28"/>
          <w:szCs w:val="28"/>
          <w:highlight w:val="none"/>
        </w:rPr>
      </w:pPr>
      <w:r>
        <w:rPr>
          <w:rFonts w:hint="default" w:ascii="Arial" w:hAnsi="Arial" w:cs="Arial"/>
          <w:b/>
          <w:bCs/>
          <w:sz w:val="28"/>
          <w:szCs w:val="28"/>
          <w:highlight w:val="none"/>
        </w:rPr>
        <w:t>Executive Summary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r>
        <w:rPr>
          <w:rFonts w:hint="default" w:ascii="Arial" w:hAnsi="Arial" w:cs="Arial"/>
          <w:sz w:val="24"/>
          <w:szCs w:val="24"/>
          <w:highlight w:val="none"/>
        </w:rPr>
        <w:t>The whole report uses SOSTAC to develop an innovative strategic marketing plan to achieve the organisation's objectives. Firstly, the organisation has used TOWS to analyse the current situation and this model helps the organisation to make effective decisions to reduce threat factors and find new opportunities. The second step requires the organisation to identify a objective that satisfies SMART and must meet the conditions of achievability and measurability. The third step is to develop a marketing strategy to achieve the objective and the strategy used by the organisation is Segmentation Targeting Positioning. The purpose of this strategy is to help the organisation to collect information about customer preferences, improve customer loyalty, and increase profitability. The fourth step is to develop tactics through The 7Ps Marketing Mix which helps the organisation to identify the most suitable marketing organisation to achieve the objectives. A Gantt Chart is used in the Actions step because it better presents information to all members of the organisation such as task requirements, timelines, and the departments that are included in the process. At the last step the organisation is monitored through KPI's to complete each step of the Gantt Chart. Organisations should follow the SOSTAC process to realise their marketing plans and also be flexible in their strategies to face unexpected force majeure events. This marketing plan will help the organisation to maximise the effectiveness and achieve the SMART objectives.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bookmarkStart w:id="11" w:name="_GoBack"/>
      <w:bookmarkEnd w:id="11"/>
    </w:p>
    <w:p>
      <w:pPr>
        <w:pStyle w:val="2"/>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8"/>
          <w:szCs w:val="28"/>
          <w:highlight w:val="none"/>
        </w:rPr>
      </w:pPr>
      <w:bookmarkStart w:id="0" w:name="_Toc32105"/>
      <w:r>
        <w:rPr>
          <w:rFonts w:hint="default" w:ascii="Arial" w:hAnsi="Arial" w:cs="Arial"/>
          <w:sz w:val="28"/>
          <w:szCs w:val="28"/>
          <w:highlight w:val="none"/>
        </w:rPr>
        <w:t>Introduction</w:t>
      </w:r>
      <w:bookmarkEnd w:id="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 business or organisation that wants to achieve the objective of sustainability must have a marketing plan.</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val="en-US" w:eastAsia="zh-CN"/>
        </w:rPr>
        <w:t>The purpose of the marketing plan is to help the business identify the target market and come up with excellent strategies for the business's products or services (Piercy and Morgan, 1994). This specifically includes pricing decisions, research to enter new markets, percentage of customers in a specific group of people, promotion of branding tools, and timetable targets (Dibb, 2001).</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val="en-US" w:eastAsia="zh-CN"/>
        </w:rPr>
        <w:t>This shows the importance of having a marketing plan, which gives the organisation direction and the meaning of implementing each activity. The organisation can compare the credibility of the plan by observing the indicators to better achieve the objectives.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This report will use SOSTAC to develop an innovative strategic marketing plan to achieve the organisation's objectives. The SOSTAC Planning Framework is a really simple and effective planning process which helps in developing each important stage of a company's marketing plan (Reed , 2014).</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r>
        <w:rPr>
          <w:rFonts w:hint="default" w:ascii="Arial" w:hAnsi="Arial" w:cs="Arial"/>
          <w:sz w:val="24"/>
          <w:szCs w:val="24"/>
          <w:highlight w:val="none"/>
        </w:rPr>
        <w:drawing>
          <wp:inline distT="0" distB="0" distL="114300" distR="114300">
            <wp:extent cx="2747645" cy="1987550"/>
            <wp:effectExtent l="0" t="0" r="10795" b="889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2747645" cy="198755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This shows that the benefits of using SOSTAC for businesses is to help them check that all their marketing activities and budgets are in line with the business objectives of the organisation.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It is important that the objectives set by the business meet SMART because this ensures that the objectives of the business are clear and achievable (Bjerke and Renger, 2017).</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r>
        <w:rPr>
          <w:rFonts w:hint="default" w:ascii="Arial" w:hAnsi="Arial" w:cs="Arial"/>
          <w:sz w:val="24"/>
          <w:szCs w:val="24"/>
          <w:highlight w:val="none"/>
        </w:rPr>
        <w:drawing>
          <wp:inline distT="0" distB="0" distL="114300" distR="114300">
            <wp:extent cx="2741930" cy="2366010"/>
            <wp:effectExtent l="0" t="0" r="0" b="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7"/>
                    <a:srcRect r="644"/>
                    <a:stretch>
                      <a:fillRect/>
                    </a:stretch>
                  </pic:blipFill>
                  <pic:spPr>
                    <a:xfrm>
                      <a:off x="0" y="0"/>
                      <a:ext cx="2741930" cy="236601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This shows that the benefits of setting SMART objectives are to help the organisation to use their time and resources efficiently towards their objectives, which can also avoid the possibility of the organisation getting into a failure situation.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"Marks and Spencer was started in 1884 by Michael Marks in partnership with Tom Spencer and is one of the largest retailers located in the UK (M&amp;S, 2022)."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vision of the business is to make every moment special for customers providing an exceptional shopping experience through their high quality, own-brand food, clothing, and household products (M&amp;S Carrers, 2023)."</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 xml:space="preserve">According to </w:t>
      </w:r>
      <w:r>
        <w:rPr>
          <w:rFonts w:hint="default" w:ascii="Arial" w:hAnsi="Arial" w:cs="Arial"/>
          <w:i/>
          <w:iCs/>
          <w:sz w:val="24"/>
          <w:szCs w:val="24"/>
          <w:highlight w:val="none"/>
          <w:lang w:val="en-US" w:eastAsia="zh-CN"/>
        </w:rPr>
        <w:t>Market share of grocery stores in Great Britain Statista 2024</w:t>
      </w:r>
      <w:r>
        <w:rPr>
          <w:rFonts w:hint="default" w:ascii="Arial" w:hAnsi="Arial" w:cs="Arial"/>
          <w:sz w:val="24"/>
          <w:szCs w:val="24"/>
          <w:highlight w:val="none"/>
          <w:lang w:val="en-US" w:eastAsia="zh-CN"/>
        </w:rPr>
        <w:t>, M&amp;S does not have a good market share position because customers are looking for cheaper and good quality shops such as Tesco and Sainsbury's (Bedford, 2024).</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However, M&amp;S compared to Waitrose as a common upmarket positioned shop, M&amp;S has continued to increase their market share over the last four years. In 2024, M&amp;S is officially tied with Waitrose at 3.8% (Houlton, 2024). The continuous increase in market share is a good indication that the company has a position in the premium supermarket sector and that they have the competitive potential.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strategies used by M&amp;S to gain advantage include price reductions and discounts on products, which can make customers feel strong value for money shopping experience (Houlton, 2024). This shows that the current strategy of the business meets the needs of high quality customers and also creates a good shopping experience to attract new shoppers.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Of course, the business should be aiming for a longer term target, such as becoming a leading retailer. In order to achieve their targets, the business has already completed a marketing audit, so they should formally start using SOSTAC to begin the process of planning the next steps in their marketing plan. This will ensure that M&amp;S can complete the objectives within the timeframe set out and according to the instructions for each stage.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Style w:val="2"/>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8"/>
          <w:szCs w:val="28"/>
          <w:highlight w:val="none"/>
          <w:lang w:val="en-US" w:eastAsia="zh-CN"/>
        </w:rPr>
      </w:pPr>
      <w:bookmarkStart w:id="1" w:name="_Toc6700"/>
      <w:r>
        <w:rPr>
          <w:rFonts w:hint="default" w:ascii="Arial" w:hAnsi="Arial" w:cs="Arial"/>
          <w:sz w:val="28"/>
          <w:szCs w:val="28"/>
          <w:highlight w:val="none"/>
        </w:rPr>
        <w:t>SOSTAC</w:t>
      </w:r>
      <w:bookmarkEnd w:id="1"/>
    </w:p>
    <w:p>
      <w:pPr>
        <w:pStyle w:val="3"/>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bookmarkStart w:id="2" w:name="_Toc32607"/>
      <w:r>
        <w:rPr>
          <w:rFonts w:hint="default" w:ascii="Arial" w:hAnsi="Arial" w:cs="Arial"/>
          <w:sz w:val="24"/>
          <w:szCs w:val="24"/>
          <w:highlight w:val="none"/>
          <w:lang w:val="en-US" w:eastAsia="zh-CN"/>
        </w:rPr>
        <w:t>1.0 Situation Analysis</w:t>
      </w:r>
      <w:bookmarkEnd w:id="2"/>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TOWS analysis is an expansion of more internal and external strategies based on the basic information of the SWOT model. The four strategies specifically included are Strength-Opportunity, Weakness-Opportunity, Strength-Threat and Weakness-Threat (Weihrich, 1982). The benefit of using TOWS analysis is to help organisations and leaders to quickly and clearly understand the current market environment as well as the operations of the business. This shows that TOWS can help organisations to better reduce threat factors and use opportunities to find effective strategies.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r>
        <w:rPr>
          <w:rFonts w:hint="default" w:ascii="Arial" w:hAnsi="Arial" w:eastAsia="宋体" w:cs="Arial"/>
          <w:sz w:val="24"/>
          <w:szCs w:val="24"/>
          <w:highlight w:val="none"/>
          <w:lang w:val="en-US" w:eastAsia="zh-CN"/>
        </w:rPr>
        <w:t>Through TOWS analysis, M&amp;S's current operational position and achievable strategies look like this: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rPr>
        <w:drawing>
          <wp:inline distT="0" distB="0" distL="114300" distR="114300">
            <wp:extent cx="5290185" cy="4754245"/>
            <wp:effectExtent l="0" t="0" r="13335" b="635"/>
            <wp:docPr id="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4"/>
                    <pic:cNvPicPr>
                      <a:picLocks noChangeAspect="1"/>
                    </pic:cNvPicPr>
                  </pic:nvPicPr>
                  <pic:blipFill>
                    <a:blip r:embed="rId8"/>
                    <a:stretch>
                      <a:fillRect/>
                    </a:stretch>
                  </pic:blipFill>
                  <pic:spPr>
                    <a:xfrm>
                      <a:off x="0" y="0"/>
                      <a:ext cx="5290185" cy="475424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Businesses should currently choose a 12 month period objective to achieve and use these achievable strategies to help them innovate and become more competitive in the marketplace.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Style w:val="3"/>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color w:val="auto"/>
          <w:sz w:val="24"/>
          <w:szCs w:val="24"/>
          <w:highlight w:val="none"/>
          <w:lang w:val="en-US" w:eastAsia="zh-CN"/>
        </w:rPr>
      </w:pPr>
      <w:bookmarkStart w:id="3" w:name="_Toc12098"/>
      <w:r>
        <w:rPr>
          <w:rFonts w:hint="default" w:ascii="Arial" w:hAnsi="Arial" w:cs="Arial"/>
          <w:sz w:val="24"/>
          <w:szCs w:val="24"/>
          <w:highlight w:val="none"/>
          <w:lang w:val="en-US" w:eastAsia="zh-CN"/>
        </w:rPr>
        <w:t>2.0 Objectives</w:t>
      </w:r>
      <w:bookmarkEnd w:id="3"/>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highlight w:val="none"/>
          <w:lang w:val="en-US" w:eastAsia="zh-CN"/>
        </w:rPr>
      </w:pPr>
      <w:r>
        <w:rPr>
          <w:rFonts w:hint="default" w:ascii="Arial" w:hAnsi="Arial" w:cs="Arial"/>
          <w:color w:val="auto"/>
          <w:sz w:val="24"/>
          <w:szCs w:val="24"/>
          <w:highlight w:val="none"/>
          <w:lang w:val="en-US" w:eastAsia="zh-CN"/>
        </w:rPr>
        <w:t>Corporate Objective is used to guide the organisation's course of action, which helps managers to effectively move projects forward, prioritise tasks, improve efficiency and measure current progress (Keay, 2011). This shows that every organisation is in need of developing good objectives to ensure that they make the right decisions.</w:t>
      </w:r>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highlight w:val="none"/>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highlight w:val="none"/>
          <w:lang w:val="en-US" w:eastAsia="zh-CN"/>
        </w:rPr>
      </w:pPr>
      <w:r>
        <w:rPr>
          <w:rFonts w:hint="default" w:ascii="Arial" w:hAnsi="Arial" w:cs="Arial"/>
          <w:color w:val="auto"/>
          <w:sz w:val="24"/>
          <w:szCs w:val="24"/>
          <w:highlight w:val="none"/>
          <w:lang w:val="en-US" w:eastAsia="zh-CN"/>
        </w:rPr>
        <w:t>Some of the effective strategic marketing objectives include increasing market share, developing new products and services, upgrading the internal facilities of the business, and finding new consumer segments (Varadarajan, 2010). These objectives are measurable and achievable. The business can set the most favourable objectives to change the status by considering the current operations, budget, and external factors.</w:t>
      </w:r>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highlight w:val="none"/>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highlight w:val="none"/>
          <w:lang w:val="en-US" w:eastAsia="zh-CN"/>
        </w:rPr>
      </w:pPr>
      <w:r>
        <w:rPr>
          <w:rFonts w:hint="default" w:ascii="Arial" w:hAnsi="Arial" w:cs="Arial"/>
          <w:color w:val="auto"/>
          <w:sz w:val="24"/>
          <w:szCs w:val="24"/>
          <w:highlight w:val="none"/>
          <w:lang w:val="en-US" w:eastAsia="zh-CN"/>
        </w:rPr>
        <w:t>It is important that the business must be in line with SMART objectives, which helps the business to measure whether the objectives are achievable and measurable or not (Bjerke and Renger, 2017). Businesses need to use their time, resources, and labor wisely to meet the needs of achieving their objectives, so they must not waste their resources on objectives that may fail.</w:t>
      </w:r>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highlight w:val="none"/>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highlight w:val="none"/>
          <w:lang w:val="en-US" w:eastAsia="zh-CN"/>
        </w:rPr>
      </w:pPr>
      <w:r>
        <w:rPr>
          <w:rFonts w:hint="default" w:ascii="Arial" w:hAnsi="Arial" w:cs="Arial"/>
          <w:color w:val="auto"/>
          <w:sz w:val="24"/>
          <w:szCs w:val="24"/>
          <w:highlight w:val="none"/>
          <w:lang w:val="en-US" w:eastAsia="zh-CN"/>
        </w:rPr>
        <w:t xml:space="preserve">This time, M&amp;S's objective is that before August 2025, companies can use the Middle East as a priority market to </w:t>
      </w:r>
      <w:r>
        <w:rPr>
          <w:rFonts w:hint="default" w:ascii="Arial" w:hAnsi="Arial" w:cs="Arial"/>
          <w:sz w:val="24"/>
          <w:szCs w:val="24"/>
          <w:highlight w:val="none"/>
          <w:lang w:val="en-US" w:eastAsia="zh-CN"/>
        </w:rPr>
        <w:t xml:space="preserve">identify </w:t>
      </w:r>
      <w:r>
        <w:rPr>
          <w:rFonts w:hint="default" w:ascii="Arial" w:hAnsi="Arial" w:cs="Arial"/>
          <w:color w:val="auto"/>
          <w:sz w:val="24"/>
          <w:szCs w:val="24"/>
          <w:highlight w:val="none"/>
          <w:lang w:val="en-US" w:eastAsia="zh-CN"/>
        </w:rPr>
        <w:t xml:space="preserve">new customer segments, which helps them to achieve an increase in international sales from 11% (According to </w:t>
      </w:r>
      <w:r>
        <w:rPr>
          <w:rFonts w:hint="default" w:ascii="Arial" w:hAnsi="Arial" w:cs="Arial"/>
          <w:i/>
          <w:iCs/>
          <w:color w:val="auto"/>
          <w:sz w:val="24"/>
          <w:szCs w:val="24"/>
          <w:highlight w:val="none"/>
          <w:lang w:val="en-US" w:eastAsia="zh-CN"/>
        </w:rPr>
        <w:t>M&amp;S Group Plc Full Year Results for 2023</w:t>
      </w:r>
      <w:r>
        <w:rPr>
          <w:rFonts w:hint="default" w:ascii="Arial" w:hAnsi="Arial" w:cs="Arial"/>
          <w:color w:val="auto"/>
          <w:sz w:val="24"/>
          <w:szCs w:val="24"/>
          <w:highlight w:val="none"/>
          <w:lang w:val="en-US" w:eastAsia="zh-CN"/>
        </w:rPr>
        <w:t>) to 15% (M&amp;S, 2023).</w:t>
      </w:r>
      <w:r>
        <w:rPr>
          <w:rFonts w:hint="default" w:ascii="Arial" w:hAnsi="Arial" w:cs="Arial"/>
          <w:color w:val="auto"/>
          <w:sz w:val="24"/>
          <w:szCs w:val="24"/>
          <w:highlight w:val="none"/>
          <w:lang w:val="en-US" w:eastAsia="zh-CN"/>
        </w:rPr>
        <w:t xml:space="preserve"> </w:t>
      </w:r>
      <w:r>
        <w:rPr>
          <w:rFonts w:hint="default" w:ascii="Arial" w:hAnsi="Arial" w:cs="Arial"/>
          <w:color w:val="auto"/>
          <w:sz w:val="24"/>
          <w:szCs w:val="24"/>
          <w:highlight w:val="none"/>
          <w:lang w:val="en-US" w:eastAsia="zh-CN"/>
        </w:rPr>
        <w:t>The reason for choosing this objective is that it can help the business to achieve growth in turnover in a stable and favourable market environment. At the same time, the business will be able to find a new customer base in this area, since M&amp;S has always focused on the local UK. So, the business can perfectly look for a customer base that is in line with the brand, which is affluent shopper base.</w:t>
      </w:r>
      <w:r>
        <w:rPr>
          <w:rFonts w:hint="default" w:ascii="Arial" w:hAnsi="Arial" w:cs="Arial"/>
          <w:color w:val="auto"/>
          <w:sz w:val="24"/>
          <w:szCs w:val="24"/>
          <w:highlight w:val="none"/>
          <w:lang w:val="en-US" w:eastAsia="zh-CN"/>
        </w:rPr>
        <w:t xml:space="preserve"> The increase in customer base can also proactively help the business to promote their popularity in the local area, so more potential customers will come to visit M&amp;S shops.</w:t>
      </w:r>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highlight w:val="none"/>
          <w:lang w:val="en-US" w:eastAsia="zh-CN"/>
        </w:rPr>
      </w:pPr>
    </w:p>
    <w:p>
      <w:pPr>
        <w:pStyle w:val="3"/>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bookmarkStart w:id="4" w:name="_Toc2899"/>
      <w:r>
        <w:rPr>
          <w:rFonts w:hint="default" w:ascii="Arial" w:hAnsi="Arial" w:cs="Arial"/>
          <w:sz w:val="24"/>
          <w:szCs w:val="24"/>
          <w:highlight w:val="none"/>
          <w:lang w:val="en-US" w:eastAsia="zh-CN"/>
        </w:rPr>
        <w:t>3.0 Strategy</w:t>
      </w:r>
      <w:bookmarkEnd w:id="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 xml:space="preserve">In order to achieve its objectives, the strategy that M&amp;S can apply is </w:t>
      </w:r>
      <w:r>
        <w:rPr>
          <w:rFonts w:hint="default" w:ascii="Arial" w:hAnsi="Arial" w:cs="Arial"/>
          <w:sz w:val="24"/>
          <w:szCs w:val="24"/>
          <w:highlight w:val="none"/>
          <w:lang w:val="en-US" w:eastAsia="zh-CN"/>
        </w:rPr>
        <w:t>s</w:t>
      </w:r>
      <w:r>
        <w:rPr>
          <w:rFonts w:hint="default" w:ascii="Arial" w:hAnsi="Arial" w:cs="Arial"/>
          <w:sz w:val="24"/>
          <w:szCs w:val="24"/>
          <w:highlight w:val="none"/>
          <w:lang w:val="en-US" w:eastAsia="zh-CN"/>
        </w:rPr>
        <w:t xml:space="preserve">egmentation </w:t>
      </w:r>
      <w:r>
        <w:rPr>
          <w:rFonts w:hint="default" w:ascii="Arial" w:hAnsi="Arial" w:cs="Arial"/>
          <w:sz w:val="24"/>
          <w:szCs w:val="24"/>
          <w:highlight w:val="none"/>
          <w:lang w:val="en-US" w:eastAsia="zh-CN"/>
        </w:rPr>
        <w:t>t</w:t>
      </w:r>
      <w:r>
        <w:rPr>
          <w:rFonts w:hint="default" w:ascii="Arial" w:hAnsi="Arial" w:cs="Arial"/>
          <w:sz w:val="24"/>
          <w:szCs w:val="24"/>
          <w:highlight w:val="none"/>
          <w:lang w:val="en-US" w:eastAsia="zh-CN"/>
        </w:rPr>
        <w:t xml:space="preserve">argeting </w:t>
      </w:r>
      <w:r>
        <w:rPr>
          <w:rFonts w:hint="default" w:ascii="Arial" w:hAnsi="Arial" w:cs="Arial"/>
          <w:sz w:val="24"/>
          <w:szCs w:val="24"/>
          <w:highlight w:val="none"/>
          <w:lang w:val="en-US" w:eastAsia="zh-CN"/>
        </w:rPr>
        <w:t>p</w:t>
      </w:r>
      <w:r>
        <w:rPr>
          <w:rFonts w:hint="default" w:ascii="Arial" w:hAnsi="Arial" w:cs="Arial"/>
          <w:sz w:val="24"/>
          <w:szCs w:val="24"/>
          <w:highlight w:val="none"/>
          <w:lang w:val="en-US" w:eastAsia="zh-CN"/>
        </w:rPr>
        <w:t>ositioning, and the function is to give the business a better understanding of the needs of different customer bases (Dibb and Simkin, 1991). This helps the organisation to gather information on customer preferences, improve customer retention and increase profitability.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 xml:space="preserve">Market </w:t>
      </w:r>
      <w:r>
        <w:rPr>
          <w:rFonts w:hint="default" w:ascii="Arial" w:hAnsi="Arial" w:cs="Arial"/>
          <w:sz w:val="24"/>
          <w:szCs w:val="24"/>
          <w:highlight w:val="none"/>
          <w:lang w:val="en-US" w:eastAsia="zh-CN"/>
        </w:rPr>
        <w:t>s</w:t>
      </w:r>
      <w:r>
        <w:rPr>
          <w:rFonts w:hint="default" w:ascii="Arial" w:hAnsi="Arial" w:cs="Arial"/>
          <w:sz w:val="24"/>
          <w:szCs w:val="24"/>
          <w:highlight w:val="none"/>
          <w:lang w:val="en-US" w:eastAsia="zh-CN"/>
        </w:rPr>
        <w:t xml:space="preserve">egmentation refers to the process of grouping the market into segments that share some common characteristics, which includes the segmentation of geographic, demographic, psychographic, and behavioural variables (Tynan and Drayton, 2010). For example with geographic segmentation, M&amp;S's audience groups are those people in developing countries and large cities. The Middle East is driven by the production and export of oil and natural resources that drive the economic wealth and labour market of the whole country (Fawcett, 2016). The average standard of living in this region are high, so M&amp;S is able to find affluent shopper base here.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Another type of audience is those who are actively interested in the internet, because nowadays the digitisation era has enhanced the consumers' active purchasing and brand recognition, so the M&amp;S Clothing &amp; Home official website's business profit can be increased to a greater extent in the future.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Targeting refers to the development of products and services that are aimed at one or more customer segments (Lynn, 2012). M&amp;S has a wide range of businesses so they belong to differentiated market targeting.</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val="en-US" w:eastAsia="zh-CN"/>
        </w:rPr>
        <w:t>For example, their women's products include different age segments such as dresses, maternity, sportswear, and business types (M&amp;S, 2021).</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M&amp;S have also set up a specialised vegan range called Plant Kitchen, where they use the glamour of flavouring to make vegan food tasty too (M&amp;S, 2019). This is clearly attracting the attention of the vegan community and they are focussing on creating product variety to provide choice for their customers. This shows that the food segment of the business includes creating fresh fruits, healthy organic food, and vegan products etc. These can prove that the business has differentiation in their marketing mix for each segment.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Of course, businesses wanting to operate shops in the Middle East must respect their local beliefs because the majority of the people belong to the Islamic religion (Mayer, 1987). Companies need to reduce the sale of pork products, which can avoid customer dissatisfaction with the shopping experience.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Positioning means the customer's intuitive perception of a brand in terms of products and services (Schlegelmilch, 2022).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highlight w:val="none"/>
        </w:rPr>
      </w:pPr>
      <w:r>
        <w:rPr>
          <w:rFonts w:hint="default" w:ascii="Arial" w:hAnsi="Arial" w:eastAsia="宋体" w:cs="Arial"/>
          <w:sz w:val="24"/>
          <w:szCs w:val="24"/>
          <w:highlight w:val="none"/>
        </w:rPr>
        <w:drawing>
          <wp:inline distT="0" distB="0" distL="114300" distR="114300">
            <wp:extent cx="4232910" cy="3028950"/>
            <wp:effectExtent l="0" t="0" r="0" b="0"/>
            <wp:docPr id="8"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5" descr="IMG_256"/>
                    <pic:cNvPicPr>
                      <a:picLocks noChangeAspect="1"/>
                    </pic:cNvPicPr>
                  </pic:nvPicPr>
                  <pic:blipFill>
                    <a:blip r:embed="rId9"/>
                    <a:srcRect l="3860" t="9887" r="4233" b="13053"/>
                    <a:stretch>
                      <a:fillRect/>
                    </a:stretch>
                  </pic:blipFill>
                  <pic:spPr>
                    <a:xfrm>
                      <a:off x="0" y="0"/>
                      <a:ext cx="4232910" cy="3028950"/>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 xml:space="preserve">According to </w:t>
      </w:r>
      <w:r>
        <w:rPr>
          <w:rFonts w:hint="default" w:ascii="Arial" w:hAnsi="Arial" w:eastAsia="宋体" w:cs="Arial"/>
          <w:i/>
          <w:iCs/>
          <w:sz w:val="24"/>
          <w:szCs w:val="24"/>
          <w:highlight w:val="none"/>
          <w:lang w:val="en-US" w:eastAsia="zh-CN"/>
        </w:rPr>
        <w:t>Perceptual Map of the UK Grocery Industry</w:t>
      </w:r>
      <w:r>
        <w:rPr>
          <w:rFonts w:hint="default" w:ascii="Arial" w:hAnsi="Arial" w:eastAsia="宋体" w:cs="Arial"/>
          <w:sz w:val="24"/>
          <w:szCs w:val="24"/>
          <w:highlight w:val="none"/>
          <w:lang w:val="en-US" w:eastAsia="zh-CN"/>
        </w:rPr>
        <w:t>, this chart shows that the customers' current positioning for M&amp;S belongs to outstanding quality, good value, and premier products. Something different is that they are lowering their prices while keeping the quality of their products the same, which shows that they are trying to differentiate themselves from the high price positioning (Andrew Grant, 2019). This shows that companies are challenging to join the price competition because this can win more customers to like their quality products.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 xml:space="preserve">According to </w:t>
      </w:r>
      <w:r>
        <w:rPr>
          <w:rFonts w:hint="default" w:ascii="Arial" w:hAnsi="Arial" w:cs="Arial"/>
          <w:i/>
          <w:iCs/>
          <w:sz w:val="24"/>
          <w:szCs w:val="24"/>
          <w:highlight w:val="none"/>
          <w:lang w:val="en-US" w:eastAsia="zh-CN"/>
        </w:rPr>
        <w:t>Marks and Spencer - Statistics &amp; Facts</w:t>
      </w:r>
      <w:r>
        <w:rPr>
          <w:rFonts w:hint="default" w:ascii="Arial" w:hAnsi="Arial" w:cs="Arial"/>
          <w:i/>
          <w:iCs/>
          <w:sz w:val="24"/>
          <w:szCs w:val="24"/>
          <w:highlight w:val="none"/>
          <w:lang w:val="en-US" w:eastAsia="zh-CN"/>
        </w:rPr>
        <w:t>, o</w:t>
      </w:r>
      <w:r>
        <w:rPr>
          <w:rFonts w:hint="default" w:ascii="Arial" w:hAnsi="Arial" w:cs="Arial"/>
          <w:sz w:val="24"/>
          <w:szCs w:val="24"/>
          <w:highlight w:val="none"/>
          <w:lang w:val="en-US" w:eastAsia="zh-CN"/>
        </w:rPr>
        <w:t>nly one in five consumers will regularly shop at M&amp;S, comparing to over 50% for Tesco (Smith, 2024). This shows that M&amp;S feel a sense of crisis, so they want to improve their customers' perception of their brand by lowering their prices and creating special offers. The favourable prices will encourage their regular customers to increase their purchases, thus gaining more loyal customer base.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Style w:val="3"/>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bookmarkStart w:id="5" w:name="_Toc21860"/>
      <w:r>
        <w:rPr>
          <w:rFonts w:hint="default" w:ascii="Arial" w:hAnsi="Arial" w:cs="Arial"/>
          <w:sz w:val="24"/>
          <w:szCs w:val="24"/>
          <w:highlight w:val="none"/>
          <w:lang w:val="en-US" w:eastAsia="zh-CN"/>
        </w:rPr>
        <w:t>4.0 Tactics</w:t>
      </w:r>
      <w:bookmarkEnd w:id="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7Ps Marketing Mix is a marketing strategy tool that helps organisations identify the most appropriate marketing organisation to achieve their objectives. The core four considerations include product, promotion, price, place and the other three that help the organisation to meet the challenges of marketing services include people, process and physical evidence (Jain and Jain, 2022).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r>
        <w:rPr>
          <w:rFonts w:hint="default" w:ascii="Arial" w:hAnsi="Arial" w:cs="Arial"/>
          <w:sz w:val="24"/>
          <w:szCs w:val="24"/>
          <w:highlight w:val="none"/>
        </w:rPr>
        <w:drawing>
          <wp:inline distT="0" distB="0" distL="114300" distR="114300">
            <wp:extent cx="5273040" cy="3006725"/>
            <wp:effectExtent l="0" t="0" r="0" b="10795"/>
            <wp:docPr id="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2"/>
                    <pic:cNvPicPr>
                      <a:picLocks noChangeAspect="1"/>
                    </pic:cNvPicPr>
                  </pic:nvPicPr>
                  <pic:blipFill>
                    <a:blip r:embed="rId10"/>
                    <a:stretch>
                      <a:fillRect/>
                    </a:stretch>
                  </pic:blipFill>
                  <pic:spPr>
                    <a:xfrm>
                      <a:off x="0" y="0"/>
                      <a:ext cx="5273040" cy="300672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r>
        <w:rPr>
          <w:rFonts w:hint="default" w:ascii="Arial" w:hAnsi="Arial" w:cs="Arial"/>
          <w:sz w:val="24"/>
          <w:szCs w:val="24"/>
          <w:highlight w:val="none"/>
        </w:rPr>
        <w:drawing>
          <wp:inline distT="0" distB="0" distL="114300" distR="114300">
            <wp:extent cx="5268595" cy="3332480"/>
            <wp:effectExtent l="0" t="0" r="4445" b="5080"/>
            <wp:docPr id="10"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3"/>
                    <pic:cNvPicPr>
                      <a:picLocks noChangeAspect="1"/>
                    </pic:cNvPicPr>
                  </pic:nvPicPr>
                  <pic:blipFill>
                    <a:blip r:embed="rId11"/>
                    <a:stretch>
                      <a:fillRect/>
                    </a:stretch>
                  </pic:blipFill>
                  <pic:spPr>
                    <a:xfrm>
                      <a:off x="0" y="0"/>
                      <a:ext cx="5268595" cy="333248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r>
        <w:rPr>
          <w:rFonts w:hint="default" w:ascii="Arial" w:hAnsi="Arial" w:cs="Arial"/>
          <w:sz w:val="24"/>
          <w:szCs w:val="24"/>
          <w:highlight w:val="none"/>
        </w:rPr>
        <w:drawing>
          <wp:inline distT="0" distB="0" distL="114300" distR="114300">
            <wp:extent cx="5269865" cy="2502535"/>
            <wp:effectExtent l="0" t="0" r="3175" b="12065"/>
            <wp:docPr id="1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4"/>
                    <pic:cNvPicPr>
                      <a:picLocks noChangeAspect="1"/>
                    </pic:cNvPicPr>
                  </pic:nvPicPr>
                  <pic:blipFill>
                    <a:blip r:embed="rId12"/>
                    <a:stretch>
                      <a:fillRect/>
                    </a:stretch>
                  </pic:blipFill>
                  <pic:spPr>
                    <a:xfrm>
                      <a:off x="0" y="0"/>
                      <a:ext cx="5269865" cy="250253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rPr>
      </w:pPr>
      <w:r>
        <w:rPr>
          <w:rFonts w:hint="default" w:ascii="Arial" w:hAnsi="Arial" w:cs="Arial"/>
          <w:sz w:val="24"/>
          <w:szCs w:val="24"/>
          <w:highlight w:val="none"/>
        </w:rPr>
        <w:drawing>
          <wp:inline distT="0" distB="0" distL="114300" distR="114300">
            <wp:extent cx="5269865" cy="3491865"/>
            <wp:effectExtent l="0" t="0" r="3175" b="13335"/>
            <wp:docPr id="1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5"/>
                    <pic:cNvPicPr>
                      <a:picLocks noChangeAspect="1"/>
                    </pic:cNvPicPr>
                  </pic:nvPicPr>
                  <pic:blipFill>
                    <a:blip r:embed="rId13"/>
                    <a:stretch>
                      <a:fillRect/>
                    </a:stretch>
                  </pic:blipFill>
                  <pic:spPr>
                    <a:xfrm>
                      <a:off x="0" y="0"/>
                      <a:ext cx="5269865" cy="349186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From a full analysis, M&amp;S's current setup of The 7Ps Marketing Mix is a positive development. If their Plan A is realised in the future, it will help them reduce their operating costs. At the same time, it will lead to their success in gaining the support and trust of their customers across the globe, which in turn will influence their rise in the international brand status. M&amp;S should maintain their CSR and think tactically in the interest of their stakeholders. This will help them to gain support from a wider group of people and advance their objectives.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Style w:val="3"/>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bookmarkStart w:id="6" w:name="_Toc14358"/>
      <w:r>
        <w:rPr>
          <w:rFonts w:hint="default" w:ascii="Arial" w:hAnsi="Arial" w:cs="Arial"/>
          <w:sz w:val="24"/>
          <w:szCs w:val="24"/>
          <w:highlight w:val="none"/>
          <w:lang w:val="en-US" w:eastAsia="zh-CN"/>
        </w:rPr>
        <w:t>5.0 Actions</w:t>
      </w:r>
      <w:bookmarkEnd w:id="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M&amp;S's objective is that before August 2025, companies can use the Middle East as a priority market to identify new customer segments and help them achieve an increase in international sales from 11 per cent to 15 per cent (M&amp;S, 2023). According to the calculations, the 12 months are divided into four quarters and the target is reached by achieving 1% per quarter.</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Marketing Plan's Gantt Chart：cover a 12 month period from September 2024 to August 2025</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highlight w:val="none"/>
          <w:lang w:val="en-US" w:eastAsia="zh-CN"/>
        </w:rPr>
      </w:pPr>
      <w:r>
        <w:rPr>
          <w:rFonts w:hint="default" w:ascii="Arial" w:hAnsi="Arial" w:cs="Arial"/>
          <w:sz w:val="24"/>
          <w:szCs w:val="24"/>
          <w:highlight w:val="none"/>
        </w:rPr>
        <w:drawing>
          <wp:inline distT="0" distB="0" distL="114300" distR="114300">
            <wp:extent cx="5270500" cy="1543050"/>
            <wp:effectExtent l="0" t="0" r="2540" b="11430"/>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14"/>
                    <a:stretch>
                      <a:fillRect/>
                    </a:stretch>
                  </pic:blipFill>
                  <pic:spPr>
                    <a:xfrm>
                      <a:off x="0" y="0"/>
                      <a:ext cx="5270500" cy="1543050"/>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highlight w:val="none"/>
        </w:rPr>
      </w:pPr>
      <w:r>
        <w:rPr>
          <w:rFonts w:hint="default" w:ascii="Arial" w:hAnsi="Arial" w:cs="Arial"/>
          <w:sz w:val="24"/>
          <w:szCs w:val="24"/>
          <w:highlight w:val="none"/>
        </w:rPr>
        <w:drawing>
          <wp:inline distT="0" distB="0" distL="114300" distR="114300">
            <wp:extent cx="5270500" cy="2370455"/>
            <wp:effectExtent l="0" t="0" r="2540" b="6985"/>
            <wp:docPr id="1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6"/>
                    <pic:cNvPicPr>
                      <a:picLocks noChangeAspect="1"/>
                    </pic:cNvPicPr>
                  </pic:nvPicPr>
                  <pic:blipFill>
                    <a:blip r:embed="rId15"/>
                    <a:stretch>
                      <a:fillRect/>
                    </a:stretch>
                  </pic:blipFill>
                  <pic:spPr>
                    <a:xfrm>
                      <a:off x="0" y="0"/>
                      <a:ext cx="5270500" cy="2370455"/>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highlight w:val="none"/>
        </w:rPr>
      </w:pPr>
      <w:r>
        <w:rPr>
          <w:rFonts w:hint="default" w:ascii="Arial" w:hAnsi="Arial" w:cs="Arial"/>
          <w:sz w:val="24"/>
          <w:szCs w:val="24"/>
          <w:highlight w:val="none"/>
        </w:rPr>
        <w:drawing>
          <wp:inline distT="0" distB="0" distL="114300" distR="114300">
            <wp:extent cx="5269865" cy="2662555"/>
            <wp:effectExtent l="0" t="0" r="3175" b="4445"/>
            <wp:docPr id="1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7"/>
                    <pic:cNvPicPr>
                      <a:picLocks noChangeAspect="1"/>
                    </pic:cNvPicPr>
                  </pic:nvPicPr>
                  <pic:blipFill>
                    <a:blip r:embed="rId16"/>
                    <a:stretch>
                      <a:fillRect/>
                    </a:stretch>
                  </pic:blipFill>
                  <pic:spPr>
                    <a:xfrm>
                      <a:off x="0" y="0"/>
                      <a:ext cx="5269865" cy="2662555"/>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highlight w:val="none"/>
        </w:rPr>
      </w:pPr>
      <w:r>
        <w:rPr>
          <w:rFonts w:hint="default" w:ascii="Arial" w:hAnsi="Arial" w:cs="Arial"/>
          <w:sz w:val="24"/>
          <w:szCs w:val="24"/>
          <w:highlight w:val="none"/>
        </w:rPr>
        <w:drawing>
          <wp:inline distT="0" distB="0" distL="114300" distR="114300">
            <wp:extent cx="5274310" cy="1551940"/>
            <wp:effectExtent l="0" t="0" r="13970" b="2540"/>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17"/>
                    <a:stretch>
                      <a:fillRect/>
                    </a:stretch>
                  </pic:blipFill>
                  <pic:spPr>
                    <a:xfrm>
                      <a:off x="0" y="0"/>
                      <a:ext cx="5274310" cy="1551940"/>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drawing>
          <wp:inline distT="0" distB="0" distL="114300" distR="114300">
            <wp:extent cx="5269230" cy="3202305"/>
            <wp:effectExtent l="0" t="0" r="3810" b="13335"/>
            <wp:docPr id="15"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8"/>
                    <pic:cNvPicPr>
                      <a:picLocks noChangeAspect="1"/>
                    </pic:cNvPicPr>
                  </pic:nvPicPr>
                  <pic:blipFill>
                    <a:blip r:embed="rId18"/>
                    <a:stretch>
                      <a:fillRect/>
                    </a:stretch>
                  </pic:blipFill>
                  <pic:spPr>
                    <a:xfrm>
                      <a:off x="0" y="0"/>
                      <a:ext cx="5269230" cy="3202305"/>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drawing>
          <wp:inline distT="0" distB="0" distL="114300" distR="114300">
            <wp:extent cx="5269865" cy="2346325"/>
            <wp:effectExtent l="0" t="0" r="3175" b="635"/>
            <wp:docPr id="16"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9"/>
                    <pic:cNvPicPr>
                      <a:picLocks noChangeAspect="1"/>
                    </pic:cNvPicPr>
                  </pic:nvPicPr>
                  <pic:blipFill>
                    <a:blip r:embed="rId19"/>
                    <a:stretch>
                      <a:fillRect/>
                    </a:stretch>
                  </pic:blipFill>
                  <pic:spPr>
                    <a:xfrm>
                      <a:off x="0" y="0"/>
                      <a:ext cx="5269865" cy="2346325"/>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p>
    <w:p>
      <w:pPr>
        <w:pStyle w:val="3"/>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bookmarkStart w:id="7" w:name="_Toc31294"/>
      <w:r>
        <w:rPr>
          <w:rFonts w:hint="default" w:ascii="Arial" w:hAnsi="Arial" w:cs="Arial"/>
          <w:sz w:val="24"/>
          <w:szCs w:val="24"/>
          <w:highlight w:val="none"/>
          <w:lang w:val="en-US" w:eastAsia="zh-CN"/>
        </w:rPr>
        <w:t>6.0 Control</w:t>
      </w:r>
      <w:bookmarkEnd w:id="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In the control stage, what the business needs to do is monitoring, evaluating, measuring, and adjusting the marketing plan of the business to ensure that the objectives are achieved (Mary, 2023). Companies can also use KPIs to monitor how well the plan is being implemented.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Key performance indicators are used to measure the status of the company's overall performance indicators over a period of time, which helps the business to set performance, to priorities tasks, and to implement them effectively (Lindberg et al., 2015).</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Absolutely, M&amp;S should put the KPIs in customer centricity while they can be targeted by counting customer efficiency, customer satisfaction, and customer retention. These performance metrics can help companies visualise the progress of their implementation of marketing plans. For example, online surveys can be used to measure customer satisfaction every month, which is to ensure that customers like the company's innovative products and services. The company can also conduct performance evaluations in the department at the end of a quarterly training, this is to measure the ability of the workers to make customer satisfaction increase. This shows that using KPI's to monitor M&amp;S's marketing plans can assist the business to achieve their maximum potential and achieve an increase in international sales from 11% to 15%.</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Style w:val="2"/>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8"/>
          <w:szCs w:val="28"/>
          <w:highlight w:val="none"/>
          <w:lang w:val="en-US" w:eastAsia="zh-CN"/>
        </w:rPr>
      </w:pPr>
      <w:bookmarkStart w:id="8" w:name="_Toc11840"/>
      <w:r>
        <w:rPr>
          <w:rFonts w:hint="default" w:ascii="Arial" w:hAnsi="Arial" w:cs="Arial"/>
          <w:sz w:val="28"/>
          <w:szCs w:val="28"/>
          <w:highlight w:val="none"/>
          <w:lang w:val="en-US" w:eastAsia="zh-CN"/>
        </w:rPr>
        <w:t>Recommendations</w:t>
      </w:r>
      <w:bookmarkEnd w:id="8"/>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It is recommended that when implementing SOSTAC's marketing plan, companies should also be aware of which supermarkets in the Middle East are currently the most influential and have the largest market share because they may also use price competition to threaten M&amp;S's position. These competitors could take away M&amp;S's customer base, so it is important to research the market to understand the competitors' strengths and to create a differentiation between them. Of course, external threat factors also include force majeure situations, such as economic turmoil and epidemics. If these factors happen, companies should have the flexibility to change their strategies to deal with the most threatening difficulties.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Since the number of local M&amp;S shops in the Middle East is not high enough, the influence is not enough for them to get a huge amount of customers quickly. It is recommended that business leaders in the Middle East should reach out to successful entrepreneurs in the Middle East, because this will help the business to build up contacts and seek more partnership opportunities, for example, by participating in activities such as charities and business networking events. Building strong local partnerships can help companies to achieve product innovation, talent acquisition, and resource acquisition more effectively. This can reduce the resistance of the organisation to move forward, so it is important for leaders to use their communication skills to make more contacts.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It is recommended that M&amp;S keep their CSRs to the Middle East shops because this will help to attract new customer base and increase customer loyalty. Within any country or region, people will always pay a lot of attention to topics related to charitable activities and preserving the natural environment, so if the business does achieve zero emissions then it will be a great move. The company will be recognised and trusted by charities and the community, which will help their brand to build a good image in most</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val="en-US" w:eastAsia="zh-CN"/>
        </w:rPr>
        <w:t>regions.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Style w:val="2"/>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8"/>
          <w:szCs w:val="28"/>
          <w:highlight w:val="none"/>
          <w:lang w:val="en-US" w:eastAsia="zh-CN"/>
        </w:rPr>
      </w:pPr>
      <w:bookmarkStart w:id="9" w:name="_Toc14140"/>
      <w:r>
        <w:rPr>
          <w:rFonts w:hint="default" w:ascii="Arial" w:hAnsi="Arial" w:cs="Arial"/>
          <w:sz w:val="28"/>
          <w:szCs w:val="28"/>
          <w:highlight w:val="none"/>
          <w:lang w:val="en-US" w:eastAsia="zh-CN"/>
        </w:rPr>
        <w:t>Conclusions</w:t>
      </w:r>
      <w:bookmarkEnd w:id="9"/>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whole report uses SOSTAC to develop an innovative strategic marketing plan to achieve the organisation's objectives.</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val="en-US" w:eastAsia="zh-CN"/>
        </w:rPr>
        <w:t>In the Situation Analysis stage, the organisation has used TOWS analysis to clearly demonstrate their Strength, Weakness, Opportunity, Threat and use this information to develop an effective strategy.</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objectives set by the business should be in line with the SMART principle because objectives must be achievable and measurable otherwise they will be destined to be failed.</w:t>
      </w:r>
      <w:r>
        <w:rPr>
          <w:rFonts w:hint="default" w:ascii="Arial" w:hAnsi="Arial" w:cs="Arial"/>
          <w:sz w:val="24"/>
          <w:szCs w:val="24"/>
          <w:highlight w:val="none"/>
          <w:lang w:val="en-US" w:eastAsia="zh-CN"/>
        </w:rPr>
        <w:t xml:space="preserve"> M&amp;S's objective is that before August 2025, companies can use the Middle East as a priority market to identify new customer segments and help them achieve an increase in international sales from 11 per cent to 15 per cent (M&amp;S, 2023). </w:t>
      </w:r>
      <w:r>
        <w:rPr>
          <w:rFonts w:hint="default" w:ascii="Arial" w:hAnsi="Arial" w:cs="Arial"/>
          <w:sz w:val="24"/>
          <w:szCs w:val="24"/>
          <w:highlight w:val="none"/>
          <w:lang w:val="en-US" w:eastAsia="zh-CN"/>
        </w:rPr>
        <w:t>The reason for choosing this objective is that it will help the business to find new opportunities and customer bases in excellent geographical markets because they are focused on the UK market too much.</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strategy that the business can use is segmentation targeting positioning because this strategy helps them to better understand more about the needs of a diverse customer base and improve customer retention.</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val="en-US" w:eastAsia="zh-CN"/>
        </w:rPr>
        <w:t>M&amp;S used geographic segmentation to analyse their audience segments which are large growing cities and people who are actively interested in the internet.</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val="en-US" w:eastAsia="zh-CN"/>
        </w:rPr>
        <w:t xml:space="preserve">The company clearly understands that they belong to the differentiated market targeting because they focus on creating differentiation and diversity in the marketing mix for each segment. </w:t>
      </w:r>
      <w:r>
        <w:rPr>
          <w:rFonts w:hint="default" w:ascii="Arial" w:hAnsi="Arial" w:cs="Arial"/>
          <w:sz w:val="24"/>
          <w:szCs w:val="24"/>
          <w:highlight w:val="none"/>
          <w:lang w:val="en-US" w:eastAsia="zh-CN"/>
        </w:rPr>
        <w:t>C</w:t>
      </w:r>
      <w:r>
        <w:rPr>
          <w:rFonts w:hint="default" w:ascii="Arial" w:hAnsi="Arial" w:cs="Arial"/>
          <w:sz w:val="24"/>
          <w:szCs w:val="24"/>
          <w:highlight w:val="none"/>
          <w:lang w:val="en-US" w:eastAsia="zh-CN"/>
        </w:rPr>
        <w:t>ustomers' perceptions of M&amp;S is changing and they are lowering prices while keeping the same high quality. This shows that the company is using discounted prices to win over more customers.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tactics used by the business is the 7Ps marketing mix which helps the organisation to identify the most suitable marketing organisation to achieve the objectives. This specifically includes high quality products, close to nature location, zero emission target promotion, competitive pricing, people oriented, adequate service process, pursuit of natural colours and convenience physical evidence. These effective tactics can help the organisation to achieve a rise in brand recognition and to gain the support of a wider group of people to advance their objectives. .</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Businesses use the Gantt Chart in the actions step to implement their marketing plan, which is divided into exactly four quarters to achieve their objectives. The business also uses KPIs to control the organisation to complete each step according to the timetable, performance evaluation of the capabilities of the workers and questionnaires to investigate the status of customer satisfaction. This helps the organisation to use their capabilities effectively to achieve the SMART objectives.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p>
    <w:p>
      <w:pPr>
        <w:pStyle w:val="2"/>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8"/>
          <w:szCs w:val="28"/>
          <w:highlight w:val="none"/>
          <w:lang w:val="en-US" w:eastAsia="zh-CN"/>
        </w:rPr>
      </w:pPr>
      <w:bookmarkStart w:id="10" w:name="_Toc12276"/>
      <w:r>
        <w:rPr>
          <w:rFonts w:hint="default" w:ascii="Arial" w:hAnsi="Arial" w:cs="Arial"/>
          <w:sz w:val="28"/>
          <w:szCs w:val="28"/>
          <w:highlight w:val="none"/>
          <w:lang w:val="en-US" w:eastAsia="zh-CN"/>
        </w:rPr>
        <w:t>Reference List</w:t>
      </w:r>
      <w:bookmarkEnd w:id="10"/>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Andrew Grant (2019). </w:t>
      </w:r>
      <w:r>
        <w:rPr>
          <w:rFonts w:hint="default" w:ascii="Arial" w:hAnsi="Arial" w:cs="Arial"/>
          <w:i/>
          <w:iCs/>
          <w:sz w:val="24"/>
          <w:szCs w:val="24"/>
          <w:highlight w:val="none"/>
        </w:rPr>
        <w:t>M&amp;S Results | More S&amp;M for M&amp;S | Category Management Tips | MBM</w:t>
      </w:r>
      <w:r>
        <w:rPr>
          <w:rFonts w:hint="default" w:ascii="Arial" w:hAnsi="Arial" w:cs="Arial"/>
          <w:sz w:val="24"/>
          <w:szCs w:val="24"/>
          <w:highlight w:val="none"/>
        </w:rPr>
        <w:t xml:space="preserve">. [online] Making Business Matter.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"https://www.makingbusinessmatter.co.uk/marks-and-spencer-results/"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https://www.makingbusinessmatter.co.uk/marks-and-spencer-results/</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Bedford, E. (2024). </w:t>
      </w:r>
      <w:r>
        <w:rPr>
          <w:rFonts w:hint="default" w:ascii="Arial" w:hAnsi="Arial" w:cs="Arial"/>
          <w:i/>
          <w:iCs/>
          <w:sz w:val="24"/>
          <w:szCs w:val="24"/>
          <w:highlight w:val="none"/>
        </w:rPr>
        <w:t>Market Share of Grocery Stores in Great Britain from January 2017 to December 2024</w:t>
      </w:r>
      <w:r>
        <w:rPr>
          <w:rFonts w:hint="default" w:ascii="Arial" w:hAnsi="Arial" w:cs="Arial"/>
          <w:sz w:val="24"/>
          <w:szCs w:val="24"/>
          <w:highlight w:val="none"/>
        </w:rPr>
        <w:t xml:space="preserve">. [online] Statista.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"https://www.statista.com/statistics/280208/grocery-market-share-in-the-united-kingdom-uk/"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https://www.statista.com/statistics/280208/grocery-market-share-in-the-united-kingdom-uk/</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7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eastAsiaTheme="minorEastAsia"/>
          <w:sz w:val="24"/>
          <w:szCs w:val="24"/>
          <w:highlight w:val="none"/>
          <w:lang w:val="en-US" w:eastAsia="zh-CN"/>
        </w:rPr>
      </w:pPr>
      <w:r>
        <w:rPr>
          <w:rFonts w:hint="default" w:ascii="Arial" w:hAnsi="Arial" w:cs="Arial"/>
          <w:sz w:val="24"/>
          <w:szCs w:val="24"/>
          <w:highlight w:val="none"/>
        </w:rPr>
        <w:t xml:space="preserve">Bjerke, M. and Renger, R. (2017). Being Smart about Writing SMART Objectives. </w:t>
      </w:r>
      <w:r>
        <w:rPr>
          <w:rFonts w:hint="default" w:ascii="Arial" w:hAnsi="Arial" w:cs="Arial"/>
          <w:i/>
          <w:iCs/>
          <w:sz w:val="24"/>
          <w:szCs w:val="24"/>
          <w:highlight w:val="none"/>
        </w:rPr>
        <w:t>Evaluation and Program Planning</w:t>
      </w:r>
      <w:r>
        <w:rPr>
          <w:rFonts w:hint="default" w:ascii="Arial" w:hAnsi="Arial" w:cs="Arial"/>
          <w:sz w:val="24"/>
          <w:szCs w:val="24"/>
          <w:highlight w:val="none"/>
        </w:rPr>
        <w:t>, 61(1), pp.125–127.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"https://doi.org/10.1016/j.evaprogplan.2016.12.009"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https://doi.org/10.1016/j.evaprogplan.2016.12.009</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Dalziel &amp; Pow (2021). </w:t>
      </w:r>
      <w:r>
        <w:rPr>
          <w:rFonts w:hint="default" w:ascii="Arial" w:hAnsi="Arial" w:cs="Arial"/>
          <w:i/>
          <w:iCs/>
          <w:sz w:val="24"/>
          <w:szCs w:val="24"/>
          <w:highlight w:val="none"/>
        </w:rPr>
        <w:t>Marks &amp; Spencer New Store Design Concept</w:t>
      </w:r>
      <w:r>
        <w:rPr>
          <w:rFonts w:hint="default" w:ascii="Arial" w:hAnsi="Arial" w:cs="Arial"/>
          <w:sz w:val="24"/>
          <w:szCs w:val="24"/>
          <w:highlight w:val="none"/>
        </w:rPr>
        <w:t xml:space="preserve">. [online] Dalziel &amp; Pow.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"https://www.dalziel-pow.com/work/marks---spencer-store-design-concept-retail-design-concept-1-1"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https://www.dalziel-pow.com/work/marks---spencer-store-design-concept-retail-design-concept-1-1</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eastAsiaTheme="minorEastAsia"/>
          <w:sz w:val="24"/>
          <w:szCs w:val="24"/>
          <w:highlight w:val="none"/>
          <w:lang w:val="en-US" w:eastAsia="zh-CN"/>
        </w:rPr>
      </w:pPr>
      <w:r>
        <w:rPr>
          <w:rFonts w:hint="default" w:ascii="Arial" w:hAnsi="Arial" w:cs="Arial"/>
          <w:sz w:val="24"/>
          <w:szCs w:val="24"/>
          <w:highlight w:val="none"/>
        </w:rPr>
        <w:t xml:space="preserve">Dibb, S. (2001). Marketing Planning Best Practice. </w:t>
      </w:r>
      <w:r>
        <w:rPr>
          <w:rFonts w:hint="default" w:ascii="Arial" w:hAnsi="Arial" w:cs="Arial"/>
          <w:i/>
          <w:iCs/>
          <w:sz w:val="24"/>
          <w:szCs w:val="24"/>
          <w:highlight w:val="none"/>
        </w:rPr>
        <w:t>The Marketing Review</w:t>
      </w:r>
      <w:r>
        <w:rPr>
          <w:rFonts w:hint="default" w:ascii="Arial" w:hAnsi="Arial" w:cs="Arial"/>
          <w:sz w:val="24"/>
          <w:szCs w:val="24"/>
          <w:highlight w:val="none"/>
        </w:rPr>
        <w:t>, 2(4), pp.441–459.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"https://doi.org/10.1362/1469347012863871"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https://doi.org/10.1362/1469347012863871</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r>
        <w:rPr>
          <w:rFonts w:hint="default" w:ascii="Arial" w:hAnsi="Arial" w:cs="Arial"/>
          <w:sz w:val="24"/>
          <w:szCs w:val="24"/>
          <w:highlight w:val="none"/>
        </w:rPr>
        <w:t xml:space="preserve">Dibb, S. and Simkin, L. (1991). Targeting, Segmentation and Positioning. </w:t>
      </w:r>
      <w:r>
        <w:rPr>
          <w:rFonts w:hint="default" w:ascii="Arial" w:hAnsi="Arial" w:cs="Arial"/>
          <w:i/>
          <w:iCs/>
          <w:sz w:val="24"/>
          <w:szCs w:val="24"/>
          <w:highlight w:val="none"/>
        </w:rPr>
        <w:t>International Journal of Retail &amp; Distribution Management</w:t>
      </w:r>
      <w:r>
        <w:rPr>
          <w:rFonts w:hint="default" w:ascii="Arial" w:hAnsi="Arial" w:cs="Arial"/>
          <w:sz w:val="24"/>
          <w:szCs w:val="24"/>
          <w:highlight w:val="none"/>
        </w:rPr>
        <w:t>, [online] 19(3), pp.4–10.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"https://doi.org/10.1108/09590559110143800"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https://doi.org/10.1108/09590559110143800</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Fawcett, L.L. (2016). </w:t>
      </w:r>
      <w:r>
        <w:rPr>
          <w:rFonts w:hint="default" w:ascii="Arial" w:hAnsi="Arial" w:cs="Arial"/>
          <w:i/>
          <w:iCs/>
          <w:sz w:val="24"/>
          <w:szCs w:val="24"/>
          <w:highlight w:val="none"/>
        </w:rPr>
        <w:t>International Relations of the Middle East</w:t>
      </w:r>
      <w:r>
        <w:rPr>
          <w:rFonts w:hint="default" w:ascii="Arial" w:hAnsi="Arial" w:cs="Arial"/>
          <w:sz w:val="24"/>
          <w:szCs w:val="24"/>
          <w:highlight w:val="none"/>
        </w:rPr>
        <w:t xml:space="preserve">. [online] </w:t>
      </w:r>
      <w:r>
        <w:rPr>
          <w:rFonts w:hint="default" w:ascii="Arial" w:hAnsi="Arial" w:cs="Arial"/>
          <w:i/>
          <w:iCs/>
          <w:sz w:val="24"/>
          <w:szCs w:val="24"/>
          <w:highlight w:val="none"/>
        </w:rPr>
        <w:t>Google Books</w:t>
      </w:r>
      <w:r>
        <w:rPr>
          <w:rFonts w:hint="default" w:ascii="Arial" w:hAnsi="Arial" w:cs="Arial"/>
          <w:sz w:val="24"/>
          <w:szCs w:val="24"/>
          <w:highlight w:val="none"/>
        </w:rPr>
        <w:t xml:space="preserve">, England: Oxford University Press, pp.109–110. Available at: </w:t>
      </w:r>
      <w:r>
        <w:rPr>
          <w:rFonts w:hint="default" w:ascii="Arial" w:hAnsi="Arial" w:cs="Arial"/>
          <w:color w:val="0000FF"/>
          <w:sz w:val="24"/>
          <w:szCs w:val="24"/>
          <w:highlight w:val="none"/>
          <w:u w:val="single"/>
        </w:rPr>
        <w:t>https://books.google.co.uk/books?hl=zh-CN&amp;lr=&amp;id=i6SPDgAAQBAJ&amp;oi=fnd&amp;pg=PA105&amp;dq=Why+is+the+Middle+East+important+to+the+economy%3F&amp;ots=kY3_hBkK6I&amp;sig=iv0E3ICDGb5xiU7i6td2gYc6nwo&amp;redir_esc=y#v=onepage&amp;q=Why%20is%20the%20Middle%20East%20important%20to%20the%20economy%3F&amp;f=false</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8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GO-Globe (2023). </w:t>
      </w:r>
      <w:r>
        <w:rPr>
          <w:rFonts w:hint="default" w:ascii="Arial" w:hAnsi="Arial" w:cs="Arial"/>
          <w:i/>
          <w:iCs/>
          <w:sz w:val="24"/>
          <w:szCs w:val="24"/>
          <w:highlight w:val="none"/>
        </w:rPr>
        <w:t>Social Media Usage in Middle East: Trends in 2023</w:t>
      </w:r>
      <w:r>
        <w:rPr>
          <w:rFonts w:hint="default" w:ascii="Arial" w:hAnsi="Arial" w:cs="Arial"/>
          <w:sz w:val="24"/>
          <w:szCs w:val="24"/>
          <w:highlight w:val="none"/>
        </w:rPr>
        <w:t xml:space="preserve">. [online] GO-Globe.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"https://www.go-globe.com/social-media-usage-in-middle-east-statistics/"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https://www.go-globe.com/social-media-usage-in-middle-east-statistics/</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eastAsiaTheme="minorEastAsia"/>
          <w:sz w:val="24"/>
          <w:szCs w:val="24"/>
          <w:highlight w:val="none"/>
          <w:lang w:eastAsia="zh-CN"/>
        </w:rPr>
      </w:pPr>
      <w:r>
        <w:rPr>
          <w:rFonts w:hint="default" w:ascii="Arial" w:hAnsi="Arial" w:cs="Arial"/>
          <w:sz w:val="24"/>
          <w:szCs w:val="24"/>
          <w:highlight w:val="none"/>
        </w:rPr>
        <w:t xml:space="preserve">Grayson, D. (2011). Embedding Corporate Responsibility and sustainability: Marks &amp; Spencer. </w:t>
      </w:r>
      <w:r>
        <w:rPr>
          <w:rFonts w:hint="default" w:ascii="Arial" w:hAnsi="Arial" w:cs="Arial"/>
          <w:i/>
          <w:iCs/>
          <w:sz w:val="24"/>
          <w:szCs w:val="24"/>
          <w:highlight w:val="none"/>
        </w:rPr>
        <w:t>Journal of Management Development</w:t>
      </w:r>
      <w:r>
        <w:rPr>
          <w:rFonts w:hint="default" w:ascii="Arial" w:hAnsi="Arial" w:cs="Arial"/>
          <w:sz w:val="24"/>
          <w:szCs w:val="24"/>
          <w:highlight w:val="none"/>
        </w:rPr>
        <w:t>, 30(10), pp.1017–1026.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"https://doi.org/10.1108/02621711111182510"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https://doi.org/10.1108/02621711111182510</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Houlton, C. (2024). </w:t>
      </w:r>
      <w:r>
        <w:rPr>
          <w:rFonts w:hint="default" w:ascii="Arial" w:hAnsi="Arial" w:cs="Arial"/>
          <w:i/>
          <w:iCs/>
          <w:sz w:val="24"/>
          <w:szCs w:val="24"/>
          <w:highlight w:val="none"/>
        </w:rPr>
        <w:t>Can M&amp;S Overtake Waitrose as the middle-class’ Favourite supermarket? - Grocery Gazette - Latest Grocery Industry News</w:t>
      </w:r>
      <w:r>
        <w:rPr>
          <w:rFonts w:hint="default" w:ascii="Arial" w:hAnsi="Arial" w:cs="Arial"/>
          <w:sz w:val="24"/>
          <w:szCs w:val="24"/>
          <w:highlight w:val="none"/>
        </w:rPr>
        <w:t xml:space="preserve">. [online] Grocery Cazette.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"https://www.grocerygazette.co.uk/2024/02/27/middle-class-ms-waitrose/#:~:text=Over%20the%20past%20four%20years"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https://www.grocerygazette.co.uk/2024/02/27/middle-class-ms-waitrose/#:~:text=Over%20the%20past%20four%20years</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7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Jain, R. and Jain, S. (2022). Analyzing and Exploring the Effectiveness of Each Element of 7Ps of Marketing Mix. </w:t>
      </w:r>
      <w:r>
        <w:rPr>
          <w:rFonts w:hint="default" w:ascii="Arial" w:hAnsi="Arial" w:cs="Arial"/>
          <w:i/>
          <w:iCs/>
          <w:sz w:val="24"/>
          <w:szCs w:val="24"/>
          <w:highlight w:val="none"/>
        </w:rPr>
        <w:t xml:space="preserve">International Journal of All Research Education and Scientific Methods </w:t>
      </w:r>
      <w:r>
        <w:rPr>
          <w:rFonts w:hint="default" w:ascii="Arial" w:hAnsi="Arial" w:cs="Arial"/>
          <w:sz w:val="24"/>
          <w:szCs w:val="24"/>
          <w:highlight w:val="none"/>
        </w:rPr>
        <w:t xml:space="preserve">, [online] 10(1), pp.244–245. Available at: </w:t>
      </w:r>
      <w:r>
        <w:rPr>
          <w:rFonts w:hint="default" w:ascii="Arial" w:hAnsi="Arial" w:cs="Arial"/>
          <w:color w:val="0000FF"/>
          <w:sz w:val="24"/>
          <w:szCs w:val="24"/>
          <w:highlight w:val="none"/>
          <w:u w:val="single"/>
        </w:rPr>
        <w:t>https://www.researchgate.net/profile/Riddhisha-Jain/publication/357657009_Analyzing_and_Exploring_the_Effectiveness_of_Each_Element_of_7Ps_of_Marketing_Mix/links/61d84cdfb6b5667157d148c7/Analyzing-and-Exploring-the-Effectiveness-of-Each-Element-of-7Ps-of-Marketing-Mix.pdf</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Keay, A.R. (2011). </w:t>
      </w:r>
      <w:r>
        <w:rPr>
          <w:rFonts w:hint="default" w:ascii="Arial" w:hAnsi="Arial" w:cs="Arial"/>
          <w:i/>
          <w:iCs/>
          <w:sz w:val="24"/>
          <w:szCs w:val="24"/>
          <w:highlight w:val="none"/>
        </w:rPr>
        <w:t>The Corporate Objective</w:t>
      </w:r>
      <w:r>
        <w:rPr>
          <w:rFonts w:hint="default" w:ascii="Arial" w:hAnsi="Arial" w:cs="Arial"/>
          <w:sz w:val="24"/>
          <w:szCs w:val="24"/>
          <w:highlight w:val="none"/>
        </w:rPr>
        <w:t xml:space="preserve">. [online] </w:t>
      </w:r>
      <w:r>
        <w:rPr>
          <w:rFonts w:hint="default" w:ascii="Arial" w:hAnsi="Arial" w:cs="Arial"/>
          <w:i/>
          <w:iCs/>
          <w:sz w:val="24"/>
          <w:szCs w:val="24"/>
          <w:highlight w:val="none"/>
        </w:rPr>
        <w:t>Google Books</w:t>
      </w:r>
      <w:r>
        <w:rPr>
          <w:rFonts w:hint="default" w:ascii="Arial" w:hAnsi="Arial" w:cs="Arial"/>
          <w:sz w:val="24"/>
          <w:szCs w:val="24"/>
          <w:highlight w:val="none"/>
        </w:rPr>
        <w:t xml:space="preserve">, UK: Edward Elgar Publishing, pp.8–10.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"https://books.google.co.uk/books?id=aKhSabZZGb8C&amp;dq=Corporate+Objective&amp;lr=&amp;hl=zh-CN&amp;source=gbs_navlinks_s"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https://books.google.co.uk/books?id=aKhSabZZGb8C&amp;dq=Corporate+Objective&amp;lr=&amp;hl=zh-CN&amp;source=gbs_navlinks_s</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8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Lau, L. (2023). </w:t>
      </w:r>
      <w:r>
        <w:rPr>
          <w:rFonts w:hint="default" w:ascii="Arial" w:hAnsi="Arial" w:cs="Arial"/>
          <w:i/>
          <w:iCs/>
          <w:sz w:val="24"/>
          <w:szCs w:val="24"/>
          <w:highlight w:val="none"/>
        </w:rPr>
        <w:t>Ecommerce in the Middle East: Statistics and Trends in 2023</w:t>
      </w:r>
      <w:r>
        <w:rPr>
          <w:rFonts w:hint="default" w:ascii="Arial" w:hAnsi="Arial" w:cs="Arial"/>
          <w:sz w:val="24"/>
          <w:szCs w:val="24"/>
          <w:highlight w:val="none"/>
        </w:rPr>
        <w:t xml:space="preserve">. [online] orienteed.com.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"https://orienteed.com/en/ecommerce-middle-east-statistics-trends-2023/"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https://orienteed.com/en/ecommerce-middle-east-statistics-trends-2023/</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r>
        <w:rPr>
          <w:rFonts w:hint="default" w:ascii="Arial" w:hAnsi="Arial" w:cs="Arial"/>
          <w:sz w:val="24"/>
          <w:szCs w:val="24"/>
          <w:highlight w:val="none"/>
        </w:rPr>
        <w:t xml:space="preserve">Li, L., Wang, Y. and Zhang, Y. (2023). A Critical Examination of M&amp;S’s Current Strategic and Marketing position, as Well as Potential Sustainable Competitive Marketing Strategies. </w:t>
      </w:r>
      <w:r>
        <w:rPr>
          <w:rFonts w:hint="default" w:ascii="Arial" w:hAnsi="Arial" w:cs="Arial"/>
          <w:i/>
          <w:iCs/>
          <w:sz w:val="24"/>
          <w:szCs w:val="24"/>
          <w:highlight w:val="none"/>
        </w:rPr>
        <w:t>International Journal of Science and Business</w:t>
      </w:r>
      <w:r>
        <w:rPr>
          <w:rFonts w:hint="default" w:ascii="Arial" w:hAnsi="Arial" w:cs="Arial"/>
          <w:sz w:val="24"/>
          <w:szCs w:val="24"/>
          <w:highlight w:val="none"/>
        </w:rPr>
        <w:t>, [online] 18(1), pp.109–110.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"https://doi.org/10.5281/zenodo.7572224"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https://doi.org/10.5281/zenodo.7572224</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eastAsiaTheme="minorEastAsia"/>
          <w:sz w:val="24"/>
          <w:szCs w:val="24"/>
          <w:highlight w:val="none"/>
          <w:lang w:val="en-US" w:eastAsia="zh-CN"/>
        </w:rPr>
      </w:pPr>
      <w:r>
        <w:rPr>
          <w:rFonts w:hint="default" w:ascii="Arial" w:hAnsi="Arial" w:cs="Arial"/>
          <w:sz w:val="24"/>
          <w:szCs w:val="24"/>
          <w:highlight w:val="none"/>
        </w:rPr>
        <w:t xml:space="preserve">Lindberg, C.-F., Tan, S., Yan, J. and Starfelt, F. (2015). Key Performance Indicators Improve Industrial Performance. </w:t>
      </w:r>
      <w:r>
        <w:rPr>
          <w:rFonts w:hint="default" w:ascii="Arial" w:hAnsi="Arial" w:cs="Arial"/>
          <w:i/>
          <w:iCs/>
          <w:sz w:val="24"/>
          <w:szCs w:val="24"/>
          <w:highlight w:val="none"/>
        </w:rPr>
        <w:t>Energy Procedia</w:t>
      </w:r>
      <w:r>
        <w:rPr>
          <w:rFonts w:hint="default" w:ascii="Arial" w:hAnsi="Arial" w:cs="Arial"/>
          <w:sz w:val="24"/>
          <w:szCs w:val="24"/>
          <w:highlight w:val="none"/>
        </w:rPr>
        <w:t>, [online] 75(1), pp.1785–1790.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"https://doi.org/10.1016/j.egypro.2015.07.474"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https://doi.org/10.1016/j.egypro.2015.07.474</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r>
        <w:rPr>
          <w:rFonts w:hint="default" w:ascii="Arial" w:hAnsi="Arial" w:cs="Arial"/>
          <w:sz w:val="24"/>
          <w:szCs w:val="24"/>
          <w:highlight w:val="none"/>
        </w:rPr>
        <w:t xml:space="preserve">Lynn, M. (2012). Segmenting and Targeting Your Market: Strategies and Limitations. </w:t>
      </w:r>
      <w:r>
        <w:rPr>
          <w:rFonts w:hint="default" w:ascii="Arial" w:hAnsi="Arial" w:cs="Arial"/>
          <w:i/>
          <w:iCs/>
          <w:sz w:val="24"/>
          <w:szCs w:val="24"/>
          <w:highlight w:val="none"/>
        </w:rPr>
        <w:t>The Cornell School of Hotel Administration on Hospitality</w:t>
      </w:r>
      <w:r>
        <w:rPr>
          <w:rFonts w:hint="default" w:ascii="Arial" w:hAnsi="Arial" w:cs="Arial"/>
          <w:sz w:val="24"/>
          <w:szCs w:val="24"/>
          <w:highlight w:val="none"/>
        </w:rPr>
        <w:t>, 23(1), pp.351–369.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"https://doi.org/10.1002/9781119200901.ch23"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https://doi.org/10.1002/9781119200901.ch23</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M&amp;S (2019). </w:t>
      </w:r>
      <w:r>
        <w:rPr>
          <w:rFonts w:hint="default" w:ascii="Arial" w:hAnsi="Arial" w:cs="Arial"/>
          <w:i/>
          <w:iCs/>
          <w:sz w:val="24"/>
          <w:szCs w:val="24"/>
          <w:highlight w:val="none"/>
        </w:rPr>
        <w:t>Plant Kitchen | M&amp;S</w:t>
      </w:r>
      <w:r>
        <w:rPr>
          <w:rFonts w:hint="default" w:ascii="Arial" w:hAnsi="Arial" w:cs="Arial"/>
          <w:sz w:val="24"/>
          <w:szCs w:val="24"/>
          <w:highlight w:val="none"/>
        </w:rPr>
        <w:t xml:space="preserve">. [online] Marksandspencer.com.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"https://www.marksandspencer.com/c/food-to-order/adventures-in-food/plant-kitchen"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https://www.marksandspencer.com/c/food-to-order/adventures-in-food/plant-kitchen</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M&amp;S (2021). </w:t>
      </w:r>
      <w:r>
        <w:rPr>
          <w:rFonts w:hint="default" w:ascii="Arial" w:hAnsi="Arial" w:cs="Arial"/>
          <w:i/>
          <w:iCs/>
          <w:sz w:val="24"/>
          <w:szCs w:val="24"/>
          <w:highlight w:val="none"/>
        </w:rPr>
        <w:t>Women’s Clothing | Women’s Fashion | M&amp;S</w:t>
      </w:r>
      <w:r>
        <w:rPr>
          <w:rFonts w:hint="default" w:ascii="Arial" w:hAnsi="Arial" w:cs="Arial"/>
          <w:sz w:val="24"/>
          <w:szCs w:val="24"/>
          <w:highlight w:val="none"/>
        </w:rPr>
        <w:t xml:space="preserve">. [online] www.marksandspencer.com.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"https://www.marksandspencer.com/c/women#intid=gnav_women"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https://www.marksandspencer.com/c/women#intid=gnav_women</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M&amp;S (2022). </w:t>
      </w:r>
      <w:r>
        <w:rPr>
          <w:rFonts w:hint="default" w:ascii="Arial" w:hAnsi="Arial" w:cs="Arial"/>
          <w:i/>
          <w:iCs/>
          <w:sz w:val="24"/>
          <w:szCs w:val="24"/>
          <w:highlight w:val="none"/>
        </w:rPr>
        <w:t>Our History</w:t>
      </w:r>
      <w:r>
        <w:rPr>
          <w:rFonts w:hint="default" w:ascii="Arial" w:hAnsi="Arial" w:cs="Arial"/>
          <w:sz w:val="24"/>
          <w:szCs w:val="24"/>
          <w:highlight w:val="none"/>
        </w:rPr>
        <w:t xml:space="preserve">. [online] Marks &amp; Spencer.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"https://corporate.marksandspencer.com/about-us/our-history"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https://corporate.marksandspencer.com/about-us/our-history</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17 Mar.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M&amp;S (2023). </w:t>
      </w:r>
      <w:r>
        <w:rPr>
          <w:rFonts w:hint="default" w:ascii="Arial" w:hAnsi="Arial" w:cs="Arial"/>
          <w:i/>
          <w:iCs/>
          <w:sz w:val="24"/>
          <w:szCs w:val="24"/>
          <w:highlight w:val="none"/>
        </w:rPr>
        <w:t>Marks and Spencer Group Plc Full Year Results for 52 Weeks Ended 1 April 2023</w:t>
      </w:r>
      <w:r>
        <w:rPr>
          <w:rFonts w:hint="default" w:ascii="Arial" w:hAnsi="Arial" w:cs="Arial"/>
          <w:sz w:val="24"/>
          <w:szCs w:val="24"/>
          <w:highlight w:val="none"/>
        </w:rPr>
        <w:t xml:space="preserve">. [online] Marks &amp; Spencer.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"https://corporate.marksandspencer.com/media/press-releases/marks-and-spencer-group-plc-full-year-results-52-weeks-ended-1-april-2023"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https://corporate.marksandspencer.com/media/press-releases/marks-and-spencer-group-plc-full-year-results-52-weeks-ended-1-april-2023</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8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M&amp;S Bank (2022). </w:t>
      </w:r>
      <w:r>
        <w:rPr>
          <w:rFonts w:hint="default" w:ascii="Arial" w:hAnsi="Arial" w:cs="Arial"/>
          <w:i/>
          <w:iCs/>
          <w:sz w:val="24"/>
          <w:szCs w:val="24"/>
          <w:highlight w:val="none"/>
        </w:rPr>
        <w:t>Digital Wallet – Use a Device to Make Payments</w:t>
      </w:r>
      <w:r>
        <w:rPr>
          <w:rFonts w:hint="default" w:ascii="Arial" w:hAnsi="Arial" w:cs="Arial"/>
          <w:sz w:val="24"/>
          <w:szCs w:val="24"/>
          <w:highlight w:val="none"/>
        </w:rPr>
        <w:t xml:space="preserve">. [online] M&amp;S Bank.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"https://bank.marksandspencer.com/digital-banking/digital-wallet/"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https://bank.marksandspencer.com/digital-banking/digital-wallet/</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M&amp;S Carrers (2023). </w:t>
      </w:r>
      <w:r>
        <w:rPr>
          <w:rFonts w:hint="default" w:ascii="Arial" w:hAnsi="Arial" w:cs="Arial"/>
          <w:i/>
          <w:iCs/>
          <w:sz w:val="24"/>
          <w:szCs w:val="24"/>
          <w:highlight w:val="none"/>
        </w:rPr>
        <w:t>Who We Are</w:t>
      </w:r>
      <w:r>
        <w:rPr>
          <w:rFonts w:hint="default" w:ascii="Arial" w:hAnsi="Arial" w:cs="Arial"/>
          <w:sz w:val="24"/>
          <w:szCs w:val="24"/>
          <w:highlight w:val="none"/>
        </w:rPr>
        <w:t xml:space="preserve">. [online] jobs.marksandspencer.com.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"https://jobs.marksandspencer.com/who-we-are"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https://jobs.marksandspencer.com/who-we-are</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17 Mar.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Marks &amp; Spencer (2020). </w:t>
      </w:r>
      <w:r>
        <w:rPr>
          <w:rFonts w:hint="default" w:ascii="Arial" w:hAnsi="Arial" w:cs="Arial"/>
          <w:i/>
          <w:iCs/>
          <w:sz w:val="24"/>
          <w:szCs w:val="24"/>
          <w:highlight w:val="none"/>
        </w:rPr>
        <w:t>Marks &amp; Spencer Sustainable Construction Manual</w:t>
      </w:r>
      <w:r>
        <w:rPr>
          <w:rFonts w:hint="default" w:ascii="Arial" w:hAnsi="Arial" w:cs="Arial"/>
          <w:sz w:val="24"/>
          <w:szCs w:val="24"/>
          <w:highlight w:val="none"/>
        </w:rPr>
        <w:t xml:space="preserve">. [online] Marks &amp; Spencer.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"https://corporate.marksandspencer.com/sites/marksandspencer/files/Annual%20reports/2010-sustainable-construction-manual_0.pdf"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https://corporate.marksandspencer.com/sites/marksandspencer/files/Annual%20reports/2010-sustainable-construction-manual_0.pdf</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Marks and Spencer (2023). </w:t>
      </w:r>
      <w:r>
        <w:rPr>
          <w:rFonts w:hint="default" w:ascii="Arial" w:hAnsi="Arial" w:cs="Arial"/>
          <w:i/>
          <w:iCs/>
          <w:sz w:val="24"/>
          <w:szCs w:val="24"/>
          <w:highlight w:val="none"/>
        </w:rPr>
        <w:t>Inclusion &amp; Diversity</w:t>
      </w:r>
      <w:r>
        <w:rPr>
          <w:rFonts w:hint="default" w:ascii="Arial" w:hAnsi="Arial" w:cs="Arial"/>
          <w:sz w:val="24"/>
          <w:szCs w:val="24"/>
          <w:highlight w:val="none"/>
        </w:rPr>
        <w:t>. [online] Inclusion &amp; Diversity. Available at:</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"https://corporate.marksandspencer.com/sustainability/our-people/inclusion-and-diversity"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https://corporate.marksandspencer.com/sustainability/our-people/inclusion-and-diversity</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Mary, M. (2023). Developing a Marketing Communications Plan to Attract Target Customers. </w:t>
      </w:r>
      <w:r>
        <w:rPr>
          <w:rFonts w:hint="default" w:ascii="Arial" w:hAnsi="Arial" w:cs="Arial"/>
          <w:i/>
          <w:iCs/>
          <w:sz w:val="24"/>
          <w:szCs w:val="24"/>
          <w:highlight w:val="none"/>
        </w:rPr>
        <w:t>Business Informatics</w:t>
      </w:r>
      <w:r>
        <w:rPr>
          <w:rFonts w:hint="default" w:ascii="Arial" w:hAnsi="Arial" w:cs="Arial"/>
          <w:sz w:val="24"/>
          <w:szCs w:val="24"/>
          <w:highlight w:val="none"/>
        </w:rPr>
        <w:t xml:space="preserve">, [online] Metropolia University of Applied Sciences(1), pp.15–16.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"https://www.theseus.fi/bitstream/handle/10024/799552/Menchieryll_Mary.pdf?sequence=2&amp;isAllowed=y"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https://www.theseus.fi/bitstream/handle/10024/799552/Menchieryll_Mary.pdf?sequence=2&amp;isAllowed=y</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r>
        <w:rPr>
          <w:rFonts w:hint="default" w:ascii="Arial" w:hAnsi="Arial" w:cs="Arial"/>
          <w:sz w:val="24"/>
          <w:szCs w:val="24"/>
          <w:highlight w:val="none"/>
        </w:rPr>
        <w:t xml:space="preserve">Mayer, A.E. (1987). Law and Religion in the Muslim Middle East. </w:t>
      </w:r>
      <w:r>
        <w:rPr>
          <w:rFonts w:hint="default" w:ascii="Arial" w:hAnsi="Arial" w:cs="Arial"/>
          <w:i/>
          <w:iCs/>
          <w:sz w:val="24"/>
          <w:szCs w:val="24"/>
          <w:highlight w:val="none"/>
        </w:rPr>
        <w:t>The American Journal of Comparative Law</w:t>
      </w:r>
      <w:r>
        <w:rPr>
          <w:rFonts w:hint="default" w:ascii="Arial" w:hAnsi="Arial" w:cs="Arial"/>
          <w:sz w:val="24"/>
          <w:szCs w:val="24"/>
          <w:highlight w:val="none"/>
        </w:rPr>
        <w:t>, [online] 35(1), pp.127–184.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"https://doi.org/10.2307/840165"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https://doi.org/10.2307/840165</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eastAsiaTheme="minorEastAsia"/>
          <w:sz w:val="24"/>
          <w:szCs w:val="24"/>
          <w:highlight w:val="none"/>
          <w:lang w:eastAsia="zh-CN"/>
        </w:rPr>
      </w:pPr>
      <w:r>
        <w:rPr>
          <w:rFonts w:hint="default" w:ascii="Arial" w:hAnsi="Arial" w:cs="Arial"/>
          <w:sz w:val="24"/>
          <w:szCs w:val="24"/>
          <w:highlight w:val="none"/>
        </w:rPr>
        <w:t xml:space="preserve">McGoldrick, P.J. (1998). Spatial and Temporal Shifts in the Development of International Retail Images. </w:t>
      </w:r>
      <w:r>
        <w:rPr>
          <w:rFonts w:hint="default" w:ascii="Arial" w:hAnsi="Arial" w:cs="Arial"/>
          <w:i/>
          <w:iCs/>
          <w:sz w:val="24"/>
          <w:szCs w:val="24"/>
          <w:highlight w:val="none"/>
        </w:rPr>
        <w:t>Journal of Business Research</w:t>
      </w:r>
      <w:r>
        <w:rPr>
          <w:rFonts w:hint="default" w:ascii="Arial" w:hAnsi="Arial" w:cs="Arial"/>
          <w:sz w:val="24"/>
          <w:szCs w:val="24"/>
          <w:highlight w:val="none"/>
        </w:rPr>
        <w:t>, 42(2), pp.189–196.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"https://doi.org/10.1016/s0148-2963(97)00112-4"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https://doi.org/10.1016/s0148-2963(97)00112-4</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r>
        <w:rPr>
          <w:rFonts w:hint="default" w:ascii="Arial" w:hAnsi="Arial" w:cs="Arial"/>
          <w:sz w:val="24"/>
          <w:szCs w:val="24"/>
          <w:highlight w:val="none"/>
        </w:rPr>
        <w:t xml:space="preserve">Piercy, N.F. and Morgan, N.A. (1994). The Marketing Planning process: Behavioral Problems Compared to Analytical Techniques in Explaining Marketing Plan Credibility. </w:t>
      </w:r>
      <w:r>
        <w:rPr>
          <w:rFonts w:hint="default" w:ascii="Arial" w:hAnsi="Arial" w:cs="Arial"/>
          <w:i/>
          <w:iCs/>
          <w:sz w:val="24"/>
          <w:szCs w:val="24"/>
          <w:highlight w:val="none"/>
        </w:rPr>
        <w:t>Journal of Business Research</w:t>
      </w:r>
      <w:r>
        <w:rPr>
          <w:rFonts w:hint="default" w:ascii="Arial" w:hAnsi="Arial" w:cs="Arial"/>
          <w:sz w:val="24"/>
          <w:szCs w:val="24"/>
          <w:highlight w:val="none"/>
        </w:rPr>
        <w:t>, [online] 29(3), pp.167–178.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"https://doi.org/10.1016/0148-2963(94)90001-9"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https://doi.org/10.1016/0148-2963(94)90001-9</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r>
        <w:rPr>
          <w:rFonts w:hint="default" w:ascii="Arial" w:hAnsi="Arial" w:cs="Arial"/>
          <w:sz w:val="24"/>
          <w:szCs w:val="24"/>
          <w:highlight w:val="none"/>
        </w:rPr>
        <w:t xml:space="preserve">Reed , D. (2014). SOSTAC: the Guide to the Perfect Digital Marketing Plan. </w:t>
      </w:r>
      <w:r>
        <w:rPr>
          <w:rFonts w:hint="default" w:ascii="Arial" w:hAnsi="Arial" w:cs="Arial"/>
          <w:i/>
          <w:iCs/>
          <w:sz w:val="24"/>
          <w:szCs w:val="24"/>
          <w:highlight w:val="none"/>
        </w:rPr>
        <w:t>Journal of Direct, Data and Digital Marketing Practice</w:t>
      </w:r>
      <w:r>
        <w:rPr>
          <w:rFonts w:hint="default" w:ascii="Arial" w:hAnsi="Arial" w:cs="Arial"/>
          <w:sz w:val="24"/>
          <w:szCs w:val="24"/>
          <w:highlight w:val="none"/>
        </w:rPr>
        <w:t>, [online] 16(2), pp.146–147.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"https://doi.org/10.1057/dddmp.2014.79"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https://doi.org/10.1057/dddmp.2014.79</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Sambidge, A. (2014). M&amp;S Opens Largest International Store in Kuwait - Arabian Business: Latest News on the Middle East, Real Estate, Finance, and More. </w:t>
      </w:r>
      <w:r>
        <w:rPr>
          <w:rFonts w:hint="default" w:ascii="Arial" w:hAnsi="Arial" w:cs="Arial"/>
          <w:i/>
          <w:iCs/>
          <w:sz w:val="24"/>
          <w:szCs w:val="24"/>
          <w:highlight w:val="none"/>
        </w:rPr>
        <w:t>Arabian Business</w:t>
      </w:r>
      <w:r>
        <w:rPr>
          <w:rFonts w:hint="default" w:ascii="Arial" w:hAnsi="Arial" w:cs="Arial"/>
          <w:sz w:val="24"/>
          <w:szCs w:val="24"/>
          <w:highlight w:val="none"/>
        </w:rPr>
        <w:t xml:space="preserve">. [online] 27 Feb.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"https://www.arabianbusiness.com/industries/retail/m-s-opens-largest-international-store-in-kuwait-540663"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https://www.arabianbusiness.com/industries/retail/m-s-opens-largest-international-store-in-kuwait-540663</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r>
        <w:rPr>
          <w:rFonts w:hint="default" w:ascii="Arial" w:hAnsi="Arial" w:cs="Arial"/>
          <w:sz w:val="24"/>
          <w:szCs w:val="24"/>
          <w:highlight w:val="none"/>
        </w:rPr>
        <w:t xml:space="preserve">Savvaidis, I.N., Al Katheeri, A., Lim, S.-H.E., Lai, K.-S. and Abushelaibi, A. (2022). Traditional foods, Food Safety practices, and Food Culture in the Middle East. </w:t>
      </w:r>
      <w:r>
        <w:rPr>
          <w:rFonts w:hint="default" w:ascii="Arial" w:hAnsi="Arial" w:cs="Arial"/>
          <w:i/>
          <w:iCs/>
          <w:sz w:val="24"/>
          <w:szCs w:val="24"/>
          <w:highlight w:val="none"/>
        </w:rPr>
        <w:t>Food Safety in the Middle East</w:t>
      </w:r>
      <w:r>
        <w:rPr>
          <w:rFonts w:hint="default" w:ascii="Arial" w:hAnsi="Arial" w:cs="Arial"/>
          <w:sz w:val="24"/>
          <w:szCs w:val="24"/>
          <w:highlight w:val="none"/>
        </w:rPr>
        <w:t>, 1(1), pp.1–31.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"https://doi.org/10.1016/b978-0-12-822417-5.00009-x"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https://doi.org/10.1016/b978-0-12-822417-5.00009-x</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r>
        <w:rPr>
          <w:rFonts w:hint="default" w:ascii="Arial" w:hAnsi="Arial" w:cs="Arial"/>
          <w:sz w:val="24"/>
          <w:szCs w:val="24"/>
          <w:highlight w:val="none"/>
        </w:rPr>
        <w:t xml:space="preserve">Schlegelmilch, B.B. (2022). Segmenting Targeting and Positioning in Global Markets. </w:t>
      </w:r>
      <w:r>
        <w:rPr>
          <w:rFonts w:hint="default" w:ascii="Arial" w:hAnsi="Arial" w:cs="Arial"/>
          <w:i/>
          <w:iCs/>
          <w:sz w:val="24"/>
          <w:szCs w:val="24"/>
          <w:highlight w:val="none"/>
        </w:rPr>
        <w:t>Management for Professionals</w:t>
      </w:r>
      <w:r>
        <w:rPr>
          <w:rFonts w:hint="default" w:ascii="Arial" w:hAnsi="Arial" w:cs="Arial"/>
          <w:sz w:val="24"/>
          <w:szCs w:val="24"/>
          <w:highlight w:val="none"/>
        </w:rPr>
        <w:t>, [online] 1(1), pp.129–159.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"https://doi.org/10.1007/978-3-030-90665-8_6"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https://doi.org/10.1007/978-3-030-90665-8_6</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Simon, R.S., Laskier, M.M. and Reguer, S. (2003). </w:t>
      </w:r>
      <w:r>
        <w:rPr>
          <w:rFonts w:hint="default" w:ascii="Arial" w:hAnsi="Arial" w:cs="Arial"/>
          <w:i/>
          <w:iCs/>
          <w:sz w:val="24"/>
          <w:szCs w:val="24"/>
          <w:highlight w:val="none"/>
        </w:rPr>
        <w:t>The Jews of the Middle East and North Africa in Modern Times</w:t>
      </w:r>
      <w:r>
        <w:rPr>
          <w:rFonts w:hint="default" w:ascii="Arial" w:hAnsi="Arial" w:cs="Arial"/>
          <w:sz w:val="24"/>
          <w:szCs w:val="24"/>
          <w:highlight w:val="none"/>
        </w:rPr>
        <w:t xml:space="preserve">. [online] </w:t>
      </w:r>
      <w:r>
        <w:rPr>
          <w:rFonts w:hint="default" w:ascii="Arial" w:hAnsi="Arial" w:cs="Arial"/>
          <w:i/>
          <w:iCs/>
          <w:sz w:val="24"/>
          <w:szCs w:val="24"/>
          <w:highlight w:val="none"/>
        </w:rPr>
        <w:t>Google Books</w:t>
      </w:r>
      <w:r>
        <w:rPr>
          <w:rFonts w:hint="default" w:ascii="Arial" w:hAnsi="Arial" w:cs="Arial"/>
          <w:sz w:val="24"/>
          <w:szCs w:val="24"/>
          <w:highlight w:val="none"/>
        </w:rPr>
        <w:t xml:space="preserve">, New York: Columbia University Press, p.213.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"https://books.google.co.uk/books?id=VxEJrEY22egC&amp;dq=Customs+against+women+in+the+Middle+East&amp;lr=&amp;hl=zh-CN&amp;source=gbs_navlinks_s"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https://books.google.co.uk/books?id=VxEJrEY22egC&amp;dq=Customs+against+women+in+the+Middle+East&amp;lr=&amp;hl=zh-CN&amp;source=gbs_navlinks_s</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Smith, P. (2024). </w:t>
      </w:r>
      <w:r>
        <w:rPr>
          <w:rFonts w:hint="default" w:ascii="Arial" w:hAnsi="Arial" w:cs="Arial"/>
          <w:i/>
          <w:iCs/>
          <w:sz w:val="24"/>
          <w:szCs w:val="24"/>
          <w:highlight w:val="none"/>
        </w:rPr>
        <w:t>Marks and Spencer - Statistics &amp; Facts</w:t>
      </w:r>
      <w:r>
        <w:rPr>
          <w:rFonts w:hint="default" w:ascii="Arial" w:hAnsi="Arial" w:cs="Arial"/>
          <w:sz w:val="24"/>
          <w:szCs w:val="24"/>
          <w:highlight w:val="none"/>
        </w:rPr>
        <w:t xml:space="preserve">. [online] Statista.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"https://www.statista.com/topics/3707/marks-and-spencer/#topicOverview"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https://www.statista.com/topics/3707/marks-and-spencer/#topicOverview</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8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r>
        <w:rPr>
          <w:rFonts w:hint="default" w:ascii="Arial" w:hAnsi="Arial" w:cs="Arial"/>
          <w:sz w:val="24"/>
          <w:szCs w:val="24"/>
          <w:highlight w:val="none"/>
        </w:rPr>
        <w:t xml:space="preserve">Tewari, H. (2023). </w:t>
      </w:r>
      <w:r>
        <w:rPr>
          <w:rFonts w:hint="default" w:ascii="Arial" w:hAnsi="Arial" w:cs="Arial"/>
          <w:i/>
          <w:iCs/>
          <w:sz w:val="24"/>
          <w:szCs w:val="24"/>
          <w:highlight w:val="none"/>
        </w:rPr>
        <w:t>How Can Companies in the Middle East Engage and Retain employees?</w:t>
      </w:r>
      <w:r>
        <w:rPr>
          <w:rFonts w:hint="default" w:ascii="Arial" w:hAnsi="Arial" w:cs="Arial"/>
          <w:sz w:val="24"/>
          <w:szCs w:val="24"/>
          <w:highlight w:val="none"/>
        </w:rPr>
        <w:t xml:space="preserve"> [online] Fast Company Middle East | the Future of tech, Business and innovation. Available at: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"https://fastcompanyme.com/work-life/how-can-companies-in-the-middle-east-engage-and-retain-employees/"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https://fastcompanyme.com/work-life/how-can-companies-in-the-middle-east-engage-and-retain-employees/</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eastAsiaTheme="minorEastAsia"/>
          <w:sz w:val="24"/>
          <w:szCs w:val="24"/>
          <w:highlight w:val="none"/>
          <w:lang w:eastAsia="zh-CN"/>
        </w:rPr>
      </w:pPr>
      <w:r>
        <w:rPr>
          <w:rFonts w:hint="default" w:ascii="Arial" w:hAnsi="Arial" w:cs="Arial"/>
          <w:sz w:val="24"/>
          <w:szCs w:val="24"/>
          <w:highlight w:val="none"/>
        </w:rPr>
        <w:t xml:space="preserve">Tynan, A.C. and Drayton, J. (2010). Market Segmentation. </w:t>
      </w:r>
      <w:r>
        <w:rPr>
          <w:rFonts w:hint="default" w:ascii="Arial" w:hAnsi="Arial" w:cs="Arial"/>
          <w:i/>
          <w:iCs/>
          <w:sz w:val="24"/>
          <w:szCs w:val="24"/>
          <w:highlight w:val="none"/>
        </w:rPr>
        <w:t>Journal of Marketing Management</w:t>
      </w:r>
      <w:r>
        <w:rPr>
          <w:rFonts w:hint="default" w:ascii="Arial" w:hAnsi="Arial" w:cs="Arial"/>
          <w:sz w:val="24"/>
          <w:szCs w:val="24"/>
          <w:highlight w:val="none"/>
        </w:rPr>
        <w:t>, [online] 2(3), pp.301–335.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"https://doi.org/10.1080/0267257x.1987.9964020"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https://doi.org/10.1080/0267257x.1987.9964020</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sz w:val="24"/>
          <w:szCs w:val="24"/>
          <w:highlight w:val="none"/>
          <w:lang w:val="en-US" w:eastAsia="zh-CN"/>
        </w:rPr>
      </w:pPr>
      <w:r>
        <w:rPr>
          <w:rFonts w:hint="default" w:ascii="Arial" w:hAnsi="Arial" w:cs="Arial"/>
          <w:sz w:val="24"/>
          <w:szCs w:val="24"/>
          <w:highlight w:val="none"/>
        </w:rPr>
        <w:t xml:space="preserve">Varadarajan, R. (2010). Strategic Marketing and Marketing strategy: domain, definition, Fundamental Issues and Foundational Premises. </w:t>
      </w:r>
      <w:r>
        <w:rPr>
          <w:rFonts w:hint="default" w:ascii="Arial" w:hAnsi="Arial" w:cs="Arial"/>
          <w:i/>
          <w:iCs/>
          <w:sz w:val="24"/>
          <w:szCs w:val="24"/>
          <w:highlight w:val="none"/>
        </w:rPr>
        <w:t>Journal of the Academy of Marketing Science</w:t>
      </w:r>
      <w:r>
        <w:rPr>
          <w:rFonts w:hint="default" w:ascii="Arial" w:hAnsi="Arial" w:cs="Arial"/>
          <w:sz w:val="24"/>
          <w:szCs w:val="24"/>
          <w:highlight w:val="none"/>
        </w:rPr>
        <w:t>, [online] 38(2), pp.119–140.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"https://doi.org/10.1007/s11747-009-0176-7"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https://doi.org/10.1007/s11747-009-0176-7</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default" w:ascii="Arial" w:hAnsi="Arial" w:cs="Arial"/>
          <w:sz w:val="24"/>
          <w:szCs w:val="24"/>
          <w:highlight w:val="none"/>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jc w:val="both"/>
        <w:textAlignment w:val="auto"/>
        <w:rPr>
          <w:rFonts w:hint="eastAsia" w:ascii="Arial" w:hAnsi="Arial" w:cs="Arial" w:eastAsiaTheme="minorEastAsia"/>
          <w:sz w:val="24"/>
          <w:szCs w:val="24"/>
          <w:highlight w:val="none"/>
          <w:lang w:eastAsia="zh-CN"/>
        </w:rPr>
      </w:pPr>
      <w:r>
        <w:rPr>
          <w:rFonts w:hint="default" w:ascii="Arial" w:hAnsi="Arial" w:cs="Arial"/>
          <w:sz w:val="24"/>
          <w:szCs w:val="24"/>
          <w:highlight w:val="none"/>
        </w:rPr>
        <w:t xml:space="preserve">Weihrich, H. (1982). The TOWS Matrix - a Tool for Situational Analysis. </w:t>
      </w:r>
      <w:r>
        <w:rPr>
          <w:rFonts w:hint="default" w:ascii="Arial" w:hAnsi="Arial" w:cs="Arial"/>
          <w:i/>
          <w:iCs/>
          <w:sz w:val="24"/>
          <w:szCs w:val="24"/>
          <w:highlight w:val="none"/>
        </w:rPr>
        <w:t>Long Range Planning</w:t>
      </w:r>
      <w:r>
        <w:rPr>
          <w:rFonts w:hint="default" w:ascii="Arial" w:hAnsi="Arial" w:cs="Arial"/>
          <w:sz w:val="24"/>
          <w:szCs w:val="24"/>
          <w:highlight w:val="none"/>
        </w:rPr>
        <w:t>, 15(2), pp.54–66. doi:</w:t>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fldChar w:fldCharType="begin"/>
      </w:r>
      <w:r>
        <w:rPr>
          <w:rFonts w:hint="default" w:ascii="Arial" w:hAnsi="Arial" w:cs="Arial"/>
          <w:sz w:val="24"/>
          <w:szCs w:val="24"/>
          <w:highlight w:val="none"/>
        </w:rPr>
        <w:instrText xml:space="preserve"> HYPERLINK "https://doi.org/10.1016/0024-6301(82)90120-0" </w:instrText>
      </w:r>
      <w:r>
        <w:rPr>
          <w:rFonts w:hint="default" w:ascii="Arial" w:hAnsi="Arial" w:cs="Arial"/>
          <w:sz w:val="24"/>
          <w:szCs w:val="24"/>
          <w:highlight w:val="none"/>
        </w:rPr>
        <w:fldChar w:fldCharType="separate"/>
      </w:r>
      <w:r>
        <w:rPr>
          <w:rStyle w:val="11"/>
          <w:rFonts w:hint="default" w:ascii="Arial" w:hAnsi="Arial" w:cs="Arial"/>
          <w:sz w:val="24"/>
          <w:szCs w:val="24"/>
          <w:highlight w:val="none"/>
        </w:rPr>
        <w:t>https://doi.org/10.1016/0024-6301(82)90120-0</w:t>
      </w:r>
      <w:r>
        <w:rPr>
          <w:rFonts w:hint="default" w:ascii="Arial" w:hAnsi="Arial" w:cs="Arial"/>
          <w:sz w:val="24"/>
          <w:szCs w:val="24"/>
          <w:highlight w:val="none"/>
        </w:rPr>
        <w:fldChar w:fldCharType="end"/>
      </w:r>
      <w:r>
        <w:rPr>
          <w:rFonts w:hint="eastAsia" w:ascii="Arial" w:hAnsi="Arial" w:cs="Arial"/>
          <w:sz w:val="24"/>
          <w:szCs w:val="24"/>
          <w:highlight w:val="none"/>
          <w:lang w:val="en-US" w:eastAsia="zh-CN"/>
        </w:rPr>
        <w:t xml:space="preserve"> </w:t>
      </w:r>
      <w:r>
        <w:rPr>
          <w:rFonts w:hint="default" w:ascii="Arial" w:hAnsi="Arial" w:cs="Arial"/>
          <w:sz w:val="24"/>
          <w:szCs w:val="24"/>
          <w:highlight w:val="none"/>
        </w:rPr>
        <w:t>[Accessed 9 May 2024]</w:t>
      </w:r>
      <w:r>
        <w:rPr>
          <w:rFonts w:hint="eastAsia" w:ascii="Arial" w:hAnsi="Arial" w:cs="Arial"/>
          <w:sz w:val="24"/>
          <w:szCs w:val="24"/>
          <w:highlight w:val="none"/>
          <w:lang w:val="en-US" w:eastAsia="zh-CN"/>
        </w:rPr>
        <w:t>.</w:t>
      </w:r>
    </w:p>
    <w:p>
      <w:pPr>
        <w:pageBreakBefore w:val="0"/>
        <w:widowControl w:val="0"/>
        <w:kinsoku/>
        <w:wordWrap/>
        <w:overflowPunct/>
        <w:topLinePunct w:val="0"/>
        <w:autoSpaceDE/>
        <w:autoSpaceDN/>
        <w:bidi w:val="0"/>
        <w:adjustRightInd/>
        <w:snapToGrid/>
        <w:textAlignment w:val="auto"/>
        <w:rPr>
          <w:rFonts w:hint="default"/>
          <w:sz w:val="24"/>
          <w:szCs w:val="24"/>
          <w:lang w:val="en-US" w:eastAsia="zh-CN"/>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default" w:ascii="Arial" w:hAnsi="Arial" w:cs="Arial"/>
                              <w:sz w:val="24"/>
                              <w:szCs w:val="40"/>
                            </w:rPr>
                          </w:pPr>
                          <w:r>
                            <w:rPr>
                              <w:rFonts w:hint="default" w:ascii="Arial" w:hAnsi="Arial" w:cs="Arial"/>
                              <w:sz w:val="24"/>
                              <w:szCs w:val="40"/>
                            </w:rPr>
                            <w:fldChar w:fldCharType="begin"/>
                          </w:r>
                          <w:r>
                            <w:rPr>
                              <w:rFonts w:hint="default" w:ascii="Arial" w:hAnsi="Arial" w:cs="Arial"/>
                              <w:sz w:val="24"/>
                              <w:szCs w:val="40"/>
                            </w:rPr>
                            <w:instrText xml:space="preserve"> PAGE  \* MERGEFORMAT </w:instrText>
                          </w:r>
                          <w:r>
                            <w:rPr>
                              <w:rFonts w:hint="default" w:ascii="Arial" w:hAnsi="Arial" w:cs="Arial"/>
                              <w:sz w:val="24"/>
                              <w:szCs w:val="40"/>
                            </w:rPr>
                            <w:fldChar w:fldCharType="separate"/>
                          </w:r>
                          <w:r>
                            <w:rPr>
                              <w:rFonts w:hint="default" w:ascii="Arial" w:hAnsi="Arial" w:cs="Arial"/>
                              <w:sz w:val="24"/>
                              <w:szCs w:val="40"/>
                            </w:rPr>
                            <w:t>1</w:t>
                          </w:r>
                          <w:r>
                            <w:rPr>
                              <w:rFonts w:hint="default" w:ascii="Arial" w:hAnsi="Arial" w:cs="Arial"/>
                              <w:sz w:val="24"/>
                              <w:szCs w:val="40"/>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4"/>
                      <w:rPr>
                        <w:rFonts w:hint="default" w:ascii="Arial" w:hAnsi="Arial" w:cs="Arial"/>
                        <w:sz w:val="24"/>
                        <w:szCs w:val="40"/>
                      </w:rPr>
                    </w:pPr>
                    <w:r>
                      <w:rPr>
                        <w:rFonts w:hint="default" w:ascii="Arial" w:hAnsi="Arial" w:cs="Arial"/>
                        <w:sz w:val="24"/>
                        <w:szCs w:val="40"/>
                      </w:rPr>
                      <w:fldChar w:fldCharType="begin"/>
                    </w:r>
                    <w:r>
                      <w:rPr>
                        <w:rFonts w:hint="default" w:ascii="Arial" w:hAnsi="Arial" w:cs="Arial"/>
                        <w:sz w:val="24"/>
                        <w:szCs w:val="40"/>
                      </w:rPr>
                      <w:instrText xml:space="preserve"> PAGE  \* MERGEFORMAT </w:instrText>
                    </w:r>
                    <w:r>
                      <w:rPr>
                        <w:rFonts w:hint="default" w:ascii="Arial" w:hAnsi="Arial" w:cs="Arial"/>
                        <w:sz w:val="24"/>
                        <w:szCs w:val="40"/>
                      </w:rPr>
                      <w:fldChar w:fldCharType="separate"/>
                    </w:r>
                    <w:r>
                      <w:rPr>
                        <w:rFonts w:hint="default" w:ascii="Arial" w:hAnsi="Arial" w:cs="Arial"/>
                        <w:sz w:val="24"/>
                        <w:szCs w:val="40"/>
                      </w:rPr>
                      <w:t>1</w:t>
                    </w:r>
                    <w:r>
                      <w:rPr>
                        <w:rFonts w:hint="default" w:ascii="Arial" w:hAnsi="Arial" w:cs="Arial"/>
                        <w:sz w:val="24"/>
                        <w:szCs w:val="40"/>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hlYzEzM2I0NTgzMzcxYTRmZTAxODkxZjRkNWU1YmEifQ=="/>
  </w:docVars>
  <w:rsids>
    <w:rsidRoot w:val="00000000"/>
    <w:rsid w:val="000F5645"/>
    <w:rsid w:val="00247343"/>
    <w:rsid w:val="004B48CF"/>
    <w:rsid w:val="00924034"/>
    <w:rsid w:val="00A16BE5"/>
    <w:rsid w:val="00BC57CD"/>
    <w:rsid w:val="00D348C5"/>
    <w:rsid w:val="01114FE5"/>
    <w:rsid w:val="0168325F"/>
    <w:rsid w:val="019422A6"/>
    <w:rsid w:val="01D86637"/>
    <w:rsid w:val="01F40775"/>
    <w:rsid w:val="01F42D45"/>
    <w:rsid w:val="02247ACE"/>
    <w:rsid w:val="02251150"/>
    <w:rsid w:val="025D08EA"/>
    <w:rsid w:val="026223A4"/>
    <w:rsid w:val="02854D06"/>
    <w:rsid w:val="028B5457"/>
    <w:rsid w:val="02994018"/>
    <w:rsid w:val="029D518A"/>
    <w:rsid w:val="02F1731E"/>
    <w:rsid w:val="03084482"/>
    <w:rsid w:val="03127926"/>
    <w:rsid w:val="032A2EC2"/>
    <w:rsid w:val="034747AF"/>
    <w:rsid w:val="038B1487"/>
    <w:rsid w:val="03AD764F"/>
    <w:rsid w:val="03D64DF8"/>
    <w:rsid w:val="03FB660C"/>
    <w:rsid w:val="040A4AA1"/>
    <w:rsid w:val="04137DFA"/>
    <w:rsid w:val="041F054D"/>
    <w:rsid w:val="04212517"/>
    <w:rsid w:val="04275653"/>
    <w:rsid w:val="042A6EF2"/>
    <w:rsid w:val="042D7C0E"/>
    <w:rsid w:val="043F4FFE"/>
    <w:rsid w:val="04781A0B"/>
    <w:rsid w:val="04822ACB"/>
    <w:rsid w:val="049D76C3"/>
    <w:rsid w:val="04E80E0F"/>
    <w:rsid w:val="050A3D9F"/>
    <w:rsid w:val="05151950"/>
    <w:rsid w:val="051A0D14"/>
    <w:rsid w:val="05467DC4"/>
    <w:rsid w:val="0596483F"/>
    <w:rsid w:val="05EC445F"/>
    <w:rsid w:val="061F2A86"/>
    <w:rsid w:val="063B3638"/>
    <w:rsid w:val="064E6EC7"/>
    <w:rsid w:val="06691F53"/>
    <w:rsid w:val="06823015"/>
    <w:rsid w:val="06B50CF4"/>
    <w:rsid w:val="06E25862"/>
    <w:rsid w:val="07197625"/>
    <w:rsid w:val="07245E7A"/>
    <w:rsid w:val="07302A71"/>
    <w:rsid w:val="073B593C"/>
    <w:rsid w:val="07414C7E"/>
    <w:rsid w:val="0781507A"/>
    <w:rsid w:val="078F7797"/>
    <w:rsid w:val="07B611C8"/>
    <w:rsid w:val="07DC6755"/>
    <w:rsid w:val="07E14727"/>
    <w:rsid w:val="07E37AE3"/>
    <w:rsid w:val="07EA0E72"/>
    <w:rsid w:val="08144141"/>
    <w:rsid w:val="081B54CF"/>
    <w:rsid w:val="08283748"/>
    <w:rsid w:val="08332819"/>
    <w:rsid w:val="08594AB2"/>
    <w:rsid w:val="088C763C"/>
    <w:rsid w:val="08A2174C"/>
    <w:rsid w:val="08A94889"/>
    <w:rsid w:val="08CC0577"/>
    <w:rsid w:val="08E104C7"/>
    <w:rsid w:val="08FC61DE"/>
    <w:rsid w:val="091E5277"/>
    <w:rsid w:val="09322AD0"/>
    <w:rsid w:val="094B5940"/>
    <w:rsid w:val="095347F5"/>
    <w:rsid w:val="09594501"/>
    <w:rsid w:val="09734E97"/>
    <w:rsid w:val="09736C45"/>
    <w:rsid w:val="097E3F67"/>
    <w:rsid w:val="09840E52"/>
    <w:rsid w:val="0992356F"/>
    <w:rsid w:val="09B72FD5"/>
    <w:rsid w:val="09E87633"/>
    <w:rsid w:val="0A116B8A"/>
    <w:rsid w:val="0A12645E"/>
    <w:rsid w:val="0A4C7BC2"/>
    <w:rsid w:val="0A670558"/>
    <w:rsid w:val="0AC260D6"/>
    <w:rsid w:val="0AD220FA"/>
    <w:rsid w:val="0AD8772F"/>
    <w:rsid w:val="0AF60B9E"/>
    <w:rsid w:val="0AF85654"/>
    <w:rsid w:val="0B13248D"/>
    <w:rsid w:val="0B136931"/>
    <w:rsid w:val="0B143990"/>
    <w:rsid w:val="0BD460C1"/>
    <w:rsid w:val="0BD7170D"/>
    <w:rsid w:val="0BEA038D"/>
    <w:rsid w:val="0BFD7C24"/>
    <w:rsid w:val="0C05627A"/>
    <w:rsid w:val="0C1B462D"/>
    <w:rsid w:val="0C2B3807"/>
    <w:rsid w:val="0C4A1EDF"/>
    <w:rsid w:val="0C550884"/>
    <w:rsid w:val="0C9F66CF"/>
    <w:rsid w:val="0CF34325"/>
    <w:rsid w:val="0CFE2513"/>
    <w:rsid w:val="0D4E7778"/>
    <w:rsid w:val="0D8E6743"/>
    <w:rsid w:val="0DA03BB0"/>
    <w:rsid w:val="0DB937C0"/>
    <w:rsid w:val="0E0662D9"/>
    <w:rsid w:val="0E124C7E"/>
    <w:rsid w:val="0E2449B2"/>
    <w:rsid w:val="0E8A0CB9"/>
    <w:rsid w:val="0E8A2A67"/>
    <w:rsid w:val="0E963B01"/>
    <w:rsid w:val="0EA63619"/>
    <w:rsid w:val="0EB144DC"/>
    <w:rsid w:val="0ED65CAC"/>
    <w:rsid w:val="0F297ABE"/>
    <w:rsid w:val="0F4B669A"/>
    <w:rsid w:val="0F4D054E"/>
    <w:rsid w:val="0F825E34"/>
    <w:rsid w:val="0F855BBA"/>
    <w:rsid w:val="0FA45DAA"/>
    <w:rsid w:val="0FD05298"/>
    <w:rsid w:val="0FF02D9D"/>
    <w:rsid w:val="10262C63"/>
    <w:rsid w:val="10685029"/>
    <w:rsid w:val="10A32F80"/>
    <w:rsid w:val="11274EE5"/>
    <w:rsid w:val="112C24FB"/>
    <w:rsid w:val="114F3581"/>
    <w:rsid w:val="11535CDA"/>
    <w:rsid w:val="116E2B13"/>
    <w:rsid w:val="11717F0E"/>
    <w:rsid w:val="11845E93"/>
    <w:rsid w:val="11AC53EA"/>
    <w:rsid w:val="11DF30C9"/>
    <w:rsid w:val="11F56D91"/>
    <w:rsid w:val="11F8418B"/>
    <w:rsid w:val="11FD4F0F"/>
    <w:rsid w:val="120B0362"/>
    <w:rsid w:val="1250234B"/>
    <w:rsid w:val="12655CC4"/>
    <w:rsid w:val="12AB744F"/>
    <w:rsid w:val="13144FF5"/>
    <w:rsid w:val="136A4675"/>
    <w:rsid w:val="13916645"/>
    <w:rsid w:val="13F84916"/>
    <w:rsid w:val="14072DAB"/>
    <w:rsid w:val="141334FE"/>
    <w:rsid w:val="143376FC"/>
    <w:rsid w:val="146D0E60"/>
    <w:rsid w:val="146E6986"/>
    <w:rsid w:val="148B7538"/>
    <w:rsid w:val="1494463F"/>
    <w:rsid w:val="14D64C58"/>
    <w:rsid w:val="14D7277E"/>
    <w:rsid w:val="14F41582"/>
    <w:rsid w:val="150A2B53"/>
    <w:rsid w:val="15273F31"/>
    <w:rsid w:val="152D239E"/>
    <w:rsid w:val="153100E0"/>
    <w:rsid w:val="153C6A85"/>
    <w:rsid w:val="155838BF"/>
    <w:rsid w:val="157C4444"/>
    <w:rsid w:val="15932B49"/>
    <w:rsid w:val="15B30AF5"/>
    <w:rsid w:val="15BD5E17"/>
    <w:rsid w:val="15D54F0F"/>
    <w:rsid w:val="15DA2525"/>
    <w:rsid w:val="15DD3DC4"/>
    <w:rsid w:val="15F630D7"/>
    <w:rsid w:val="162B0FD3"/>
    <w:rsid w:val="16353C00"/>
    <w:rsid w:val="16930926"/>
    <w:rsid w:val="16B56AEF"/>
    <w:rsid w:val="173A02F8"/>
    <w:rsid w:val="173C4B1A"/>
    <w:rsid w:val="176C18A3"/>
    <w:rsid w:val="17740758"/>
    <w:rsid w:val="178564C1"/>
    <w:rsid w:val="17A571C4"/>
    <w:rsid w:val="17B86896"/>
    <w:rsid w:val="17BC65E8"/>
    <w:rsid w:val="17D8123F"/>
    <w:rsid w:val="17DF2075"/>
    <w:rsid w:val="18307BBE"/>
    <w:rsid w:val="18463EA2"/>
    <w:rsid w:val="18644328"/>
    <w:rsid w:val="18A42F20"/>
    <w:rsid w:val="18A4506D"/>
    <w:rsid w:val="18AE37F5"/>
    <w:rsid w:val="18F25DD8"/>
    <w:rsid w:val="19121FD6"/>
    <w:rsid w:val="19173A91"/>
    <w:rsid w:val="1917583F"/>
    <w:rsid w:val="193463F1"/>
    <w:rsid w:val="193A152D"/>
    <w:rsid w:val="193A32DB"/>
    <w:rsid w:val="198A4263"/>
    <w:rsid w:val="19A10EDF"/>
    <w:rsid w:val="19AD1CFF"/>
    <w:rsid w:val="19DD25E4"/>
    <w:rsid w:val="19F53DD2"/>
    <w:rsid w:val="1A040D33"/>
    <w:rsid w:val="1A0E6C42"/>
    <w:rsid w:val="1A2735AF"/>
    <w:rsid w:val="1A5D1977"/>
    <w:rsid w:val="1A705206"/>
    <w:rsid w:val="1AB717B2"/>
    <w:rsid w:val="1B214753"/>
    <w:rsid w:val="1B8D3B96"/>
    <w:rsid w:val="1B9E6A88"/>
    <w:rsid w:val="1BBC447B"/>
    <w:rsid w:val="1BC670A8"/>
    <w:rsid w:val="1BDE43F2"/>
    <w:rsid w:val="1BE7599C"/>
    <w:rsid w:val="1C0876C1"/>
    <w:rsid w:val="1C112A19"/>
    <w:rsid w:val="1C1D316C"/>
    <w:rsid w:val="1C4C1CA3"/>
    <w:rsid w:val="1C662D65"/>
    <w:rsid w:val="1C773367"/>
    <w:rsid w:val="1C940F54"/>
    <w:rsid w:val="1CC57360"/>
    <w:rsid w:val="1CE912A0"/>
    <w:rsid w:val="1D1502E7"/>
    <w:rsid w:val="1D183933"/>
    <w:rsid w:val="1D1D719C"/>
    <w:rsid w:val="1D271DC8"/>
    <w:rsid w:val="1D5C5F16"/>
    <w:rsid w:val="1D721295"/>
    <w:rsid w:val="1D750D86"/>
    <w:rsid w:val="1DA82F09"/>
    <w:rsid w:val="1DE877AA"/>
    <w:rsid w:val="1DED5054"/>
    <w:rsid w:val="1E18008F"/>
    <w:rsid w:val="1E3D5D47"/>
    <w:rsid w:val="1E4C1AE7"/>
    <w:rsid w:val="1E57048B"/>
    <w:rsid w:val="1EAE7FBE"/>
    <w:rsid w:val="1F257FC7"/>
    <w:rsid w:val="1F784B5D"/>
    <w:rsid w:val="1FBB33C8"/>
    <w:rsid w:val="1FBD236A"/>
    <w:rsid w:val="1FC61D6D"/>
    <w:rsid w:val="1FCA5F90"/>
    <w:rsid w:val="1FE327D3"/>
    <w:rsid w:val="1FE85AE9"/>
    <w:rsid w:val="20541126"/>
    <w:rsid w:val="20745325"/>
    <w:rsid w:val="20B16579"/>
    <w:rsid w:val="20D2558A"/>
    <w:rsid w:val="20DD3991"/>
    <w:rsid w:val="20F63F8C"/>
    <w:rsid w:val="219A3E5D"/>
    <w:rsid w:val="219E4335"/>
    <w:rsid w:val="21B07118"/>
    <w:rsid w:val="21ED35E0"/>
    <w:rsid w:val="223F04E2"/>
    <w:rsid w:val="22431452"/>
    <w:rsid w:val="22617B2B"/>
    <w:rsid w:val="228A52D3"/>
    <w:rsid w:val="229323DA"/>
    <w:rsid w:val="22B1460E"/>
    <w:rsid w:val="22EE5862"/>
    <w:rsid w:val="22F56BF1"/>
    <w:rsid w:val="231106D0"/>
    <w:rsid w:val="23274F60"/>
    <w:rsid w:val="235651B5"/>
    <w:rsid w:val="23751ADF"/>
    <w:rsid w:val="23953F30"/>
    <w:rsid w:val="23971A56"/>
    <w:rsid w:val="23BC326A"/>
    <w:rsid w:val="23D36806"/>
    <w:rsid w:val="23DA1943"/>
    <w:rsid w:val="23DC1B5F"/>
    <w:rsid w:val="23F32A04"/>
    <w:rsid w:val="23FE3883"/>
    <w:rsid w:val="242D5F16"/>
    <w:rsid w:val="243548D3"/>
    <w:rsid w:val="2446793E"/>
    <w:rsid w:val="245D0D06"/>
    <w:rsid w:val="24603EC0"/>
    <w:rsid w:val="24877D1C"/>
    <w:rsid w:val="24886E01"/>
    <w:rsid w:val="24975A86"/>
    <w:rsid w:val="24991FB7"/>
    <w:rsid w:val="24B6415E"/>
    <w:rsid w:val="2519649B"/>
    <w:rsid w:val="251D41DD"/>
    <w:rsid w:val="25207829"/>
    <w:rsid w:val="253F23A5"/>
    <w:rsid w:val="255120D8"/>
    <w:rsid w:val="258E6E89"/>
    <w:rsid w:val="25A95A70"/>
    <w:rsid w:val="25BD151C"/>
    <w:rsid w:val="25FD7B6A"/>
    <w:rsid w:val="26282E39"/>
    <w:rsid w:val="26413EFB"/>
    <w:rsid w:val="268F214A"/>
    <w:rsid w:val="26A1499A"/>
    <w:rsid w:val="26EC030B"/>
    <w:rsid w:val="26EE08F6"/>
    <w:rsid w:val="26F7280B"/>
    <w:rsid w:val="272F6CBD"/>
    <w:rsid w:val="27606603"/>
    <w:rsid w:val="27932534"/>
    <w:rsid w:val="27B801ED"/>
    <w:rsid w:val="27C207EA"/>
    <w:rsid w:val="27C70430"/>
    <w:rsid w:val="27DC037F"/>
    <w:rsid w:val="27F76F67"/>
    <w:rsid w:val="284E28FF"/>
    <w:rsid w:val="285919D0"/>
    <w:rsid w:val="285F68BA"/>
    <w:rsid w:val="287C56BE"/>
    <w:rsid w:val="288E1F0F"/>
    <w:rsid w:val="28942A08"/>
    <w:rsid w:val="28B409B4"/>
    <w:rsid w:val="28C50E13"/>
    <w:rsid w:val="291678C1"/>
    <w:rsid w:val="29746395"/>
    <w:rsid w:val="298E38FB"/>
    <w:rsid w:val="29915199"/>
    <w:rsid w:val="29B6075C"/>
    <w:rsid w:val="29C94933"/>
    <w:rsid w:val="29CB06AB"/>
    <w:rsid w:val="29F80D74"/>
    <w:rsid w:val="2A241B69"/>
    <w:rsid w:val="2A314286"/>
    <w:rsid w:val="2A445D94"/>
    <w:rsid w:val="2A495A74"/>
    <w:rsid w:val="2A612DBE"/>
    <w:rsid w:val="2A697EC4"/>
    <w:rsid w:val="2A77438F"/>
    <w:rsid w:val="2AC62C21"/>
    <w:rsid w:val="2AC86999"/>
    <w:rsid w:val="2ACA2711"/>
    <w:rsid w:val="2ADF1A89"/>
    <w:rsid w:val="2AE15CAC"/>
    <w:rsid w:val="2AE8703B"/>
    <w:rsid w:val="2B6D0EA0"/>
    <w:rsid w:val="2B7803BF"/>
    <w:rsid w:val="2B935881"/>
    <w:rsid w:val="2BA80578"/>
    <w:rsid w:val="2BB37649"/>
    <w:rsid w:val="2BD650E5"/>
    <w:rsid w:val="2BF8505C"/>
    <w:rsid w:val="2C1005F7"/>
    <w:rsid w:val="2C454196"/>
    <w:rsid w:val="2C9E3E55"/>
    <w:rsid w:val="2CA376BD"/>
    <w:rsid w:val="2CD258AD"/>
    <w:rsid w:val="2CDE24A4"/>
    <w:rsid w:val="2D0F4C2F"/>
    <w:rsid w:val="2D61492B"/>
    <w:rsid w:val="2D6C73DA"/>
    <w:rsid w:val="2D720E3E"/>
    <w:rsid w:val="2D8017AD"/>
    <w:rsid w:val="2D88240F"/>
    <w:rsid w:val="2DD37B2E"/>
    <w:rsid w:val="2DF33D2D"/>
    <w:rsid w:val="2E045F3A"/>
    <w:rsid w:val="2E1A27FF"/>
    <w:rsid w:val="2E291E44"/>
    <w:rsid w:val="2E426A62"/>
    <w:rsid w:val="2E487550"/>
    <w:rsid w:val="2EA4771D"/>
    <w:rsid w:val="2EE45D6B"/>
    <w:rsid w:val="2EEB70FA"/>
    <w:rsid w:val="2F0935BF"/>
    <w:rsid w:val="2F436F36"/>
    <w:rsid w:val="2FD7312B"/>
    <w:rsid w:val="30395B5A"/>
    <w:rsid w:val="30861439"/>
    <w:rsid w:val="30DA5678"/>
    <w:rsid w:val="30E05164"/>
    <w:rsid w:val="30EC0F07"/>
    <w:rsid w:val="30F71D86"/>
    <w:rsid w:val="3104289B"/>
    <w:rsid w:val="3124137F"/>
    <w:rsid w:val="315C42DF"/>
    <w:rsid w:val="318D26EA"/>
    <w:rsid w:val="31992E3D"/>
    <w:rsid w:val="31AB2B70"/>
    <w:rsid w:val="31F77B64"/>
    <w:rsid w:val="32313075"/>
    <w:rsid w:val="3240586E"/>
    <w:rsid w:val="32AC6BA0"/>
    <w:rsid w:val="32B90276"/>
    <w:rsid w:val="32EB591A"/>
    <w:rsid w:val="33446DD8"/>
    <w:rsid w:val="33541711"/>
    <w:rsid w:val="335C4122"/>
    <w:rsid w:val="33770F5C"/>
    <w:rsid w:val="33953AD8"/>
    <w:rsid w:val="33995376"/>
    <w:rsid w:val="33A31D51"/>
    <w:rsid w:val="341E4E10"/>
    <w:rsid w:val="342866FA"/>
    <w:rsid w:val="344572AC"/>
    <w:rsid w:val="34607C42"/>
    <w:rsid w:val="346A6D13"/>
    <w:rsid w:val="346F4329"/>
    <w:rsid w:val="34AC10D9"/>
    <w:rsid w:val="354B08F2"/>
    <w:rsid w:val="354B444E"/>
    <w:rsid w:val="356A3D7A"/>
    <w:rsid w:val="357240D1"/>
    <w:rsid w:val="357D65D2"/>
    <w:rsid w:val="357E0CC8"/>
    <w:rsid w:val="35A65B28"/>
    <w:rsid w:val="35C83CF1"/>
    <w:rsid w:val="35D5640E"/>
    <w:rsid w:val="35E11256"/>
    <w:rsid w:val="362178A5"/>
    <w:rsid w:val="368C2F70"/>
    <w:rsid w:val="36D3294D"/>
    <w:rsid w:val="36DD37CC"/>
    <w:rsid w:val="370E1BD7"/>
    <w:rsid w:val="37753A04"/>
    <w:rsid w:val="379D2F5B"/>
    <w:rsid w:val="37E1109A"/>
    <w:rsid w:val="37EB3CC7"/>
    <w:rsid w:val="382F44FB"/>
    <w:rsid w:val="38392C84"/>
    <w:rsid w:val="38602906"/>
    <w:rsid w:val="38637D01"/>
    <w:rsid w:val="38937850"/>
    <w:rsid w:val="389E342F"/>
    <w:rsid w:val="389E6F8B"/>
    <w:rsid w:val="38AB7FC4"/>
    <w:rsid w:val="38E250CA"/>
    <w:rsid w:val="38F4304F"/>
    <w:rsid w:val="390019F4"/>
    <w:rsid w:val="391159AF"/>
    <w:rsid w:val="39162FC5"/>
    <w:rsid w:val="395F2BBE"/>
    <w:rsid w:val="39736669"/>
    <w:rsid w:val="39C649EB"/>
    <w:rsid w:val="39D76BF8"/>
    <w:rsid w:val="39DF785B"/>
    <w:rsid w:val="39F27F9B"/>
    <w:rsid w:val="3A03179B"/>
    <w:rsid w:val="3A0F6392"/>
    <w:rsid w:val="3A105C66"/>
    <w:rsid w:val="3A2B484E"/>
    <w:rsid w:val="3A540249"/>
    <w:rsid w:val="3AEE244B"/>
    <w:rsid w:val="3B1D063B"/>
    <w:rsid w:val="3B1F0857"/>
    <w:rsid w:val="3B3D2A8B"/>
    <w:rsid w:val="3B5878C5"/>
    <w:rsid w:val="3B702E61"/>
    <w:rsid w:val="3B903503"/>
    <w:rsid w:val="3B950B19"/>
    <w:rsid w:val="3BAB399F"/>
    <w:rsid w:val="3BDB4052"/>
    <w:rsid w:val="3C2459F9"/>
    <w:rsid w:val="3C4D4F50"/>
    <w:rsid w:val="3C7050E2"/>
    <w:rsid w:val="3C7324DC"/>
    <w:rsid w:val="3C81109D"/>
    <w:rsid w:val="3CA31014"/>
    <w:rsid w:val="3CD1792F"/>
    <w:rsid w:val="3CD92C87"/>
    <w:rsid w:val="3CF4361D"/>
    <w:rsid w:val="3D122621"/>
    <w:rsid w:val="3D17730C"/>
    <w:rsid w:val="3D324146"/>
    <w:rsid w:val="3D3B749E"/>
    <w:rsid w:val="3D6267D9"/>
    <w:rsid w:val="3D9F7A2D"/>
    <w:rsid w:val="3DA46DF1"/>
    <w:rsid w:val="3E171CB9"/>
    <w:rsid w:val="3E4B3711"/>
    <w:rsid w:val="3E554590"/>
    <w:rsid w:val="3E594080"/>
    <w:rsid w:val="3E8E35FE"/>
    <w:rsid w:val="3EEA2F2A"/>
    <w:rsid w:val="3EF01E9A"/>
    <w:rsid w:val="3F012022"/>
    <w:rsid w:val="3F1B5886"/>
    <w:rsid w:val="3F281CA4"/>
    <w:rsid w:val="3F577E93"/>
    <w:rsid w:val="3F5B5BD6"/>
    <w:rsid w:val="3F93711E"/>
    <w:rsid w:val="3FE756BB"/>
    <w:rsid w:val="3FEC0F24"/>
    <w:rsid w:val="3FEE1F9E"/>
    <w:rsid w:val="3FF83425"/>
    <w:rsid w:val="409F1AF2"/>
    <w:rsid w:val="40BC6B48"/>
    <w:rsid w:val="40C652D1"/>
    <w:rsid w:val="40E439A9"/>
    <w:rsid w:val="40FC0CF2"/>
    <w:rsid w:val="412169AB"/>
    <w:rsid w:val="412D70FE"/>
    <w:rsid w:val="4162324B"/>
    <w:rsid w:val="419657C6"/>
    <w:rsid w:val="41E240EC"/>
    <w:rsid w:val="41E579D9"/>
    <w:rsid w:val="4202058A"/>
    <w:rsid w:val="421502BE"/>
    <w:rsid w:val="42CB6BCE"/>
    <w:rsid w:val="43140575"/>
    <w:rsid w:val="431A1904"/>
    <w:rsid w:val="43364990"/>
    <w:rsid w:val="43544E16"/>
    <w:rsid w:val="43664B49"/>
    <w:rsid w:val="43805C0B"/>
    <w:rsid w:val="438751EB"/>
    <w:rsid w:val="439D56D9"/>
    <w:rsid w:val="43BB6C43"/>
    <w:rsid w:val="43DD7542"/>
    <w:rsid w:val="43FB34E3"/>
    <w:rsid w:val="44136A7F"/>
    <w:rsid w:val="441F5424"/>
    <w:rsid w:val="443D1D4E"/>
    <w:rsid w:val="445552E9"/>
    <w:rsid w:val="44B6565C"/>
    <w:rsid w:val="44BD4C3D"/>
    <w:rsid w:val="45350C77"/>
    <w:rsid w:val="45356EC9"/>
    <w:rsid w:val="45464C32"/>
    <w:rsid w:val="455C26A8"/>
    <w:rsid w:val="45723C79"/>
    <w:rsid w:val="45A44BF4"/>
    <w:rsid w:val="45B778DE"/>
    <w:rsid w:val="462D2033"/>
    <w:rsid w:val="465F5FAB"/>
    <w:rsid w:val="46911EDD"/>
    <w:rsid w:val="46A240EA"/>
    <w:rsid w:val="46B2185A"/>
    <w:rsid w:val="46BF4C9C"/>
    <w:rsid w:val="46FD57C4"/>
    <w:rsid w:val="474D4CD3"/>
    <w:rsid w:val="47743CD8"/>
    <w:rsid w:val="47926BA7"/>
    <w:rsid w:val="479A77CF"/>
    <w:rsid w:val="479E2B03"/>
    <w:rsid w:val="47E04ECA"/>
    <w:rsid w:val="47E15CDC"/>
    <w:rsid w:val="47E81FD1"/>
    <w:rsid w:val="47EA3F9B"/>
    <w:rsid w:val="47EC7D13"/>
    <w:rsid w:val="47F646ED"/>
    <w:rsid w:val="482D21D7"/>
    <w:rsid w:val="483B47F6"/>
    <w:rsid w:val="48B00D40"/>
    <w:rsid w:val="48B06F92"/>
    <w:rsid w:val="490D5F18"/>
    <w:rsid w:val="49417AB2"/>
    <w:rsid w:val="49425FC8"/>
    <w:rsid w:val="49580C92"/>
    <w:rsid w:val="49900B72"/>
    <w:rsid w:val="49F17862"/>
    <w:rsid w:val="49F64E79"/>
    <w:rsid w:val="49FC3B12"/>
    <w:rsid w:val="49FD6207"/>
    <w:rsid w:val="4A003601"/>
    <w:rsid w:val="4A0F5F3A"/>
    <w:rsid w:val="4A635BBB"/>
    <w:rsid w:val="4AB443EC"/>
    <w:rsid w:val="4AE01685"/>
    <w:rsid w:val="4AE0508A"/>
    <w:rsid w:val="4B126C9B"/>
    <w:rsid w:val="4B1732F9"/>
    <w:rsid w:val="4B180E1F"/>
    <w:rsid w:val="4B9A1834"/>
    <w:rsid w:val="4BAD5A0B"/>
    <w:rsid w:val="4BC93EC7"/>
    <w:rsid w:val="4BD63C1A"/>
    <w:rsid w:val="4C2B6930"/>
    <w:rsid w:val="4C461C58"/>
    <w:rsid w:val="4C5D02E9"/>
    <w:rsid w:val="4CB15087"/>
    <w:rsid w:val="4CB66B41"/>
    <w:rsid w:val="4CEC2563"/>
    <w:rsid w:val="4CF66F3E"/>
    <w:rsid w:val="4CFA4C80"/>
    <w:rsid w:val="4CFD651E"/>
    <w:rsid w:val="4D156923"/>
    <w:rsid w:val="4D243AAB"/>
    <w:rsid w:val="4D491763"/>
    <w:rsid w:val="4DC25072"/>
    <w:rsid w:val="4DD54DA5"/>
    <w:rsid w:val="4DDC25D7"/>
    <w:rsid w:val="4DED6593"/>
    <w:rsid w:val="4E2A3343"/>
    <w:rsid w:val="4E2D4BE1"/>
    <w:rsid w:val="4E4B32B9"/>
    <w:rsid w:val="4E8F31A6"/>
    <w:rsid w:val="4E984750"/>
    <w:rsid w:val="4E9B1B4B"/>
    <w:rsid w:val="4EA824BA"/>
    <w:rsid w:val="4ECA0682"/>
    <w:rsid w:val="4ED27537"/>
    <w:rsid w:val="4F3A5808"/>
    <w:rsid w:val="4FC155E1"/>
    <w:rsid w:val="4FC275AB"/>
    <w:rsid w:val="4FD277EE"/>
    <w:rsid w:val="4FE237A9"/>
    <w:rsid w:val="50020EB3"/>
    <w:rsid w:val="50146059"/>
    <w:rsid w:val="5039102D"/>
    <w:rsid w:val="507408A5"/>
    <w:rsid w:val="5080549C"/>
    <w:rsid w:val="50CC6933"/>
    <w:rsid w:val="50E84DEF"/>
    <w:rsid w:val="50EF617E"/>
    <w:rsid w:val="51087240"/>
    <w:rsid w:val="512C2F2E"/>
    <w:rsid w:val="515F50F1"/>
    <w:rsid w:val="51730B5D"/>
    <w:rsid w:val="51C92E73"/>
    <w:rsid w:val="51E63D50"/>
    <w:rsid w:val="51ED6B61"/>
    <w:rsid w:val="51F021AD"/>
    <w:rsid w:val="51F36142"/>
    <w:rsid w:val="52302EF2"/>
    <w:rsid w:val="523A167B"/>
    <w:rsid w:val="5258781D"/>
    <w:rsid w:val="526D7CA2"/>
    <w:rsid w:val="527B23BF"/>
    <w:rsid w:val="529C40E3"/>
    <w:rsid w:val="52A03BD4"/>
    <w:rsid w:val="52B70F1D"/>
    <w:rsid w:val="52BC05F8"/>
    <w:rsid w:val="52C92E63"/>
    <w:rsid w:val="52FE6B4C"/>
    <w:rsid w:val="53057EDB"/>
    <w:rsid w:val="5358625C"/>
    <w:rsid w:val="537D4351"/>
    <w:rsid w:val="539B083F"/>
    <w:rsid w:val="53E144A4"/>
    <w:rsid w:val="54212AF2"/>
    <w:rsid w:val="54330A77"/>
    <w:rsid w:val="54332825"/>
    <w:rsid w:val="543C792C"/>
    <w:rsid w:val="544467E1"/>
    <w:rsid w:val="544B2D16"/>
    <w:rsid w:val="54596730"/>
    <w:rsid w:val="545F7ABE"/>
    <w:rsid w:val="54BF230B"/>
    <w:rsid w:val="54C0055D"/>
    <w:rsid w:val="554271C4"/>
    <w:rsid w:val="55551A24"/>
    <w:rsid w:val="556C4241"/>
    <w:rsid w:val="5583158B"/>
    <w:rsid w:val="561B7A15"/>
    <w:rsid w:val="56995ED8"/>
    <w:rsid w:val="56AD4B11"/>
    <w:rsid w:val="56B45E9F"/>
    <w:rsid w:val="56F97D56"/>
    <w:rsid w:val="57081D47"/>
    <w:rsid w:val="57607DD5"/>
    <w:rsid w:val="579E08FE"/>
    <w:rsid w:val="57AC64AD"/>
    <w:rsid w:val="57FD3876"/>
    <w:rsid w:val="580C1D0B"/>
    <w:rsid w:val="584D65AC"/>
    <w:rsid w:val="58613E05"/>
    <w:rsid w:val="5875340D"/>
    <w:rsid w:val="589715D5"/>
    <w:rsid w:val="58A57A97"/>
    <w:rsid w:val="58A67A6A"/>
    <w:rsid w:val="59012EF2"/>
    <w:rsid w:val="592F3F03"/>
    <w:rsid w:val="593F3A1A"/>
    <w:rsid w:val="596A6CE9"/>
    <w:rsid w:val="59837DAB"/>
    <w:rsid w:val="599B6EA3"/>
    <w:rsid w:val="59A5449A"/>
    <w:rsid w:val="59A91200"/>
    <w:rsid w:val="59E56370"/>
    <w:rsid w:val="59E940B2"/>
    <w:rsid w:val="5A1B03CB"/>
    <w:rsid w:val="5A3410A5"/>
    <w:rsid w:val="5A6000EC"/>
    <w:rsid w:val="5A791E41"/>
    <w:rsid w:val="5A851901"/>
    <w:rsid w:val="5AC24903"/>
    <w:rsid w:val="5AD36B10"/>
    <w:rsid w:val="5AD54636"/>
    <w:rsid w:val="5B421B79"/>
    <w:rsid w:val="5B5501E1"/>
    <w:rsid w:val="5B5714EF"/>
    <w:rsid w:val="5B871DD5"/>
    <w:rsid w:val="5BBB1A7E"/>
    <w:rsid w:val="5BBB7CD0"/>
    <w:rsid w:val="5BCC3C8B"/>
    <w:rsid w:val="5BF136F2"/>
    <w:rsid w:val="5C0351D3"/>
    <w:rsid w:val="5C084598"/>
    <w:rsid w:val="5C090A3C"/>
    <w:rsid w:val="5C2A2760"/>
    <w:rsid w:val="5C3F445D"/>
    <w:rsid w:val="5C737D4C"/>
    <w:rsid w:val="5C8A31FF"/>
    <w:rsid w:val="5CB62246"/>
    <w:rsid w:val="5CD5091E"/>
    <w:rsid w:val="5D1C654D"/>
    <w:rsid w:val="5D245401"/>
    <w:rsid w:val="5D494E68"/>
    <w:rsid w:val="5D543F38"/>
    <w:rsid w:val="5D6677C8"/>
    <w:rsid w:val="5D7E2D63"/>
    <w:rsid w:val="5DB524FD"/>
    <w:rsid w:val="5DF11787"/>
    <w:rsid w:val="5E015742"/>
    <w:rsid w:val="5E587A58"/>
    <w:rsid w:val="5E800D5D"/>
    <w:rsid w:val="5EBB7FE7"/>
    <w:rsid w:val="5ED35331"/>
    <w:rsid w:val="5EFA3637"/>
    <w:rsid w:val="5F3202A9"/>
    <w:rsid w:val="5F3C169A"/>
    <w:rsid w:val="5F506981"/>
    <w:rsid w:val="5F9A5E4E"/>
    <w:rsid w:val="5FAC4371"/>
    <w:rsid w:val="5FB23198"/>
    <w:rsid w:val="5FD73541"/>
    <w:rsid w:val="5FEA2932"/>
    <w:rsid w:val="60003F04"/>
    <w:rsid w:val="605B3830"/>
    <w:rsid w:val="60A2320D"/>
    <w:rsid w:val="60C413D5"/>
    <w:rsid w:val="60F666DC"/>
    <w:rsid w:val="610C68D8"/>
    <w:rsid w:val="612B4FB0"/>
    <w:rsid w:val="619863BE"/>
    <w:rsid w:val="61D27B22"/>
    <w:rsid w:val="6220263B"/>
    <w:rsid w:val="62264E47"/>
    <w:rsid w:val="624D53FA"/>
    <w:rsid w:val="625B7B17"/>
    <w:rsid w:val="628E19B7"/>
    <w:rsid w:val="62A20A8F"/>
    <w:rsid w:val="62A212A2"/>
    <w:rsid w:val="62AD1832"/>
    <w:rsid w:val="63093EC6"/>
    <w:rsid w:val="630E4B89"/>
    <w:rsid w:val="632E2CF2"/>
    <w:rsid w:val="633839B4"/>
    <w:rsid w:val="633E16D1"/>
    <w:rsid w:val="634265E1"/>
    <w:rsid w:val="63554566"/>
    <w:rsid w:val="637349EC"/>
    <w:rsid w:val="63750765"/>
    <w:rsid w:val="637D587F"/>
    <w:rsid w:val="638B6115"/>
    <w:rsid w:val="638D6FD2"/>
    <w:rsid w:val="63C17E4E"/>
    <w:rsid w:val="63CB6648"/>
    <w:rsid w:val="63DE4DA1"/>
    <w:rsid w:val="63FE4BFE"/>
    <w:rsid w:val="6401024A"/>
    <w:rsid w:val="641174AF"/>
    <w:rsid w:val="642D7291"/>
    <w:rsid w:val="64370110"/>
    <w:rsid w:val="645667E8"/>
    <w:rsid w:val="647D6440"/>
    <w:rsid w:val="6481138B"/>
    <w:rsid w:val="64813139"/>
    <w:rsid w:val="64942E6C"/>
    <w:rsid w:val="64A73F28"/>
    <w:rsid w:val="64D140C0"/>
    <w:rsid w:val="651B358E"/>
    <w:rsid w:val="654A79CF"/>
    <w:rsid w:val="657D5FF6"/>
    <w:rsid w:val="65F00576"/>
    <w:rsid w:val="660D737A"/>
    <w:rsid w:val="66391F1D"/>
    <w:rsid w:val="663A5C95"/>
    <w:rsid w:val="66707909"/>
    <w:rsid w:val="667411A7"/>
    <w:rsid w:val="669C3345"/>
    <w:rsid w:val="669F3FD1"/>
    <w:rsid w:val="67006EDF"/>
    <w:rsid w:val="670D5158"/>
    <w:rsid w:val="671653FB"/>
    <w:rsid w:val="671E7365"/>
    <w:rsid w:val="674279F3"/>
    <w:rsid w:val="6759214B"/>
    <w:rsid w:val="676236F6"/>
    <w:rsid w:val="678A0424"/>
    <w:rsid w:val="67902011"/>
    <w:rsid w:val="67B152A0"/>
    <w:rsid w:val="67BA52E0"/>
    <w:rsid w:val="67BD092C"/>
    <w:rsid w:val="67D0065F"/>
    <w:rsid w:val="67EE4F89"/>
    <w:rsid w:val="67F0485E"/>
    <w:rsid w:val="67FD51CC"/>
    <w:rsid w:val="68012F0F"/>
    <w:rsid w:val="68464DC5"/>
    <w:rsid w:val="684D3A5E"/>
    <w:rsid w:val="686139AD"/>
    <w:rsid w:val="686E1C26"/>
    <w:rsid w:val="6894168D"/>
    <w:rsid w:val="68AB73D1"/>
    <w:rsid w:val="691E53FA"/>
    <w:rsid w:val="69232A11"/>
    <w:rsid w:val="69320EA6"/>
    <w:rsid w:val="696E6382"/>
    <w:rsid w:val="69B43F3E"/>
    <w:rsid w:val="69B76B81"/>
    <w:rsid w:val="69B95123"/>
    <w:rsid w:val="69DD7064"/>
    <w:rsid w:val="6A1011E7"/>
    <w:rsid w:val="6A470981"/>
    <w:rsid w:val="6A507835"/>
    <w:rsid w:val="6A7F0603"/>
    <w:rsid w:val="6A841BD5"/>
    <w:rsid w:val="6ABF49BB"/>
    <w:rsid w:val="6AD00976"/>
    <w:rsid w:val="6AF428B7"/>
    <w:rsid w:val="6B1C5E1B"/>
    <w:rsid w:val="6B3B04E6"/>
    <w:rsid w:val="6B43739A"/>
    <w:rsid w:val="6B985938"/>
    <w:rsid w:val="6BBA08DD"/>
    <w:rsid w:val="6BBE4C73"/>
    <w:rsid w:val="6C0B610A"/>
    <w:rsid w:val="6C186A79"/>
    <w:rsid w:val="6C2076DB"/>
    <w:rsid w:val="6C296590"/>
    <w:rsid w:val="6C2C7E2E"/>
    <w:rsid w:val="6C353187"/>
    <w:rsid w:val="6C46419A"/>
    <w:rsid w:val="6C5F0204"/>
    <w:rsid w:val="6CB01E6B"/>
    <w:rsid w:val="6CEF77DA"/>
    <w:rsid w:val="6D9B526C"/>
    <w:rsid w:val="6DEC5AC7"/>
    <w:rsid w:val="6E1B63AC"/>
    <w:rsid w:val="6E225144"/>
    <w:rsid w:val="6E470F4F"/>
    <w:rsid w:val="6E5F44EB"/>
    <w:rsid w:val="6E663ACB"/>
    <w:rsid w:val="6E66587A"/>
    <w:rsid w:val="6EA14B04"/>
    <w:rsid w:val="6EA97E5C"/>
    <w:rsid w:val="6EAA2897"/>
    <w:rsid w:val="6F06705D"/>
    <w:rsid w:val="6F2968A7"/>
    <w:rsid w:val="6F413BF1"/>
    <w:rsid w:val="6F490CF7"/>
    <w:rsid w:val="6F595A6E"/>
    <w:rsid w:val="6F6049BF"/>
    <w:rsid w:val="6F71097A"/>
    <w:rsid w:val="6F76453C"/>
    <w:rsid w:val="6F905A02"/>
    <w:rsid w:val="6FBA17DD"/>
    <w:rsid w:val="6FF54E5D"/>
    <w:rsid w:val="7003534A"/>
    <w:rsid w:val="7007308C"/>
    <w:rsid w:val="70074E3A"/>
    <w:rsid w:val="7065330B"/>
    <w:rsid w:val="706C1141"/>
    <w:rsid w:val="70B328CC"/>
    <w:rsid w:val="70F57389"/>
    <w:rsid w:val="714D4ACF"/>
    <w:rsid w:val="71662034"/>
    <w:rsid w:val="71950224"/>
    <w:rsid w:val="71B72167"/>
    <w:rsid w:val="71BC7755"/>
    <w:rsid w:val="71D64AC4"/>
    <w:rsid w:val="71E116BB"/>
    <w:rsid w:val="71EC5676"/>
    <w:rsid w:val="72273572"/>
    <w:rsid w:val="72386763"/>
    <w:rsid w:val="727D3192"/>
    <w:rsid w:val="72C27CAA"/>
    <w:rsid w:val="72E2393D"/>
    <w:rsid w:val="72EB27F1"/>
    <w:rsid w:val="72EE5E3E"/>
    <w:rsid w:val="72F94554"/>
    <w:rsid w:val="73610D05"/>
    <w:rsid w:val="73AD3F4B"/>
    <w:rsid w:val="740A6CA7"/>
    <w:rsid w:val="740F0761"/>
    <w:rsid w:val="74327AC4"/>
    <w:rsid w:val="744A79EB"/>
    <w:rsid w:val="74566390"/>
    <w:rsid w:val="745A5E80"/>
    <w:rsid w:val="746A5998"/>
    <w:rsid w:val="748C0004"/>
    <w:rsid w:val="7496678D"/>
    <w:rsid w:val="74B03CF2"/>
    <w:rsid w:val="74CB28DA"/>
    <w:rsid w:val="74E03EAC"/>
    <w:rsid w:val="74E667A5"/>
    <w:rsid w:val="74F040EF"/>
    <w:rsid w:val="74F6722B"/>
    <w:rsid w:val="75340B69"/>
    <w:rsid w:val="755503F6"/>
    <w:rsid w:val="758B206A"/>
    <w:rsid w:val="759C7DD3"/>
    <w:rsid w:val="75BB6460"/>
    <w:rsid w:val="75CF01A8"/>
    <w:rsid w:val="760342F6"/>
    <w:rsid w:val="763149BF"/>
    <w:rsid w:val="763B75EC"/>
    <w:rsid w:val="76452218"/>
    <w:rsid w:val="76732FE1"/>
    <w:rsid w:val="769B2433"/>
    <w:rsid w:val="769B62DC"/>
    <w:rsid w:val="76A96C4B"/>
    <w:rsid w:val="76CC46E8"/>
    <w:rsid w:val="76D31F1A"/>
    <w:rsid w:val="76E557A9"/>
    <w:rsid w:val="770C0F88"/>
    <w:rsid w:val="77222800"/>
    <w:rsid w:val="77244524"/>
    <w:rsid w:val="77302EC9"/>
    <w:rsid w:val="77463282"/>
    <w:rsid w:val="775A02C6"/>
    <w:rsid w:val="775C51CD"/>
    <w:rsid w:val="779D7E32"/>
    <w:rsid w:val="77AD4519"/>
    <w:rsid w:val="77B5517C"/>
    <w:rsid w:val="77C05E60"/>
    <w:rsid w:val="77D01FB6"/>
    <w:rsid w:val="78177BE5"/>
    <w:rsid w:val="782D11B6"/>
    <w:rsid w:val="78300CA6"/>
    <w:rsid w:val="78462278"/>
    <w:rsid w:val="78921120"/>
    <w:rsid w:val="78964FAD"/>
    <w:rsid w:val="78992CEF"/>
    <w:rsid w:val="78DF4BA6"/>
    <w:rsid w:val="78EF0B61"/>
    <w:rsid w:val="790C526F"/>
    <w:rsid w:val="793F73F3"/>
    <w:rsid w:val="79BC6C95"/>
    <w:rsid w:val="79C1605A"/>
    <w:rsid w:val="79C63670"/>
    <w:rsid w:val="7A0F66B3"/>
    <w:rsid w:val="7A253BF5"/>
    <w:rsid w:val="7A320D06"/>
    <w:rsid w:val="7A3A405E"/>
    <w:rsid w:val="7A74131E"/>
    <w:rsid w:val="7AA240DD"/>
    <w:rsid w:val="7AC2652D"/>
    <w:rsid w:val="7AD65B35"/>
    <w:rsid w:val="7B256ABC"/>
    <w:rsid w:val="7B2A7C2F"/>
    <w:rsid w:val="7B3F7903"/>
    <w:rsid w:val="7B454A69"/>
    <w:rsid w:val="7B5A6766"/>
    <w:rsid w:val="7BBA5457"/>
    <w:rsid w:val="7BD76009"/>
    <w:rsid w:val="7C3F770A"/>
    <w:rsid w:val="7C490589"/>
    <w:rsid w:val="7C6B49A3"/>
    <w:rsid w:val="7C833A9B"/>
    <w:rsid w:val="7C835FAA"/>
    <w:rsid w:val="7C865339"/>
    <w:rsid w:val="7C8810B1"/>
    <w:rsid w:val="7D23702C"/>
    <w:rsid w:val="7D3354C1"/>
    <w:rsid w:val="7D733B0F"/>
    <w:rsid w:val="7D800A65"/>
    <w:rsid w:val="7D983576"/>
    <w:rsid w:val="7DA97531"/>
    <w:rsid w:val="7DC723EC"/>
    <w:rsid w:val="7DD65E4C"/>
    <w:rsid w:val="7E182127"/>
    <w:rsid w:val="7E1846B6"/>
    <w:rsid w:val="7E1F77F3"/>
    <w:rsid w:val="7E631DD5"/>
    <w:rsid w:val="7E682F48"/>
    <w:rsid w:val="7E8458A8"/>
    <w:rsid w:val="7E861620"/>
    <w:rsid w:val="7E9A331D"/>
    <w:rsid w:val="7EDB5E10"/>
    <w:rsid w:val="7F466367"/>
    <w:rsid w:val="7F5434CC"/>
    <w:rsid w:val="7F6F47AA"/>
    <w:rsid w:val="7F842003"/>
    <w:rsid w:val="7FDD34C2"/>
    <w:rsid w:val="7FEA3E31"/>
    <w:rsid w:val="7FF802FC"/>
    <w:rsid w:val="7FFD59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autoRedefine/>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autoRedefine/>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autoRedefine/>
    <w:semiHidden/>
    <w:qFormat/>
    <w:uiPriority w:val="0"/>
  </w:style>
  <w:style w:type="table" w:default="1" w:styleId="9">
    <w:name w:val="Normal Table"/>
    <w:autoRedefine/>
    <w:semiHidden/>
    <w:qFormat/>
    <w:uiPriority w:val="0"/>
    <w:tblPr>
      <w:tblCellMar>
        <w:top w:w="0" w:type="dxa"/>
        <w:left w:w="108" w:type="dxa"/>
        <w:bottom w:w="0" w:type="dxa"/>
        <w:right w:w="108" w:type="dxa"/>
      </w:tblCellMar>
    </w:tblPr>
  </w:style>
  <w:style w:type="paragraph" w:styleId="4">
    <w:name w:val="footer"/>
    <w:basedOn w:val="1"/>
    <w:autoRedefine/>
    <w:qFormat/>
    <w:uiPriority w:val="0"/>
    <w:pPr>
      <w:tabs>
        <w:tab w:val="center" w:pos="4153"/>
        <w:tab w:val="right" w:pos="8306"/>
      </w:tabs>
      <w:snapToGrid w:val="0"/>
      <w:jc w:val="left"/>
    </w:pPr>
    <w:rPr>
      <w:sz w:val="18"/>
    </w:rPr>
  </w:style>
  <w:style w:type="paragraph" w:styleId="5">
    <w:name w:val="header"/>
    <w:basedOn w:val="1"/>
    <w:autoRedefine/>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Normal (Web)"/>
    <w:basedOn w:val="1"/>
    <w:uiPriority w:val="0"/>
    <w:pPr>
      <w:spacing w:before="0" w:beforeAutospacing="1" w:after="0" w:afterAutospacing="1"/>
      <w:ind w:left="0" w:right="0"/>
      <w:jc w:val="left"/>
    </w:pPr>
    <w:rPr>
      <w:kern w:val="0"/>
      <w:sz w:val="24"/>
      <w:lang w:val="en-US" w:eastAsia="zh-CN" w:bidi="ar"/>
    </w:rPr>
  </w:style>
  <w:style w:type="character" w:styleId="11">
    <w:name w:val="Hyperlink"/>
    <w:basedOn w:val="10"/>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1" Type="http://schemas.openxmlformats.org/officeDocument/2006/relationships/fontTable" Target="fontTable.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34</Pages>
  <Words>0</Words>
  <Characters>0</Characters>
  <Lines>0</Lines>
  <Paragraphs>0</Paragraphs>
  <TotalTime>5</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2024-05-04T08:37:00Z</dcterms:created>
  <dc:creator>MeiFeng</dc:creator>
  <cp:lastModifiedBy>凤</cp:lastModifiedBy>
  <dcterms:modified xsi:type="dcterms:W3CDTF">2024-05-10T22:41:40Z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7AB5F03CFC7A4D0DBABA13F76CF7B3C8_12</vt:lpwstr>
  </property>
</Properties>
</file>