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5F29A" w14:textId="191BCC25" w:rsidR="00C768F3" w:rsidRPr="00487CD7" w:rsidRDefault="002F0637" w:rsidP="00C768F3">
      <w:pPr>
        <w:spacing w:after="0" w:line="240" w:lineRule="auto"/>
        <w:rPr>
          <w:rFonts w:eastAsia="Times New Roman" w:cs="Times New Roman"/>
          <w:szCs w:val="24"/>
        </w:rPr>
      </w:pPr>
      <w:r>
        <w:rPr>
          <w:rFonts w:eastAsia="Times New Roman" w:cs="Times New Roman"/>
          <w:szCs w:val="24"/>
        </w:rPr>
        <w:t xml:space="preserve">                                                    </w:t>
      </w:r>
      <w:r w:rsidR="00C768F3" w:rsidRPr="00487CD7">
        <w:rPr>
          <w:rFonts w:ascii="Arial" w:eastAsia="Times New Roman" w:hAnsi="Arial" w:cs="Arial"/>
          <w:noProof/>
          <w:color w:val="000000"/>
          <w:sz w:val="22"/>
          <w:bdr w:val="none" w:sz="0" w:space="0" w:color="auto" w:frame="1"/>
        </w:rPr>
        <w:drawing>
          <wp:inline distT="0" distB="0" distL="0" distR="0" wp14:anchorId="20E7843E" wp14:editId="2A14F101">
            <wp:extent cx="2219225" cy="885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1746" cy="886831"/>
                    </a:xfrm>
                    <a:prstGeom prst="rect">
                      <a:avLst/>
                    </a:prstGeom>
                    <a:noFill/>
                    <a:ln>
                      <a:noFill/>
                    </a:ln>
                  </pic:spPr>
                </pic:pic>
              </a:graphicData>
            </a:graphic>
          </wp:inline>
        </w:drawing>
      </w:r>
    </w:p>
    <w:p w14:paraId="2F88DA2F" w14:textId="77777777" w:rsidR="00C768F3" w:rsidRPr="00487CD7" w:rsidRDefault="00C768F3" w:rsidP="00C768F3">
      <w:pPr>
        <w:spacing w:before="1110" w:after="0" w:line="240" w:lineRule="auto"/>
        <w:rPr>
          <w:rFonts w:eastAsia="Times New Roman" w:cs="Times New Roman"/>
          <w:szCs w:val="24"/>
        </w:rPr>
      </w:pPr>
      <w:r w:rsidRPr="00487CD7">
        <w:rPr>
          <w:rFonts w:ascii="Arial" w:eastAsia="Times New Roman" w:hAnsi="Arial" w:cs="Arial"/>
          <w:b/>
          <w:bCs/>
          <w:color w:val="000000"/>
          <w:sz w:val="28"/>
          <w:szCs w:val="28"/>
        </w:rPr>
        <w:t xml:space="preserve">APPENDIX </w:t>
      </w:r>
      <w:proofErr w:type="spellStart"/>
      <w:r w:rsidRPr="00487CD7">
        <w:rPr>
          <w:rFonts w:ascii="Arial" w:eastAsia="Times New Roman" w:hAnsi="Arial" w:cs="Arial"/>
          <w:b/>
          <w:bCs/>
          <w:color w:val="000000"/>
          <w:sz w:val="28"/>
          <w:szCs w:val="28"/>
          <w:shd w:val="clear" w:color="auto" w:fill="FFFF00"/>
        </w:rPr>
        <w:t>GAxx</w:t>
      </w:r>
      <w:proofErr w:type="spellEnd"/>
      <w:r w:rsidRPr="00487CD7">
        <w:rPr>
          <w:rFonts w:ascii="Arial" w:eastAsia="Times New Roman" w:hAnsi="Arial" w:cs="Arial"/>
          <w:b/>
          <w:bCs/>
          <w:color w:val="000000"/>
          <w:sz w:val="28"/>
          <w:szCs w:val="28"/>
          <w:shd w:val="clear" w:color="auto" w:fill="FFFF00"/>
        </w:rPr>
        <w:br/>
      </w:r>
    </w:p>
    <w:p w14:paraId="3027078E" w14:textId="77777777" w:rsidR="00C768F3" w:rsidRPr="00487CD7" w:rsidRDefault="00C768F3" w:rsidP="00C768F3">
      <w:pPr>
        <w:spacing w:after="0" w:line="240" w:lineRule="auto"/>
        <w:rPr>
          <w:rFonts w:eastAsia="Times New Roman" w:cs="Times New Roman"/>
          <w:szCs w:val="24"/>
        </w:rPr>
      </w:pPr>
    </w:p>
    <w:tbl>
      <w:tblPr>
        <w:tblW w:w="9394" w:type="dxa"/>
        <w:tblCellMar>
          <w:top w:w="15" w:type="dxa"/>
          <w:left w:w="15" w:type="dxa"/>
          <w:bottom w:w="15" w:type="dxa"/>
          <w:right w:w="15" w:type="dxa"/>
        </w:tblCellMar>
        <w:tblLook w:val="04A0" w:firstRow="1" w:lastRow="0" w:firstColumn="1" w:lastColumn="0" w:noHBand="0" w:noVBand="1"/>
      </w:tblPr>
      <w:tblGrid>
        <w:gridCol w:w="9394"/>
      </w:tblGrid>
      <w:tr w:rsidR="00C768F3" w:rsidRPr="00487CD7" w14:paraId="5CA38103" w14:textId="77777777" w:rsidTr="002F0637">
        <w:trPr>
          <w:trHeight w:val="94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599B31" w14:textId="77777777" w:rsidR="00C768F3" w:rsidRPr="00487CD7" w:rsidRDefault="00C768F3" w:rsidP="00D73107">
            <w:pPr>
              <w:spacing w:after="0" w:line="240" w:lineRule="auto"/>
              <w:ind w:right="1003"/>
              <w:jc w:val="right"/>
              <w:rPr>
                <w:rFonts w:eastAsia="Times New Roman" w:cs="Times New Roman"/>
                <w:szCs w:val="24"/>
              </w:rPr>
            </w:pPr>
            <w:r w:rsidRPr="00487CD7">
              <w:rPr>
                <w:rFonts w:ascii="Arial" w:eastAsia="Times New Roman" w:hAnsi="Arial" w:cs="Arial"/>
                <w:b/>
                <w:bCs/>
                <w:color w:val="000000"/>
                <w:sz w:val="40"/>
                <w:szCs w:val="40"/>
              </w:rPr>
              <w:t>LEVEL 5 ASSESSMENT SPECIFICATION </w:t>
            </w:r>
          </w:p>
        </w:tc>
      </w:tr>
    </w:tbl>
    <w:p w14:paraId="0799449B" w14:textId="77777777" w:rsidR="00C768F3" w:rsidRPr="00487CD7" w:rsidRDefault="00C768F3" w:rsidP="00C768F3">
      <w:pPr>
        <w:spacing w:after="240" w:line="240" w:lineRule="auto"/>
        <w:rPr>
          <w:rFonts w:eastAsia="Times New Roman" w:cs="Times New Roman"/>
          <w:szCs w:val="24"/>
        </w:rPr>
      </w:pPr>
    </w:p>
    <w:tbl>
      <w:tblPr>
        <w:tblW w:w="0" w:type="auto"/>
        <w:tblCellMar>
          <w:top w:w="15" w:type="dxa"/>
          <w:left w:w="15" w:type="dxa"/>
          <w:bottom w:w="15" w:type="dxa"/>
          <w:right w:w="15" w:type="dxa"/>
        </w:tblCellMar>
        <w:tblLook w:val="04A0" w:firstRow="1" w:lastRow="0" w:firstColumn="1" w:lastColumn="0" w:noHBand="0" w:noVBand="1"/>
      </w:tblPr>
      <w:tblGrid>
        <w:gridCol w:w="1816"/>
        <w:gridCol w:w="2061"/>
        <w:gridCol w:w="3293"/>
        <w:gridCol w:w="2170"/>
      </w:tblGrid>
      <w:tr w:rsidR="00C768F3" w:rsidRPr="00487CD7" w14:paraId="7CEB991B" w14:textId="77777777" w:rsidTr="00D73107">
        <w:trPr>
          <w:trHeight w:val="50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E9B318" w14:textId="77777777" w:rsidR="00C768F3" w:rsidRPr="00487CD7" w:rsidRDefault="00C768F3" w:rsidP="00D73107">
            <w:pPr>
              <w:spacing w:after="0" w:line="240" w:lineRule="auto"/>
              <w:ind w:left="118"/>
              <w:rPr>
                <w:rFonts w:eastAsia="Times New Roman" w:cs="Times New Roman"/>
                <w:szCs w:val="24"/>
              </w:rPr>
            </w:pPr>
            <w:r w:rsidRPr="00487CD7">
              <w:rPr>
                <w:rFonts w:ascii="Arial" w:eastAsia="Times New Roman" w:hAnsi="Arial" w:cs="Arial"/>
                <w:b/>
                <w:bCs/>
                <w:color w:val="000000"/>
                <w:sz w:val="22"/>
              </w:rPr>
              <w:t>Student name: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886FD2" w14:textId="4C4115CB" w:rsidR="00C768F3" w:rsidRPr="00487CD7" w:rsidRDefault="005147CF" w:rsidP="00D73107">
            <w:pPr>
              <w:spacing w:after="0" w:line="240" w:lineRule="auto"/>
              <w:rPr>
                <w:rFonts w:eastAsia="Times New Roman" w:cs="Times New Roman"/>
                <w:szCs w:val="24"/>
              </w:rPr>
            </w:pPr>
            <w:proofErr w:type="spellStart"/>
            <w:r>
              <w:rPr>
                <w:rFonts w:eastAsia="Times New Roman" w:cs="Times New Roman"/>
                <w:szCs w:val="24"/>
              </w:rPr>
              <w:t>Kazi</w:t>
            </w:r>
            <w:proofErr w:type="spellEnd"/>
            <w:r>
              <w:rPr>
                <w:rFonts w:eastAsia="Times New Roman" w:cs="Times New Roman"/>
                <w:szCs w:val="24"/>
              </w:rPr>
              <w:t xml:space="preserve"> Yousuf</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36856E" w14:textId="77777777" w:rsidR="00C768F3" w:rsidRPr="00487CD7" w:rsidRDefault="00C768F3" w:rsidP="00D73107">
            <w:pPr>
              <w:spacing w:after="0" w:line="240" w:lineRule="auto"/>
              <w:jc w:val="center"/>
              <w:rPr>
                <w:rFonts w:eastAsia="Times New Roman" w:cs="Times New Roman"/>
                <w:szCs w:val="24"/>
              </w:rPr>
            </w:pPr>
            <w:r w:rsidRPr="00487CD7">
              <w:rPr>
                <w:rFonts w:ascii="Arial" w:eastAsia="Times New Roman" w:hAnsi="Arial" w:cs="Arial"/>
                <w:b/>
                <w:bCs/>
                <w:color w:val="000000"/>
                <w:sz w:val="22"/>
              </w:rPr>
              <w:t>Student ID number:</w:t>
            </w:r>
          </w:p>
        </w:tc>
        <w:tc>
          <w:tcPr>
            <w:tcW w:w="2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A9CB5E" w14:textId="0E984F80" w:rsidR="00C768F3" w:rsidRPr="00487CD7" w:rsidRDefault="002F0637" w:rsidP="00D73107">
            <w:pPr>
              <w:spacing w:after="0" w:line="240" w:lineRule="auto"/>
              <w:rPr>
                <w:rFonts w:eastAsia="Times New Roman" w:cs="Times New Roman"/>
                <w:szCs w:val="24"/>
              </w:rPr>
            </w:pPr>
            <w:r>
              <w:rPr>
                <w:rFonts w:eastAsia="Times New Roman" w:cs="Times New Roman"/>
                <w:szCs w:val="24"/>
              </w:rPr>
              <w:t>1918744</w:t>
            </w:r>
          </w:p>
        </w:tc>
      </w:tr>
      <w:tr w:rsidR="00C768F3" w:rsidRPr="00487CD7" w14:paraId="3AFE9327" w14:textId="77777777" w:rsidTr="00D73107">
        <w:trPr>
          <w:trHeight w:val="5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5D9758" w14:textId="77777777" w:rsidR="00C768F3" w:rsidRPr="00487CD7" w:rsidRDefault="00C768F3" w:rsidP="00D73107">
            <w:pPr>
              <w:spacing w:after="0" w:line="240" w:lineRule="auto"/>
              <w:ind w:left="127"/>
              <w:rPr>
                <w:rFonts w:eastAsia="Times New Roman" w:cs="Times New Roman"/>
                <w:szCs w:val="24"/>
              </w:rPr>
            </w:pPr>
            <w:proofErr w:type="spellStart"/>
            <w:r w:rsidRPr="00487CD7">
              <w:rPr>
                <w:rFonts w:ascii="Arial" w:eastAsia="Times New Roman" w:hAnsi="Arial" w:cs="Arial"/>
                <w:b/>
                <w:bCs/>
                <w:color w:val="000000"/>
                <w:sz w:val="22"/>
              </w:rPr>
              <w:t>Programme</w:t>
            </w:r>
            <w:proofErr w:type="spellEnd"/>
            <w:r w:rsidRPr="00487CD7">
              <w:rPr>
                <w:rFonts w:ascii="Arial" w:eastAsia="Times New Roman" w:hAnsi="Arial" w:cs="Arial"/>
                <w:b/>
                <w:bCs/>
                <w:color w:val="000000"/>
                <w:sz w:val="22"/>
              </w:rPr>
              <w:t>: </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83F299" w14:textId="77777777" w:rsidR="00C768F3" w:rsidRPr="00487CD7" w:rsidRDefault="00C768F3" w:rsidP="00D73107">
            <w:pPr>
              <w:spacing w:after="0" w:line="240" w:lineRule="auto"/>
              <w:ind w:left="126"/>
              <w:rPr>
                <w:rFonts w:eastAsia="Times New Roman" w:cs="Times New Roman"/>
                <w:szCs w:val="24"/>
              </w:rPr>
            </w:pPr>
            <w:r w:rsidRPr="00487CD7">
              <w:rPr>
                <w:rFonts w:eastAsia="Times New Roman" w:cs="Calibri"/>
                <w:b/>
                <w:bCs/>
                <w:color w:val="000000"/>
                <w:sz w:val="22"/>
              </w:rPr>
              <w:t>BA SOTAH – International Hotel Management</w:t>
            </w:r>
          </w:p>
        </w:tc>
      </w:tr>
      <w:tr w:rsidR="00C768F3" w:rsidRPr="00487CD7" w14:paraId="0F5880CC" w14:textId="77777777" w:rsidTr="00D73107">
        <w:trPr>
          <w:trHeight w:val="5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600227" w14:textId="77777777" w:rsidR="00C768F3" w:rsidRPr="00487CD7" w:rsidRDefault="00C768F3" w:rsidP="00D73107">
            <w:pPr>
              <w:spacing w:after="0" w:line="240" w:lineRule="auto"/>
              <w:ind w:left="126"/>
              <w:rPr>
                <w:rFonts w:eastAsia="Times New Roman" w:cs="Times New Roman"/>
                <w:szCs w:val="24"/>
              </w:rPr>
            </w:pPr>
            <w:r w:rsidRPr="00487CD7">
              <w:rPr>
                <w:rFonts w:ascii="Arial" w:eastAsia="Times New Roman" w:hAnsi="Arial" w:cs="Arial"/>
                <w:b/>
                <w:bCs/>
                <w:color w:val="000000"/>
                <w:sz w:val="22"/>
              </w:rPr>
              <w:t>Module: </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3F7AD8" w14:textId="77777777" w:rsidR="00C768F3" w:rsidRPr="00487CD7" w:rsidRDefault="00C768F3" w:rsidP="00D73107">
            <w:pPr>
              <w:spacing w:after="0" w:line="240" w:lineRule="auto"/>
              <w:ind w:left="126"/>
              <w:rPr>
                <w:rFonts w:eastAsia="Times New Roman" w:cs="Times New Roman"/>
                <w:szCs w:val="24"/>
              </w:rPr>
            </w:pPr>
            <w:r w:rsidRPr="00487CD7">
              <w:rPr>
                <w:rFonts w:eastAsia="Times New Roman" w:cs="Calibri"/>
                <w:b/>
                <w:bCs/>
                <w:color w:val="000000"/>
                <w:sz w:val="22"/>
              </w:rPr>
              <w:t>Financial Management for the Hotel Industry</w:t>
            </w:r>
          </w:p>
        </w:tc>
      </w:tr>
      <w:tr w:rsidR="00C768F3" w:rsidRPr="00487CD7" w14:paraId="3DDCD306" w14:textId="77777777" w:rsidTr="00D73107">
        <w:trPr>
          <w:trHeight w:val="76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51BACB" w14:textId="77777777" w:rsidR="00C768F3" w:rsidRPr="00487CD7" w:rsidRDefault="00C768F3" w:rsidP="00D73107">
            <w:pPr>
              <w:spacing w:after="0" w:line="240" w:lineRule="auto"/>
              <w:ind w:left="126"/>
              <w:rPr>
                <w:rFonts w:eastAsia="Times New Roman" w:cs="Times New Roman"/>
                <w:szCs w:val="24"/>
              </w:rPr>
            </w:pPr>
            <w:r w:rsidRPr="00487CD7">
              <w:rPr>
                <w:rFonts w:ascii="Arial" w:eastAsia="Times New Roman" w:hAnsi="Arial" w:cs="Arial"/>
                <w:b/>
                <w:bCs/>
                <w:color w:val="000000"/>
                <w:sz w:val="22"/>
              </w:rPr>
              <w:t>Module code: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77EFC9" w14:textId="77777777" w:rsidR="00C768F3" w:rsidRPr="00487CD7" w:rsidRDefault="00C768F3" w:rsidP="00D73107">
            <w:pPr>
              <w:spacing w:after="0" w:line="240" w:lineRule="auto"/>
              <w:ind w:left="126"/>
              <w:rPr>
                <w:rFonts w:eastAsia="Times New Roman" w:cs="Times New Roman"/>
                <w:szCs w:val="24"/>
              </w:rPr>
            </w:pPr>
            <w:r w:rsidRPr="00487CD7">
              <w:rPr>
                <w:rFonts w:eastAsia="Times New Roman" w:cs="Calibri"/>
                <w:b/>
                <w:bCs/>
                <w:color w:val="000000"/>
                <w:sz w:val="22"/>
              </w:rPr>
              <w:t>BMIH5007 </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36DD64" w14:textId="77777777" w:rsidR="00C768F3" w:rsidRPr="00487CD7" w:rsidRDefault="00C768F3" w:rsidP="00D73107">
            <w:pPr>
              <w:spacing w:after="0" w:line="240" w:lineRule="auto"/>
              <w:ind w:left="110" w:right="41" w:firstLine="10"/>
              <w:rPr>
                <w:rFonts w:eastAsia="Times New Roman" w:cs="Times New Roman"/>
                <w:szCs w:val="24"/>
              </w:rPr>
            </w:pPr>
            <w:r w:rsidRPr="00487CD7">
              <w:rPr>
                <w:rFonts w:ascii="Arial" w:eastAsia="Times New Roman" w:hAnsi="Arial" w:cs="Arial"/>
                <w:b/>
                <w:bCs/>
                <w:color w:val="000000"/>
                <w:sz w:val="22"/>
                <w:shd w:val="clear" w:color="auto" w:fill="D9D9D9"/>
              </w:rPr>
              <w:t xml:space="preserve">Contribution to </w:t>
            </w:r>
            <w:r w:rsidRPr="00487CD7">
              <w:rPr>
                <w:rFonts w:ascii="Arial" w:eastAsia="Times New Roman" w:hAnsi="Arial" w:cs="Arial"/>
                <w:b/>
                <w:bCs/>
                <w:color w:val="000000"/>
                <w:sz w:val="22"/>
              </w:rPr>
              <w:t> </w:t>
            </w:r>
            <w:r w:rsidRPr="00487CD7">
              <w:rPr>
                <w:rFonts w:ascii="Arial" w:eastAsia="Times New Roman" w:hAnsi="Arial" w:cs="Arial"/>
                <w:b/>
                <w:bCs/>
                <w:color w:val="000000"/>
                <w:sz w:val="22"/>
                <w:shd w:val="clear" w:color="auto" w:fill="D9D9D9"/>
              </w:rPr>
              <w:t xml:space="preserve">Overall Module </w:t>
            </w:r>
            <w:r w:rsidRPr="00487CD7">
              <w:rPr>
                <w:rFonts w:ascii="Arial" w:eastAsia="Times New Roman" w:hAnsi="Arial" w:cs="Arial"/>
                <w:b/>
                <w:bCs/>
                <w:color w:val="000000"/>
                <w:sz w:val="22"/>
              </w:rPr>
              <w:t> </w:t>
            </w:r>
            <w:r w:rsidRPr="00487CD7">
              <w:rPr>
                <w:rFonts w:ascii="Arial" w:eastAsia="Times New Roman" w:hAnsi="Arial" w:cs="Arial"/>
                <w:b/>
                <w:bCs/>
                <w:color w:val="000000"/>
                <w:sz w:val="22"/>
                <w:shd w:val="clear" w:color="auto" w:fill="D9D9D9"/>
              </w:rPr>
              <w:t>Assessment (%):</w:t>
            </w:r>
          </w:p>
        </w:tc>
        <w:tc>
          <w:tcPr>
            <w:tcW w:w="2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D82A55" w14:textId="77777777" w:rsidR="00C768F3" w:rsidRPr="00487CD7" w:rsidRDefault="00C768F3" w:rsidP="00D73107">
            <w:pPr>
              <w:spacing w:after="0" w:line="240" w:lineRule="auto"/>
              <w:ind w:left="125"/>
              <w:rPr>
                <w:rFonts w:eastAsia="Times New Roman" w:cs="Times New Roman"/>
                <w:szCs w:val="24"/>
              </w:rPr>
            </w:pPr>
            <w:r w:rsidRPr="00487CD7">
              <w:rPr>
                <w:rFonts w:ascii="Arial" w:eastAsia="Times New Roman" w:hAnsi="Arial" w:cs="Arial"/>
                <w:b/>
                <w:bCs/>
                <w:color w:val="000000"/>
                <w:sz w:val="22"/>
              </w:rPr>
              <w:t>50%</w:t>
            </w:r>
          </w:p>
        </w:tc>
      </w:tr>
      <w:tr w:rsidR="00C768F3" w:rsidRPr="00487CD7" w14:paraId="58ABE5EC" w14:textId="77777777" w:rsidTr="00D73107">
        <w:trPr>
          <w:trHeight w:val="50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986658" w14:textId="77777777" w:rsidR="00C768F3" w:rsidRPr="00487CD7" w:rsidRDefault="00C768F3" w:rsidP="00D73107">
            <w:pPr>
              <w:spacing w:after="0" w:line="240" w:lineRule="auto"/>
              <w:ind w:left="127"/>
              <w:rPr>
                <w:rFonts w:eastAsia="Times New Roman" w:cs="Times New Roman"/>
                <w:szCs w:val="24"/>
              </w:rPr>
            </w:pPr>
            <w:r w:rsidRPr="00487CD7">
              <w:rPr>
                <w:rFonts w:ascii="Arial" w:eastAsia="Times New Roman" w:hAnsi="Arial" w:cs="Arial"/>
                <w:b/>
                <w:bCs/>
                <w:color w:val="000000"/>
                <w:sz w:val="22"/>
              </w:rPr>
              <w:t>Lecturer: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9B1DA8" w14:textId="77777777" w:rsidR="00C768F3" w:rsidRPr="00487CD7" w:rsidRDefault="00C768F3" w:rsidP="00D73107">
            <w:pPr>
              <w:spacing w:after="0" w:line="240" w:lineRule="auto"/>
              <w:ind w:left="126"/>
              <w:rPr>
                <w:rFonts w:eastAsia="Times New Roman" w:cs="Times New Roman"/>
                <w:szCs w:val="24"/>
              </w:rPr>
            </w:pPr>
            <w:r w:rsidRPr="00487CD7">
              <w:rPr>
                <w:rFonts w:ascii="Arial" w:eastAsia="Times New Roman" w:hAnsi="Arial" w:cs="Arial"/>
                <w:b/>
                <w:bCs/>
                <w:color w:val="000000"/>
                <w:sz w:val="22"/>
              </w:rPr>
              <w:t>Dale Clarke </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CD67C8" w14:textId="77777777" w:rsidR="00C768F3" w:rsidRPr="00487CD7" w:rsidRDefault="00C768F3" w:rsidP="00D73107">
            <w:pPr>
              <w:spacing w:after="0" w:line="240" w:lineRule="auto"/>
              <w:ind w:left="125"/>
              <w:rPr>
                <w:rFonts w:eastAsia="Times New Roman" w:cs="Times New Roman"/>
                <w:szCs w:val="24"/>
              </w:rPr>
            </w:pPr>
            <w:r w:rsidRPr="00487CD7">
              <w:rPr>
                <w:rFonts w:ascii="Arial" w:eastAsia="Times New Roman" w:hAnsi="Arial" w:cs="Arial"/>
                <w:b/>
                <w:bCs/>
                <w:color w:val="000000"/>
                <w:sz w:val="22"/>
              </w:rPr>
              <w:t>Internal Verifier: </w:t>
            </w:r>
          </w:p>
        </w:tc>
        <w:tc>
          <w:tcPr>
            <w:tcW w:w="2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1354E0" w14:textId="77777777" w:rsidR="00C768F3" w:rsidRPr="00487CD7" w:rsidRDefault="00C768F3" w:rsidP="00D73107">
            <w:pPr>
              <w:spacing w:after="0" w:line="240" w:lineRule="auto"/>
              <w:ind w:left="131"/>
              <w:rPr>
                <w:rFonts w:eastAsia="Times New Roman" w:cs="Times New Roman"/>
                <w:szCs w:val="24"/>
              </w:rPr>
            </w:pPr>
            <w:r w:rsidRPr="00487CD7">
              <w:rPr>
                <w:rFonts w:ascii="Arial" w:eastAsia="Times New Roman" w:hAnsi="Arial" w:cs="Arial"/>
                <w:b/>
                <w:bCs/>
                <w:color w:val="000000"/>
                <w:sz w:val="22"/>
              </w:rPr>
              <w:t>Emily Williams</w:t>
            </w:r>
          </w:p>
        </w:tc>
      </w:tr>
      <w:tr w:rsidR="00C768F3" w:rsidRPr="00487CD7" w14:paraId="350E6686" w14:textId="77777777" w:rsidTr="00D73107">
        <w:trPr>
          <w:trHeight w:val="75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A072B0" w14:textId="77777777" w:rsidR="00C768F3" w:rsidRPr="00487CD7" w:rsidRDefault="00C768F3" w:rsidP="00D73107">
            <w:pPr>
              <w:spacing w:after="0" w:line="240" w:lineRule="auto"/>
              <w:jc w:val="center"/>
              <w:rPr>
                <w:rFonts w:eastAsia="Times New Roman" w:cs="Times New Roman"/>
                <w:szCs w:val="24"/>
              </w:rPr>
            </w:pPr>
            <w:r w:rsidRPr="00487CD7">
              <w:rPr>
                <w:rFonts w:ascii="Arial" w:eastAsia="Times New Roman" w:hAnsi="Arial" w:cs="Arial"/>
                <w:b/>
                <w:bCs/>
                <w:color w:val="000000"/>
                <w:sz w:val="22"/>
              </w:rPr>
              <w:t>Assignment Title: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5CAF9E" w14:textId="77777777" w:rsidR="00C768F3" w:rsidRPr="00487CD7" w:rsidRDefault="00C768F3" w:rsidP="00D73107">
            <w:pPr>
              <w:spacing w:after="0" w:line="240" w:lineRule="auto"/>
              <w:ind w:left="110"/>
              <w:rPr>
                <w:rFonts w:eastAsia="Times New Roman" w:cs="Times New Roman"/>
                <w:szCs w:val="24"/>
              </w:rPr>
            </w:pPr>
            <w:r w:rsidRPr="00487CD7">
              <w:rPr>
                <w:rFonts w:ascii="Arial" w:eastAsia="Times New Roman" w:hAnsi="Arial" w:cs="Arial"/>
                <w:b/>
                <w:bCs/>
                <w:color w:val="000000"/>
                <w:sz w:val="22"/>
              </w:rPr>
              <w:t>Assignment 1: Hilton Hotel </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CA0689" w14:textId="77777777" w:rsidR="00C768F3" w:rsidRPr="00487CD7" w:rsidRDefault="00C768F3" w:rsidP="00D73107">
            <w:pPr>
              <w:spacing w:after="0" w:line="240" w:lineRule="auto"/>
              <w:ind w:left="111" w:right="42" w:hanging="6"/>
              <w:rPr>
                <w:rFonts w:eastAsia="Times New Roman" w:cs="Times New Roman"/>
                <w:szCs w:val="24"/>
              </w:rPr>
            </w:pPr>
            <w:r w:rsidRPr="00487CD7">
              <w:rPr>
                <w:rFonts w:ascii="Arial" w:eastAsia="Times New Roman" w:hAnsi="Arial" w:cs="Arial"/>
                <w:b/>
                <w:bCs/>
                <w:color w:val="000000"/>
                <w:sz w:val="22"/>
              </w:rPr>
              <w:t>Word count (or  equivalent):</w:t>
            </w:r>
          </w:p>
        </w:tc>
        <w:tc>
          <w:tcPr>
            <w:tcW w:w="2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6969D9" w14:textId="77777777" w:rsidR="00C768F3" w:rsidRPr="00487CD7" w:rsidRDefault="00C768F3" w:rsidP="00D73107">
            <w:pPr>
              <w:spacing w:after="0" w:line="240" w:lineRule="auto"/>
              <w:ind w:left="121"/>
              <w:rPr>
                <w:rFonts w:eastAsia="Times New Roman" w:cs="Times New Roman"/>
                <w:szCs w:val="24"/>
              </w:rPr>
            </w:pPr>
            <w:r w:rsidRPr="00487CD7">
              <w:rPr>
                <w:rFonts w:ascii="Arial" w:eastAsia="Times New Roman" w:hAnsi="Arial" w:cs="Arial"/>
                <w:b/>
                <w:bCs/>
                <w:color w:val="000000"/>
                <w:sz w:val="22"/>
              </w:rPr>
              <w:t>2000</w:t>
            </w:r>
          </w:p>
        </w:tc>
      </w:tr>
      <w:tr w:rsidR="00C768F3" w:rsidRPr="00487CD7" w14:paraId="170DA7F6" w14:textId="77777777" w:rsidTr="00D73107">
        <w:trPr>
          <w:trHeight w:val="101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800178" w14:textId="77777777" w:rsidR="00C768F3" w:rsidRPr="00487CD7" w:rsidRDefault="00C768F3" w:rsidP="00D73107">
            <w:pPr>
              <w:spacing w:after="0" w:line="240" w:lineRule="auto"/>
              <w:ind w:left="118"/>
              <w:rPr>
                <w:rFonts w:eastAsia="Times New Roman" w:cs="Times New Roman"/>
                <w:szCs w:val="24"/>
              </w:rPr>
            </w:pPr>
            <w:r w:rsidRPr="00487CD7">
              <w:rPr>
                <w:rFonts w:ascii="Arial" w:eastAsia="Times New Roman" w:hAnsi="Arial" w:cs="Arial"/>
                <w:b/>
                <w:bCs/>
                <w:color w:val="000000"/>
                <w:sz w:val="22"/>
              </w:rPr>
              <w:t>Submission  </w:t>
            </w:r>
          </w:p>
          <w:p w14:paraId="3DC50374" w14:textId="77777777" w:rsidR="00C768F3" w:rsidRPr="00487CD7" w:rsidRDefault="00C768F3" w:rsidP="00D73107">
            <w:pPr>
              <w:spacing w:after="0" w:line="240" w:lineRule="auto"/>
              <w:ind w:left="119"/>
              <w:rPr>
                <w:rFonts w:eastAsia="Times New Roman" w:cs="Times New Roman"/>
                <w:szCs w:val="24"/>
              </w:rPr>
            </w:pPr>
            <w:r w:rsidRPr="00487CD7">
              <w:rPr>
                <w:rFonts w:ascii="Arial" w:eastAsia="Times New Roman" w:hAnsi="Arial" w:cs="Arial"/>
                <w:b/>
                <w:bCs/>
                <w:color w:val="000000"/>
                <w:sz w:val="22"/>
              </w:rPr>
              <w:t>deadline: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224F15" w14:textId="77777777" w:rsidR="00C768F3" w:rsidRPr="00487CD7" w:rsidRDefault="00C768F3" w:rsidP="00D73107">
            <w:pPr>
              <w:spacing w:after="0" w:line="240" w:lineRule="auto"/>
              <w:ind w:left="128"/>
              <w:rPr>
                <w:rFonts w:eastAsia="Times New Roman" w:cs="Times New Roman"/>
                <w:szCs w:val="24"/>
              </w:rPr>
            </w:pPr>
            <w:r w:rsidRPr="00487CD7">
              <w:rPr>
                <w:rFonts w:ascii="Arial" w:eastAsia="Times New Roman" w:hAnsi="Arial" w:cs="Arial"/>
                <w:b/>
                <w:bCs/>
                <w:color w:val="000000"/>
                <w:sz w:val="22"/>
              </w:rPr>
              <w:t>1 June 2022 </w:t>
            </w:r>
          </w:p>
        </w:tc>
        <w:tc>
          <w:tcPr>
            <w:tcW w:w="3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40BF95" w14:textId="77777777" w:rsidR="00C768F3" w:rsidRPr="00487CD7" w:rsidRDefault="00C768F3" w:rsidP="00D73107">
            <w:pPr>
              <w:spacing w:after="0" w:line="240" w:lineRule="auto"/>
              <w:ind w:left="120" w:right="41" w:firstLine="6"/>
              <w:rPr>
                <w:rFonts w:eastAsia="Times New Roman" w:cs="Times New Roman"/>
                <w:szCs w:val="24"/>
              </w:rPr>
            </w:pPr>
            <w:r w:rsidRPr="00487CD7">
              <w:rPr>
                <w:rFonts w:ascii="Arial" w:eastAsia="Times New Roman" w:hAnsi="Arial" w:cs="Arial"/>
                <w:b/>
                <w:bCs/>
                <w:color w:val="000000"/>
                <w:sz w:val="22"/>
              </w:rPr>
              <w:t xml:space="preserve">Return date of  </w:t>
            </w:r>
            <w:r w:rsidRPr="00487CD7">
              <w:rPr>
                <w:rFonts w:ascii="Arial" w:eastAsia="Times New Roman" w:hAnsi="Arial" w:cs="Arial"/>
                <w:b/>
                <w:bCs/>
                <w:color w:val="000000"/>
                <w:sz w:val="22"/>
                <w:shd w:val="clear" w:color="auto" w:fill="D9D9D9"/>
              </w:rPr>
              <w:t xml:space="preserve">provisional marks </w:t>
            </w:r>
            <w:r w:rsidRPr="00487CD7">
              <w:rPr>
                <w:rFonts w:ascii="Arial" w:eastAsia="Times New Roman" w:hAnsi="Arial" w:cs="Arial"/>
                <w:b/>
                <w:bCs/>
                <w:color w:val="000000"/>
                <w:sz w:val="22"/>
              </w:rPr>
              <w:t> &amp; written feedback:</w:t>
            </w:r>
          </w:p>
        </w:tc>
        <w:tc>
          <w:tcPr>
            <w:tcW w:w="2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0280A2" w14:textId="77777777" w:rsidR="00C768F3" w:rsidRPr="00487CD7" w:rsidRDefault="00C768F3" w:rsidP="00D73107">
            <w:pPr>
              <w:spacing w:after="0" w:line="240" w:lineRule="auto"/>
              <w:ind w:left="176"/>
              <w:rPr>
                <w:rFonts w:eastAsia="Times New Roman" w:cs="Times New Roman"/>
                <w:szCs w:val="24"/>
              </w:rPr>
            </w:pPr>
            <w:r w:rsidRPr="00487CD7">
              <w:rPr>
                <w:rFonts w:ascii="Arial" w:eastAsia="Times New Roman" w:hAnsi="Arial" w:cs="Arial"/>
                <w:b/>
                <w:bCs/>
                <w:color w:val="000000"/>
                <w:sz w:val="22"/>
              </w:rPr>
              <w:t>Aug 2022</w:t>
            </w:r>
          </w:p>
        </w:tc>
      </w:tr>
    </w:tbl>
    <w:p w14:paraId="782E2CD5" w14:textId="77E2F879" w:rsidR="000E6EAF" w:rsidRPr="00C768F3" w:rsidRDefault="00C768F3" w:rsidP="00C768F3">
      <w:pPr>
        <w:rPr>
          <w:rFonts w:ascii="Arial" w:eastAsiaTheme="majorEastAsia" w:hAnsi="Arial" w:cs="Arial"/>
          <w:b/>
          <w:bCs/>
          <w:color w:val="2E74B5" w:themeColor="accent1" w:themeShade="BF"/>
          <w:sz w:val="28"/>
          <w:szCs w:val="28"/>
        </w:rPr>
      </w:pPr>
      <w:r w:rsidRPr="007250FA">
        <w:rPr>
          <w:rFonts w:ascii="Arial" w:hAnsi="Arial" w:cs="Arial"/>
        </w:rPr>
        <w:br w:type="page"/>
      </w:r>
    </w:p>
    <w:sdt>
      <w:sdtPr>
        <w:rPr>
          <w:rFonts w:ascii="Times New Roman" w:eastAsiaTheme="minorHAnsi" w:hAnsi="Times New Roman" w:cstheme="minorBidi"/>
          <w:color w:val="auto"/>
          <w:sz w:val="24"/>
          <w:szCs w:val="22"/>
        </w:rPr>
        <w:id w:val="-1801057584"/>
        <w:docPartObj>
          <w:docPartGallery w:val="Table of Contents"/>
          <w:docPartUnique/>
        </w:docPartObj>
      </w:sdtPr>
      <w:sdtEndPr>
        <w:rPr>
          <w:b/>
          <w:bCs/>
          <w:noProof/>
        </w:rPr>
      </w:sdtEndPr>
      <w:sdtContent>
        <w:p w14:paraId="1E7AE004" w14:textId="77777777" w:rsidR="000E6EAF" w:rsidRDefault="000E6EAF">
          <w:pPr>
            <w:pStyle w:val="TOCHeading"/>
          </w:pPr>
          <w:r>
            <w:t>Table of Contents</w:t>
          </w:r>
        </w:p>
        <w:p w14:paraId="6AF0BE03" w14:textId="77777777" w:rsidR="00F73AFB" w:rsidRDefault="000E6EAF">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03559993" w:history="1">
            <w:r w:rsidR="00F73AFB" w:rsidRPr="005E6159">
              <w:rPr>
                <w:rStyle w:val="Hyperlink"/>
                <w:noProof/>
              </w:rPr>
              <w:t>Introduction</w:t>
            </w:r>
            <w:r w:rsidR="00F73AFB">
              <w:rPr>
                <w:noProof/>
                <w:webHidden/>
              </w:rPr>
              <w:tab/>
            </w:r>
            <w:r w:rsidR="00F73AFB">
              <w:rPr>
                <w:noProof/>
                <w:webHidden/>
              </w:rPr>
              <w:fldChar w:fldCharType="begin"/>
            </w:r>
            <w:r w:rsidR="00F73AFB">
              <w:rPr>
                <w:noProof/>
                <w:webHidden/>
              </w:rPr>
              <w:instrText xml:space="preserve"> PAGEREF _Toc103559993 \h </w:instrText>
            </w:r>
            <w:r w:rsidR="00F73AFB">
              <w:rPr>
                <w:noProof/>
                <w:webHidden/>
              </w:rPr>
            </w:r>
            <w:r w:rsidR="00F73AFB">
              <w:rPr>
                <w:noProof/>
                <w:webHidden/>
              </w:rPr>
              <w:fldChar w:fldCharType="separate"/>
            </w:r>
            <w:r w:rsidR="00F73AFB">
              <w:rPr>
                <w:noProof/>
                <w:webHidden/>
              </w:rPr>
              <w:t>3</w:t>
            </w:r>
            <w:r w:rsidR="00F73AFB">
              <w:rPr>
                <w:noProof/>
                <w:webHidden/>
              </w:rPr>
              <w:fldChar w:fldCharType="end"/>
            </w:r>
          </w:hyperlink>
        </w:p>
        <w:p w14:paraId="30B65AA6" w14:textId="77777777" w:rsidR="00F73AFB" w:rsidRDefault="003C0C84">
          <w:pPr>
            <w:pStyle w:val="TOC1"/>
            <w:tabs>
              <w:tab w:val="right" w:leader="dot" w:pos="9350"/>
            </w:tabs>
            <w:rPr>
              <w:rFonts w:asciiTheme="minorHAnsi" w:eastAsiaTheme="minorEastAsia" w:hAnsiTheme="minorHAnsi"/>
              <w:noProof/>
              <w:sz w:val="22"/>
            </w:rPr>
          </w:pPr>
          <w:hyperlink w:anchor="_Toc103559994" w:history="1">
            <w:r w:rsidR="00F73AFB" w:rsidRPr="005E6159">
              <w:rPr>
                <w:rStyle w:val="Hyperlink"/>
                <w:noProof/>
              </w:rPr>
              <w:t>Requirement a) Calculate Horizontal Ratios</w:t>
            </w:r>
            <w:r w:rsidR="00F73AFB">
              <w:rPr>
                <w:noProof/>
                <w:webHidden/>
              </w:rPr>
              <w:tab/>
            </w:r>
            <w:r w:rsidR="00F73AFB">
              <w:rPr>
                <w:noProof/>
                <w:webHidden/>
              </w:rPr>
              <w:fldChar w:fldCharType="begin"/>
            </w:r>
            <w:r w:rsidR="00F73AFB">
              <w:rPr>
                <w:noProof/>
                <w:webHidden/>
              </w:rPr>
              <w:instrText xml:space="preserve"> PAGEREF _Toc103559994 \h </w:instrText>
            </w:r>
            <w:r w:rsidR="00F73AFB">
              <w:rPr>
                <w:noProof/>
                <w:webHidden/>
              </w:rPr>
            </w:r>
            <w:r w:rsidR="00F73AFB">
              <w:rPr>
                <w:noProof/>
                <w:webHidden/>
              </w:rPr>
              <w:fldChar w:fldCharType="separate"/>
            </w:r>
            <w:r w:rsidR="00F73AFB">
              <w:rPr>
                <w:noProof/>
                <w:webHidden/>
              </w:rPr>
              <w:t>4</w:t>
            </w:r>
            <w:r w:rsidR="00F73AFB">
              <w:rPr>
                <w:noProof/>
                <w:webHidden/>
              </w:rPr>
              <w:fldChar w:fldCharType="end"/>
            </w:r>
          </w:hyperlink>
        </w:p>
        <w:p w14:paraId="5EC058F6" w14:textId="77777777" w:rsidR="00F73AFB" w:rsidRDefault="003C0C84">
          <w:pPr>
            <w:pStyle w:val="TOC2"/>
            <w:tabs>
              <w:tab w:val="right" w:leader="dot" w:pos="9350"/>
            </w:tabs>
            <w:rPr>
              <w:rFonts w:asciiTheme="minorHAnsi" w:eastAsiaTheme="minorEastAsia" w:hAnsiTheme="minorHAnsi"/>
              <w:noProof/>
              <w:sz w:val="22"/>
            </w:rPr>
          </w:pPr>
          <w:hyperlink w:anchor="_Toc103559995" w:history="1">
            <w:r w:rsidR="00F73AFB" w:rsidRPr="005E6159">
              <w:rPr>
                <w:rStyle w:val="Hyperlink"/>
                <w:noProof/>
              </w:rPr>
              <w:t>Trends in financial statements</w:t>
            </w:r>
            <w:r w:rsidR="00F73AFB">
              <w:rPr>
                <w:noProof/>
                <w:webHidden/>
              </w:rPr>
              <w:tab/>
            </w:r>
            <w:r w:rsidR="00F73AFB">
              <w:rPr>
                <w:noProof/>
                <w:webHidden/>
              </w:rPr>
              <w:fldChar w:fldCharType="begin"/>
            </w:r>
            <w:r w:rsidR="00F73AFB">
              <w:rPr>
                <w:noProof/>
                <w:webHidden/>
              </w:rPr>
              <w:instrText xml:space="preserve"> PAGEREF _Toc103559995 \h </w:instrText>
            </w:r>
            <w:r w:rsidR="00F73AFB">
              <w:rPr>
                <w:noProof/>
                <w:webHidden/>
              </w:rPr>
            </w:r>
            <w:r w:rsidR="00F73AFB">
              <w:rPr>
                <w:noProof/>
                <w:webHidden/>
              </w:rPr>
              <w:fldChar w:fldCharType="separate"/>
            </w:r>
            <w:r w:rsidR="00F73AFB">
              <w:rPr>
                <w:noProof/>
                <w:webHidden/>
              </w:rPr>
              <w:t>4</w:t>
            </w:r>
            <w:r w:rsidR="00F73AFB">
              <w:rPr>
                <w:noProof/>
                <w:webHidden/>
              </w:rPr>
              <w:fldChar w:fldCharType="end"/>
            </w:r>
          </w:hyperlink>
        </w:p>
        <w:p w14:paraId="1421BA39" w14:textId="77777777" w:rsidR="00F73AFB" w:rsidRDefault="003C0C84">
          <w:pPr>
            <w:pStyle w:val="TOC2"/>
            <w:tabs>
              <w:tab w:val="right" w:leader="dot" w:pos="9350"/>
            </w:tabs>
            <w:rPr>
              <w:rFonts w:asciiTheme="minorHAnsi" w:eastAsiaTheme="minorEastAsia" w:hAnsiTheme="minorHAnsi"/>
              <w:noProof/>
              <w:sz w:val="22"/>
            </w:rPr>
          </w:pPr>
          <w:hyperlink w:anchor="_Toc103559996" w:history="1">
            <w:r w:rsidR="00F73AFB" w:rsidRPr="005E6159">
              <w:rPr>
                <w:rStyle w:val="Hyperlink"/>
                <w:noProof/>
              </w:rPr>
              <w:t>Trends in financial ratios</w:t>
            </w:r>
            <w:r w:rsidR="00F73AFB">
              <w:rPr>
                <w:noProof/>
                <w:webHidden/>
              </w:rPr>
              <w:tab/>
            </w:r>
            <w:r w:rsidR="00F73AFB">
              <w:rPr>
                <w:noProof/>
                <w:webHidden/>
              </w:rPr>
              <w:fldChar w:fldCharType="begin"/>
            </w:r>
            <w:r w:rsidR="00F73AFB">
              <w:rPr>
                <w:noProof/>
                <w:webHidden/>
              </w:rPr>
              <w:instrText xml:space="preserve"> PAGEREF _Toc103559996 \h </w:instrText>
            </w:r>
            <w:r w:rsidR="00F73AFB">
              <w:rPr>
                <w:noProof/>
                <w:webHidden/>
              </w:rPr>
            </w:r>
            <w:r w:rsidR="00F73AFB">
              <w:rPr>
                <w:noProof/>
                <w:webHidden/>
              </w:rPr>
              <w:fldChar w:fldCharType="separate"/>
            </w:r>
            <w:r w:rsidR="00F73AFB">
              <w:rPr>
                <w:noProof/>
                <w:webHidden/>
              </w:rPr>
              <w:t>6</w:t>
            </w:r>
            <w:r w:rsidR="00F73AFB">
              <w:rPr>
                <w:noProof/>
                <w:webHidden/>
              </w:rPr>
              <w:fldChar w:fldCharType="end"/>
            </w:r>
          </w:hyperlink>
        </w:p>
        <w:p w14:paraId="6CF1E2EA" w14:textId="77777777" w:rsidR="00F73AFB" w:rsidRDefault="003C0C84">
          <w:pPr>
            <w:pStyle w:val="TOC1"/>
            <w:tabs>
              <w:tab w:val="right" w:leader="dot" w:pos="9350"/>
            </w:tabs>
            <w:rPr>
              <w:rFonts w:asciiTheme="minorHAnsi" w:eastAsiaTheme="minorEastAsia" w:hAnsiTheme="minorHAnsi"/>
              <w:noProof/>
              <w:sz w:val="22"/>
            </w:rPr>
          </w:pPr>
          <w:hyperlink w:anchor="_Toc103559997" w:history="1">
            <w:r w:rsidR="00F73AFB" w:rsidRPr="005E6159">
              <w:rPr>
                <w:rStyle w:val="Hyperlink"/>
                <w:noProof/>
              </w:rPr>
              <w:t>Requirement (b) Outline the importance of using ratio analysis in decision making</w:t>
            </w:r>
            <w:r w:rsidR="00F73AFB">
              <w:rPr>
                <w:noProof/>
                <w:webHidden/>
              </w:rPr>
              <w:tab/>
            </w:r>
            <w:r w:rsidR="00F73AFB">
              <w:rPr>
                <w:noProof/>
                <w:webHidden/>
              </w:rPr>
              <w:fldChar w:fldCharType="begin"/>
            </w:r>
            <w:r w:rsidR="00F73AFB">
              <w:rPr>
                <w:noProof/>
                <w:webHidden/>
              </w:rPr>
              <w:instrText xml:space="preserve"> PAGEREF _Toc103559997 \h </w:instrText>
            </w:r>
            <w:r w:rsidR="00F73AFB">
              <w:rPr>
                <w:noProof/>
                <w:webHidden/>
              </w:rPr>
            </w:r>
            <w:r w:rsidR="00F73AFB">
              <w:rPr>
                <w:noProof/>
                <w:webHidden/>
              </w:rPr>
              <w:fldChar w:fldCharType="separate"/>
            </w:r>
            <w:r w:rsidR="00F73AFB">
              <w:rPr>
                <w:noProof/>
                <w:webHidden/>
              </w:rPr>
              <w:t>7</w:t>
            </w:r>
            <w:r w:rsidR="00F73AFB">
              <w:rPr>
                <w:noProof/>
                <w:webHidden/>
              </w:rPr>
              <w:fldChar w:fldCharType="end"/>
            </w:r>
          </w:hyperlink>
        </w:p>
        <w:p w14:paraId="169B0C6B" w14:textId="77777777" w:rsidR="00F73AFB" w:rsidRDefault="003C0C84">
          <w:pPr>
            <w:pStyle w:val="TOC1"/>
            <w:tabs>
              <w:tab w:val="right" w:leader="dot" w:pos="9350"/>
            </w:tabs>
            <w:rPr>
              <w:rFonts w:asciiTheme="minorHAnsi" w:eastAsiaTheme="minorEastAsia" w:hAnsiTheme="minorHAnsi"/>
              <w:noProof/>
              <w:sz w:val="22"/>
            </w:rPr>
          </w:pPr>
          <w:hyperlink w:anchor="_Toc103559998" w:history="1">
            <w:r w:rsidR="00F73AFB" w:rsidRPr="005E6159">
              <w:rPr>
                <w:rStyle w:val="Hyperlink"/>
                <w:noProof/>
              </w:rPr>
              <w:t>Requirement (c) Investigate the limitations of ratio analysis including why its understanding is essential in Hotel management</w:t>
            </w:r>
            <w:r w:rsidR="00F73AFB">
              <w:rPr>
                <w:noProof/>
                <w:webHidden/>
              </w:rPr>
              <w:tab/>
            </w:r>
            <w:r w:rsidR="00F73AFB">
              <w:rPr>
                <w:noProof/>
                <w:webHidden/>
              </w:rPr>
              <w:fldChar w:fldCharType="begin"/>
            </w:r>
            <w:r w:rsidR="00F73AFB">
              <w:rPr>
                <w:noProof/>
                <w:webHidden/>
              </w:rPr>
              <w:instrText xml:space="preserve"> PAGEREF _Toc103559998 \h </w:instrText>
            </w:r>
            <w:r w:rsidR="00F73AFB">
              <w:rPr>
                <w:noProof/>
                <w:webHidden/>
              </w:rPr>
            </w:r>
            <w:r w:rsidR="00F73AFB">
              <w:rPr>
                <w:noProof/>
                <w:webHidden/>
              </w:rPr>
              <w:fldChar w:fldCharType="separate"/>
            </w:r>
            <w:r w:rsidR="00F73AFB">
              <w:rPr>
                <w:noProof/>
                <w:webHidden/>
              </w:rPr>
              <w:t>8</w:t>
            </w:r>
            <w:r w:rsidR="00F73AFB">
              <w:rPr>
                <w:noProof/>
                <w:webHidden/>
              </w:rPr>
              <w:fldChar w:fldCharType="end"/>
            </w:r>
          </w:hyperlink>
        </w:p>
        <w:p w14:paraId="55381D71" w14:textId="77777777" w:rsidR="00F73AFB" w:rsidRDefault="003C0C84">
          <w:pPr>
            <w:pStyle w:val="TOC2"/>
            <w:tabs>
              <w:tab w:val="right" w:leader="dot" w:pos="9350"/>
            </w:tabs>
            <w:rPr>
              <w:rFonts w:asciiTheme="minorHAnsi" w:eastAsiaTheme="minorEastAsia" w:hAnsiTheme="minorHAnsi"/>
              <w:noProof/>
              <w:sz w:val="22"/>
            </w:rPr>
          </w:pPr>
          <w:hyperlink w:anchor="_Toc103559999" w:history="1">
            <w:r w:rsidR="00F73AFB" w:rsidRPr="005E6159">
              <w:rPr>
                <w:rStyle w:val="Hyperlink"/>
                <w:noProof/>
              </w:rPr>
              <w:t>Limitations of ratio analysis</w:t>
            </w:r>
            <w:r w:rsidR="00F73AFB">
              <w:rPr>
                <w:noProof/>
                <w:webHidden/>
              </w:rPr>
              <w:tab/>
            </w:r>
            <w:r w:rsidR="00F73AFB">
              <w:rPr>
                <w:noProof/>
                <w:webHidden/>
              </w:rPr>
              <w:fldChar w:fldCharType="begin"/>
            </w:r>
            <w:r w:rsidR="00F73AFB">
              <w:rPr>
                <w:noProof/>
                <w:webHidden/>
              </w:rPr>
              <w:instrText xml:space="preserve"> PAGEREF _Toc103559999 \h </w:instrText>
            </w:r>
            <w:r w:rsidR="00F73AFB">
              <w:rPr>
                <w:noProof/>
                <w:webHidden/>
              </w:rPr>
            </w:r>
            <w:r w:rsidR="00F73AFB">
              <w:rPr>
                <w:noProof/>
                <w:webHidden/>
              </w:rPr>
              <w:fldChar w:fldCharType="separate"/>
            </w:r>
            <w:r w:rsidR="00F73AFB">
              <w:rPr>
                <w:noProof/>
                <w:webHidden/>
              </w:rPr>
              <w:t>8</w:t>
            </w:r>
            <w:r w:rsidR="00F73AFB">
              <w:rPr>
                <w:noProof/>
                <w:webHidden/>
              </w:rPr>
              <w:fldChar w:fldCharType="end"/>
            </w:r>
          </w:hyperlink>
        </w:p>
        <w:p w14:paraId="64CE5735" w14:textId="77777777" w:rsidR="00F73AFB" w:rsidRDefault="003C0C84">
          <w:pPr>
            <w:pStyle w:val="TOC2"/>
            <w:tabs>
              <w:tab w:val="right" w:leader="dot" w:pos="9350"/>
            </w:tabs>
            <w:rPr>
              <w:rFonts w:asciiTheme="minorHAnsi" w:eastAsiaTheme="minorEastAsia" w:hAnsiTheme="minorHAnsi"/>
              <w:noProof/>
              <w:sz w:val="22"/>
            </w:rPr>
          </w:pPr>
          <w:hyperlink w:anchor="_Toc103560000" w:history="1">
            <w:r w:rsidR="00F73AFB" w:rsidRPr="005E6159">
              <w:rPr>
                <w:rStyle w:val="Hyperlink"/>
                <w:noProof/>
              </w:rPr>
              <w:t>The necessity of understanding financial ratios in hotel management</w:t>
            </w:r>
            <w:r w:rsidR="00F73AFB">
              <w:rPr>
                <w:noProof/>
                <w:webHidden/>
              </w:rPr>
              <w:tab/>
            </w:r>
            <w:r w:rsidR="00F73AFB">
              <w:rPr>
                <w:noProof/>
                <w:webHidden/>
              </w:rPr>
              <w:fldChar w:fldCharType="begin"/>
            </w:r>
            <w:r w:rsidR="00F73AFB">
              <w:rPr>
                <w:noProof/>
                <w:webHidden/>
              </w:rPr>
              <w:instrText xml:space="preserve"> PAGEREF _Toc103560000 \h </w:instrText>
            </w:r>
            <w:r w:rsidR="00F73AFB">
              <w:rPr>
                <w:noProof/>
                <w:webHidden/>
              </w:rPr>
            </w:r>
            <w:r w:rsidR="00F73AFB">
              <w:rPr>
                <w:noProof/>
                <w:webHidden/>
              </w:rPr>
              <w:fldChar w:fldCharType="separate"/>
            </w:r>
            <w:r w:rsidR="00F73AFB">
              <w:rPr>
                <w:noProof/>
                <w:webHidden/>
              </w:rPr>
              <w:t>8</w:t>
            </w:r>
            <w:r w:rsidR="00F73AFB">
              <w:rPr>
                <w:noProof/>
                <w:webHidden/>
              </w:rPr>
              <w:fldChar w:fldCharType="end"/>
            </w:r>
          </w:hyperlink>
        </w:p>
        <w:p w14:paraId="5AF48051" w14:textId="77777777" w:rsidR="00F73AFB" w:rsidRDefault="003C0C84">
          <w:pPr>
            <w:pStyle w:val="TOC1"/>
            <w:tabs>
              <w:tab w:val="right" w:leader="dot" w:pos="9350"/>
            </w:tabs>
            <w:rPr>
              <w:rFonts w:asciiTheme="minorHAnsi" w:eastAsiaTheme="minorEastAsia" w:hAnsiTheme="minorHAnsi"/>
              <w:noProof/>
              <w:sz w:val="22"/>
            </w:rPr>
          </w:pPr>
          <w:hyperlink w:anchor="_Toc103560001" w:history="1">
            <w:r w:rsidR="00F73AFB" w:rsidRPr="005E6159">
              <w:rPr>
                <w:rStyle w:val="Hyperlink"/>
                <w:noProof/>
              </w:rPr>
              <w:t>Conclusion</w:t>
            </w:r>
            <w:r w:rsidR="00F73AFB">
              <w:rPr>
                <w:noProof/>
                <w:webHidden/>
              </w:rPr>
              <w:tab/>
            </w:r>
            <w:r w:rsidR="00F73AFB">
              <w:rPr>
                <w:noProof/>
                <w:webHidden/>
              </w:rPr>
              <w:fldChar w:fldCharType="begin"/>
            </w:r>
            <w:r w:rsidR="00F73AFB">
              <w:rPr>
                <w:noProof/>
                <w:webHidden/>
              </w:rPr>
              <w:instrText xml:space="preserve"> PAGEREF _Toc103560001 \h </w:instrText>
            </w:r>
            <w:r w:rsidR="00F73AFB">
              <w:rPr>
                <w:noProof/>
                <w:webHidden/>
              </w:rPr>
            </w:r>
            <w:r w:rsidR="00F73AFB">
              <w:rPr>
                <w:noProof/>
                <w:webHidden/>
              </w:rPr>
              <w:fldChar w:fldCharType="separate"/>
            </w:r>
            <w:r w:rsidR="00F73AFB">
              <w:rPr>
                <w:noProof/>
                <w:webHidden/>
              </w:rPr>
              <w:t>9</w:t>
            </w:r>
            <w:r w:rsidR="00F73AFB">
              <w:rPr>
                <w:noProof/>
                <w:webHidden/>
              </w:rPr>
              <w:fldChar w:fldCharType="end"/>
            </w:r>
          </w:hyperlink>
        </w:p>
        <w:p w14:paraId="70EB8B20" w14:textId="77777777" w:rsidR="00F73AFB" w:rsidRDefault="003C0C84">
          <w:pPr>
            <w:pStyle w:val="TOC1"/>
            <w:tabs>
              <w:tab w:val="right" w:leader="dot" w:pos="9350"/>
            </w:tabs>
            <w:rPr>
              <w:rFonts w:asciiTheme="minorHAnsi" w:eastAsiaTheme="minorEastAsia" w:hAnsiTheme="minorHAnsi"/>
              <w:noProof/>
              <w:sz w:val="22"/>
            </w:rPr>
          </w:pPr>
          <w:hyperlink w:anchor="_Toc103560002" w:history="1">
            <w:r w:rsidR="00F73AFB" w:rsidRPr="005E6159">
              <w:rPr>
                <w:rStyle w:val="Hyperlink"/>
                <w:noProof/>
              </w:rPr>
              <w:t>References</w:t>
            </w:r>
            <w:r w:rsidR="00F73AFB">
              <w:rPr>
                <w:noProof/>
                <w:webHidden/>
              </w:rPr>
              <w:tab/>
            </w:r>
            <w:r w:rsidR="00F73AFB">
              <w:rPr>
                <w:noProof/>
                <w:webHidden/>
              </w:rPr>
              <w:fldChar w:fldCharType="begin"/>
            </w:r>
            <w:r w:rsidR="00F73AFB">
              <w:rPr>
                <w:noProof/>
                <w:webHidden/>
              </w:rPr>
              <w:instrText xml:space="preserve"> PAGEREF _Toc103560002 \h </w:instrText>
            </w:r>
            <w:r w:rsidR="00F73AFB">
              <w:rPr>
                <w:noProof/>
                <w:webHidden/>
              </w:rPr>
            </w:r>
            <w:r w:rsidR="00F73AFB">
              <w:rPr>
                <w:noProof/>
                <w:webHidden/>
              </w:rPr>
              <w:fldChar w:fldCharType="separate"/>
            </w:r>
            <w:r w:rsidR="00F73AFB">
              <w:rPr>
                <w:noProof/>
                <w:webHidden/>
              </w:rPr>
              <w:t>10</w:t>
            </w:r>
            <w:r w:rsidR="00F73AFB">
              <w:rPr>
                <w:noProof/>
                <w:webHidden/>
              </w:rPr>
              <w:fldChar w:fldCharType="end"/>
            </w:r>
          </w:hyperlink>
        </w:p>
        <w:p w14:paraId="17453374" w14:textId="77777777" w:rsidR="000E6EAF" w:rsidRDefault="000E6EAF">
          <w:r>
            <w:rPr>
              <w:b/>
              <w:bCs/>
              <w:noProof/>
            </w:rPr>
            <w:fldChar w:fldCharType="end"/>
          </w:r>
        </w:p>
      </w:sdtContent>
    </w:sdt>
    <w:p w14:paraId="54D3A11C" w14:textId="77777777" w:rsidR="000E6EAF" w:rsidRDefault="000E6EAF">
      <w:pPr>
        <w:spacing w:line="259" w:lineRule="auto"/>
        <w:jc w:val="left"/>
      </w:pPr>
      <w:r>
        <w:br w:type="page"/>
      </w:r>
    </w:p>
    <w:p w14:paraId="55D8A34F" w14:textId="77777777" w:rsidR="000E6EAF" w:rsidRDefault="000E6EAF" w:rsidP="000E6EAF">
      <w:pPr>
        <w:pStyle w:val="Heading1"/>
      </w:pPr>
      <w:bookmarkStart w:id="0" w:name="_Toc103559993"/>
      <w:r>
        <w:lastRenderedPageBreak/>
        <w:t>Introduction</w:t>
      </w:r>
      <w:bookmarkEnd w:id="0"/>
    </w:p>
    <w:p w14:paraId="72FDFC5E" w14:textId="77777777" w:rsidR="00B96FCD" w:rsidRPr="00B96FCD" w:rsidRDefault="00B96FCD" w:rsidP="00B96FCD">
      <w:r>
        <w:t>The summary of the performance of a company is presented in the financial statements. In order to understand and analyze the presented information in the financial statements a sound knowledge of ratio analysis is required. Ratio analysis is useful to all types of decision-makers- investors, creditors and management. In this task, it will be performed horizontal ratio analysis for Hilton Worldwide Holdings Inc. for the year of 2019 and 2020. Furthermore, it will be discussed the importance of ratio analysis and how ratio analysis helps in hotel management along with its limitations.</w:t>
      </w:r>
    </w:p>
    <w:p w14:paraId="14C786DB" w14:textId="77777777" w:rsidR="000E6EAF" w:rsidRDefault="000E6EAF">
      <w:pPr>
        <w:spacing w:line="259" w:lineRule="auto"/>
        <w:jc w:val="left"/>
        <w:rPr>
          <w:rFonts w:eastAsiaTheme="majorEastAsia" w:cstheme="majorBidi"/>
          <w:b/>
          <w:color w:val="2E74B5" w:themeColor="accent1" w:themeShade="BF"/>
          <w:sz w:val="32"/>
          <w:szCs w:val="32"/>
        </w:rPr>
      </w:pPr>
      <w:r>
        <w:br w:type="page"/>
      </w:r>
    </w:p>
    <w:p w14:paraId="458D37D4" w14:textId="77777777" w:rsidR="0023281C" w:rsidRDefault="005D08DC" w:rsidP="000E6EAF">
      <w:pPr>
        <w:pStyle w:val="Heading1"/>
      </w:pPr>
      <w:bookmarkStart w:id="1" w:name="_Toc103559994"/>
      <w:r>
        <w:lastRenderedPageBreak/>
        <w:t>Requirement a) Calculate Horizontal Ratios</w:t>
      </w:r>
      <w:bookmarkEnd w:id="1"/>
    </w:p>
    <w:p w14:paraId="55A3A9AA" w14:textId="77777777" w:rsidR="000E6EAF" w:rsidRPr="000E6EAF" w:rsidRDefault="000E6EAF" w:rsidP="000E6EAF">
      <w:pPr>
        <w:pStyle w:val="Heading2"/>
      </w:pPr>
      <w:bookmarkStart w:id="2" w:name="_Toc103559995"/>
      <w:r>
        <w:t>Trends in financial statements</w:t>
      </w:r>
      <w:bookmarkEnd w:id="2"/>
    </w:p>
    <w:p w14:paraId="02B0BCF2" w14:textId="77777777" w:rsidR="005D08DC" w:rsidRDefault="005D08DC">
      <w:r>
        <w:t>Two types of analysis are important for companies to understand their financial strengths. The first</w:t>
      </w:r>
      <w:r w:rsidR="008C57AA">
        <w:t xml:space="preserve"> one is vertical analysis also termed commons size analysis and another one is horizontal analysis. The vertical analysis evaluates the financial statement at a point of time</w:t>
      </w:r>
      <w:r w:rsidR="006C0C5D">
        <w:t xml:space="preserve"> (Rao</w:t>
      </w:r>
      <w:r w:rsidR="00D820CE">
        <w:t>, 2021)</w:t>
      </w:r>
      <w:r w:rsidR="008C57AA">
        <w:t>. The financial statements of a company are expressed in common percentages of a base item and compared with other companies. On the other hand, in horizontal analysis, the changes in amount or ratios are compared over a period of time</w:t>
      </w:r>
      <w:r w:rsidR="00D820CE">
        <w:t xml:space="preserve"> (Rao, 2021)</w:t>
      </w:r>
      <w:r w:rsidR="008C57AA">
        <w:t xml:space="preserve">s task, we focus on horizontal analysis. First, we look at the absolute as well as the percentage change </w:t>
      </w:r>
      <w:r w:rsidR="005D4FB4">
        <w:t>of the items of the income statements and balance sheet from 2019 to 2020. Then, we compare some profitability and liquidity ratios from the given financial statements over the periods. The following table presents the changes in income statement items in absolute amount as well as in percentage.</w:t>
      </w:r>
    </w:p>
    <w:tbl>
      <w:tblPr>
        <w:tblW w:w="9418" w:type="dxa"/>
        <w:tblLook w:val="04A0" w:firstRow="1" w:lastRow="0" w:firstColumn="1" w:lastColumn="0" w:noHBand="0" w:noVBand="1"/>
      </w:tblPr>
      <w:tblGrid>
        <w:gridCol w:w="2956"/>
        <w:gridCol w:w="2129"/>
        <w:gridCol w:w="1564"/>
        <w:gridCol w:w="1592"/>
        <w:gridCol w:w="1177"/>
      </w:tblGrid>
      <w:tr w:rsidR="005D4FB4" w:rsidRPr="005D4FB4" w14:paraId="1DF96FAA" w14:textId="77777777" w:rsidTr="005D4FB4">
        <w:trPr>
          <w:trHeight w:val="407"/>
        </w:trPr>
        <w:tc>
          <w:tcPr>
            <w:tcW w:w="941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4D4FC1" w14:textId="77777777" w:rsidR="005D4FB4" w:rsidRPr="005D4FB4" w:rsidRDefault="005D4FB4" w:rsidP="005D4FB4">
            <w:pPr>
              <w:spacing w:after="0" w:line="240" w:lineRule="auto"/>
              <w:jc w:val="center"/>
              <w:rPr>
                <w:rFonts w:ascii="Calibri" w:eastAsia="Times New Roman" w:hAnsi="Calibri" w:cs="Calibri"/>
                <w:b/>
                <w:bCs/>
                <w:color w:val="000000"/>
                <w:sz w:val="28"/>
                <w:szCs w:val="28"/>
              </w:rPr>
            </w:pPr>
            <w:r w:rsidRPr="005D4FB4">
              <w:rPr>
                <w:rFonts w:ascii="Calibri" w:eastAsia="Times New Roman" w:hAnsi="Calibri" w:cs="Calibri"/>
                <w:b/>
                <w:bCs/>
                <w:color w:val="000000"/>
                <w:sz w:val="28"/>
                <w:szCs w:val="28"/>
              </w:rPr>
              <w:t>Hilton Worldwide Holdings Inc. (HLT)</w:t>
            </w:r>
          </w:p>
        </w:tc>
      </w:tr>
      <w:tr w:rsidR="005D4FB4" w:rsidRPr="005D4FB4" w14:paraId="2863D64F" w14:textId="77777777" w:rsidTr="005D4FB4">
        <w:trPr>
          <w:trHeight w:val="342"/>
        </w:trPr>
        <w:tc>
          <w:tcPr>
            <w:tcW w:w="941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3DA15B" w14:textId="77777777" w:rsidR="005D4FB4" w:rsidRPr="005D4FB4" w:rsidRDefault="005D4FB4" w:rsidP="005D4FB4">
            <w:pPr>
              <w:spacing w:after="0" w:line="240" w:lineRule="auto"/>
              <w:jc w:val="center"/>
              <w:rPr>
                <w:rFonts w:ascii="Calibri" w:eastAsia="Times New Roman" w:hAnsi="Calibri" w:cs="Calibri"/>
                <w:i/>
                <w:iCs/>
                <w:color w:val="000000"/>
                <w:szCs w:val="24"/>
              </w:rPr>
            </w:pPr>
            <w:r w:rsidRPr="005D4FB4">
              <w:rPr>
                <w:rFonts w:ascii="Calibri" w:eastAsia="Times New Roman" w:hAnsi="Calibri" w:cs="Calibri"/>
                <w:i/>
                <w:iCs/>
                <w:color w:val="000000"/>
                <w:szCs w:val="24"/>
              </w:rPr>
              <w:t>Income Statement 2019 and 2020</w:t>
            </w:r>
          </w:p>
        </w:tc>
      </w:tr>
      <w:tr w:rsidR="005D4FB4" w:rsidRPr="005D4FB4" w14:paraId="159EC658" w14:textId="77777777" w:rsidTr="005D4FB4">
        <w:trPr>
          <w:trHeight w:val="326"/>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9215BA9"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 </w:t>
            </w:r>
          </w:p>
        </w:tc>
        <w:tc>
          <w:tcPr>
            <w:tcW w:w="2129" w:type="dxa"/>
            <w:tcBorders>
              <w:top w:val="nil"/>
              <w:left w:val="nil"/>
              <w:bottom w:val="single" w:sz="4" w:space="0" w:color="auto"/>
              <w:right w:val="single" w:sz="4" w:space="0" w:color="auto"/>
            </w:tcBorders>
            <w:shd w:val="clear" w:color="auto" w:fill="auto"/>
            <w:noWrap/>
            <w:vAlign w:val="bottom"/>
            <w:hideMark/>
          </w:tcPr>
          <w:p w14:paraId="2FC61665" w14:textId="77777777" w:rsidR="005D4FB4" w:rsidRPr="005D4FB4" w:rsidRDefault="005D4FB4" w:rsidP="005D4FB4">
            <w:pPr>
              <w:spacing w:after="0" w:line="240" w:lineRule="auto"/>
              <w:jc w:val="right"/>
              <w:rPr>
                <w:rFonts w:ascii="Calibri" w:eastAsia="Times New Roman" w:hAnsi="Calibri" w:cs="Calibri"/>
                <w:color w:val="000000"/>
              </w:rPr>
            </w:pPr>
            <w:r w:rsidRPr="005D4FB4">
              <w:rPr>
                <w:rFonts w:ascii="Calibri" w:eastAsia="Times New Roman" w:hAnsi="Calibri" w:cs="Calibri"/>
                <w:color w:val="000000"/>
              </w:rPr>
              <w:t>2020</w:t>
            </w:r>
          </w:p>
        </w:tc>
        <w:tc>
          <w:tcPr>
            <w:tcW w:w="1564" w:type="dxa"/>
            <w:tcBorders>
              <w:top w:val="nil"/>
              <w:left w:val="nil"/>
              <w:bottom w:val="single" w:sz="4" w:space="0" w:color="auto"/>
              <w:right w:val="single" w:sz="4" w:space="0" w:color="auto"/>
            </w:tcBorders>
            <w:shd w:val="clear" w:color="auto" w:fill="auto"/>
            <w:noWrap/>
            <w:vAlign w:val="bottom"/>
            <w:hideMark/>
          </w:tcPr>
          <w:p w14:paraId="5D55FCC7" w14:textId="77777777" w:rsidR="005D4FB4" w:rsidRPr="005D4FB4" w:rsidRDefault="005D4FB4" w:rsidP="005D4FB4">
            <w:pPr>
              <w:spacing w:after="0" w:line="240" w:lineRule="auto"/>
              <w:jc w:val="right"/>
              <w:rPr>
                <w:rFonts w:ascii="Calibri" w:eastAsia="Times New Roman" w:hAnsi="Calibri" w:cs="Calibri"/>
                <w:color w:val="000000"/>
              </w:rPr>
            </w:pPr>
            <w:r w:rsidRPr="005D4FB4">
              <w:rPr>
                <w:rFonts w:ascii="Calibri" w:eastAsia="Times New Roman" w:hAnsi="Calibri" w:cs="Calibri"/>
                <w:color w:val="000000"/>
              </w:rPr>
              <w:t>2019</w:t>
            </w:r>
          </w:p>
        </w:tc>
        <w:tc>
          <w:tcPr>
            <w:tcW w:w="1592" w:type="dxa"/>
            <w:tcBorders>
              <w:top w:val="nil"/>
              <w:left w:val="nil"/>
              <w:bottom w:val="single" w:sz="4" w:space="0" w:color="auto"/>
              <w:right w:val="single" w:sz="4" w:space="0" w:color="auto"/>
            </w:tcBorders>
            <w:shd w:val="clear" w:color="auto" w:fill="auto"/>
            <w:noWrap/>
            <w:vAlign w:val="bottom"/>
            <w:hideMark/>
          </w:tcPr>
          <w:p w14:paraId="46CF4133"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Change</w:t>
            </w:r>
          </w:p>
        </w:tc>
        <w:tc>
          <w:tcPr>
            <w:tcW w:w="1175" w:type="dxa"/>
            <w:tcBorders>
              <w:top w:val="nil"/>
              <w:left w:val="nil"/>
              <w:bottom w:val="single" w:sz="4" w:space="0" w:color="auto"/>
              <w:right w:val="single" w:sz="4" w:space="0" w:color="auto"/>
            </w:tcBorders>
            <w:shd w:val="clear" w:color="auto" w:fill="auto"/>
            <w:noWrap/>
            <w:vAlign w:val="bottom"/>
            <w:hideMark/>
          </w:tcPr>
          <w:p w14:paraId="18051261"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 Change</w:t>
            </w:r>
          </w:p>
        </w:tc>
      </w:tr>
      <w:tr w:rsidR="005D4FB4" w:rsidRPr="005D4FB4" w14:paraId="73745F57" w14:textId="77777777" w:rsidTr="005D4FB4">
        <w:trPr>
          <w:trHeight w:val="326"/>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072BCCCD"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Sales</w:t>
            </w:r>
          </w:p>
        </w:tc>
        <w:tc>
          <w:tcPr>
            <w:tcW w:w="2129" w:type="dxa"/>
            <w:tcBorders>
              <w:top w:val="nil"/>
              <w:left w:val="nil"/>
              <w:bottom w:val="single" w:sz="4" w:space="0" w:color="auto"/>
              <w:right w:val="single" w:sz="4" w:space="0" w:color="auto"/>
            </w:tcBorders>
            <w:shd w:val="clear" w:color="auto" w:fill="auto"/>
            <w:noWrap/>
            <w:vAlign w:val="bottom"/>
            <w:hideMark/>
          </w:tcPr>
          <w:p w14:paraId="365C9C1B"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 xml:space="preserve">              4,307,000 </w:t>
            </w:r>
          </w:p>
        </w:tc>
        <w:tc>
          <w:tcPr>
            <w:tcW w:w="1564" w:type="dxa"/>
            <w:tcBorders>
              <w:top w:val="nil"/>
              <w:left w:val="nil"/>
              <w:bottom w:val="single" w:sz="4" w:space="0" w:color="auto"/>
              <w:right w:val="single" w:sz="4" w:space="0" w:color="auto"/>
            </w:tcBorders>
            <w:shd w:val="clear" w:color="auto" w:fill="auto"/>
            <w:noWrap/>
            <w:vAlign w:val="bottom"/>
            <w:hideMark/>
          </w:tcPr>
          <w:p w14:paraId="19DD842A"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 xml:space="preserve">     9,452,000 </w:t>
            </w:r>
          </w:p>
        </w:tc>
        <w:tc>
          <w:tcPr>
            <w:tcW w:w="1592" w:type="dxa"/>
            <w:tcBorders>
              <w:top w:val="nil"/>
              <w:left w:val="nil"/>
              <w:bottom w:val="single" w:sz="4" w:space="0" w:color="auto"/>
              <w:right w:val="single" w:sz="4" w:space="0" w:color="auto"/>
            </w:tcBorders>
            <w:shd w:val="clear" w:color="auto" w:fill="auto"/>
            <w:noWrap/>
            <w:vAlign w:val="bottom"/>
            <w:hideMark/>
          </w:tcPr>
          <w:p w14:paraId="6223F641"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 xml:space="preserve">  (5,145,000)</w:t>
            </w:r>
          </w:p>
        </w:tc>
        <w:tc>
          <w:tcPr>
            <w:tcW w:w="1175" w:type="dxa"/>
            <w:tcBorders>
              <w:top w:val="nil"/>
              <w:left w:val="nil"/>
              <w:bottom w:val="single" w:sz="4" w:space="0" w:color="auto"/>
              <w:right w:val="single" w:sz="4" w:space="0" w:color="auto"/>
            </w:tcBorders>
            <w:shd w:val="clear" w:color="auto" w:fill="auto"/>
            <w:noWrap/>
            <w:vAlign w:val="bottom"/>
            <w:hideMark/>
          </w:tcPr>
          <w:p w14:paraId="18AB01E5" w14:textId="43D039CF" w:rsidR="005D4FB4" w:rsidRPr="005D4FB4" w:rsidRDefault="005D4FB4" w:rsidP="00E54F5C">
            <w:pPr>
              <w:spacing w:after="0" w:line="240" w:lineRule="auto"/>
              <w:jc w:val="center"/>
              <w:rPr>
                <w:rFonts w:ascii="Calibri" w:eastAsia="Times New Roman" w:hAnsi="Calibri" w:cs="Calibri"/>
                <w:color w:val="000000"/>
              </w:rPr>
            </w:pPr>
            <w:r w:rsidRPr="005D4FB4">
              <w:rPr>
                <w:rFonts w:ascii="Calibri" w:eastAsia="Times New Roman" w:hAnsi="Calibri" w:cs="Calibri"/>
                <w:color w:val="000000"/>
              </w:rPr>
              <w:t>-54</w:t>
            </w:r>
          </w:p>
        </w:tc>
      </w:tr>
      <w:tr w:rsidR="005D4FB4" w:rsidRPr="005D4FB4" w14:paraId="22801487" w14:textId="77777777" w:rsidTr="005D4FB4">
        <w:trPr>
          <w:trHeight w:val="326"/>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527A92CD"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Cost of Goods Sold</w:t>
            </w:r>
          </w:p>
        </w:tc>
        <w:tc>
          <w:tcPr>
            <w:tcW w:w="2129" w:type="dxa"/>
            <w:tcBorders>
              <w:top w:val="nil"/>
              <w:left w:val="nil"/>
              <w:bottom w:val="single" w:sz="4" w:space="0" w:color="auto"/>
              <w:right w:val="single" w:sz="4" w:space="0" w:color="auto"/>
            </w:tcBorders>
            <w:shd w:val="clear" w:color="auto" w:fill="auto"/>
            <w:noWrap/>
            <w:vAlign w:val="bottom"/>
            <w:hideMark/>
          </w:tcPr>
          <w:p w14:paraId="435EA89A"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 xml:space="preserve">              3,724,000 </w:t>
            </w:r>
          </w:p>
        </w:tc>
        <w:tc>
          <w:tcPr>
            <w:tcW w:w="1564" w:type="dxa"/>
            <w:tcBorders>
              <w:top w:val="nil"/>
              <w:left w:val="nil"/>
              <w:bottom w:val="single" w:sz="4" w:space="0" w:color="auto"/>
              <w:right w:val="single" w:sz="4" w:space="0" w:color="auto"/>
            </w:tcBorders>
            <w:shd w:val="clear" w:color="auto" w:fill="auto"/>
            <w:noWrap/>
            <w:vAlign w:val="bottom"/>
            <w:hideMark/>
          </w:tcPr>
          <w:p w14:paraId="2176E587"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 xml:space="preserve">     7,017,000 </w:t>
            </w:r>
          </w:p>
        </w:tc>
        <w:tc>
          <w:tcPr>
            <w:tcW w:w="1592" w:type="dxa"/>
            <w:tcBorders>
              <w:top w:val="nil"/>
              <w:left w:val="nil"/>
              <w:bottom w:val="single" w:sz="4" w:space="0" w:color="auto"/>
              <w:right w:val="single" w:sz="4" w:space="0" w:color="auto"/>
            </w:tcBorders>
            <w:shd w:val="clear" w:color="auto" w:fill="auto"/>
            <w:noWrap/>
            <w:vAlign w:val="bottom"/>
            <w:hideMark/>
          </w:tcPr>
          <w:p w14:paraId="69502DC1"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 xml:space="preserve">  (3,293,000)</w:t>
            </w:r>
          </w:p>
        </w:tc>
        <w:tc>
          <w:tcPr>
            <w:tcW w:w="1175" w:type="dxa"/>
            <w:tcBorders>
              <w:top w:val="nil"/>
              <w:left w:val="nil"/>
              <w:bottom w:val="single" w:sz="4" w:space="0" w:color="auto"/>
              <w:right w:val="single" w:sz="4" w:space="0" w:color="auto"/>
            </w:tcBorders>
            <w:shd w:val="clear" w:color="auto" w:fill="auto"/>
            <w:noWrap/>
            <w:vAlign w:val="bottom"/>
            <w:hideMark/>
          </w:tcPr>
          <w:p w14:paraId="43F82A6B" w14:textId="16C87C0A" w:rsidR="005D4FB4" w:rsidRPr="005D4FB4" w:rsidRDefault="005D4FB4" w:rsidP="00E54F5C">
            <w:pPr>
              <w:spacing w:after="0" w:line="240" w:lineRule="auto"/>
              <w:jc w:val="center"/>
              <w:rPr>
                <w:rFonts w:ascii="Calibri" w:eastAsia="Times New Roman" w:hAnsi="Calibri" w:cs="Calibri"/>
                <w:color w:val="000000"/>
              </w:rPr>
            </w:pPr>
            <w:r w:rsidRPr="005D4FB4">
              <w:rPr>
                <w:rFonts w:ascii="Calibri" w:eastAsia="Times New Roman" w:hAnsi="Calibri" w:cs="Calibri"/>
                <w:color w:val="000000"/>
              </w:rPr>
              <w:t>-47</w:t>
            </w:r>
          </w:p>
        </w:tc>
      </w:tr>
      <w:tr w:rsidR="005D4FB4" w:rsidRPr="005D4FB4" w14:paraId="69365CA7" w14:textId="77777777" w:rsidTr="005D4FB4">
        <w:trPr>
          <w:trHeight w:val="326"/>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6A047BA" w14:textId="77777777" w:rsidR="005D4FB4" w:rsidRPr="005D4FB4" w:rsidRDefault="005D4FB4" w:rsidP="005D4FB4">
            <w:pPr>
              <w:spacing w:after="0" w:line="240" w:lineRule="auto"/>
              <w:jc w:val="left"/>
              <w:rPr>
                <w:rFonts w:ascii="Calibri" w:eastAsia="Times New Roman" w:hAnsi="Calibri" w:cs="Calibri"/>
                <w:b/>
                <w:bCs/>
                <w:color w:val="000000"/>
              </w:rPr>
            </w:pPr>
            <w:r w:rsidRPr="005D4FB4">
              <w:rPr>
                <w:rFonts w:ascii="Calibri" w:eastAsia="Times New Roman" w:hAnsi="Calibri" w:cs="Calibri"/>
                <w:b/>
                <w:bCs/>
                <w:color w:val="000000"/>
              </w:rPr>
              <w:t>Gross Profit</w:t>
            </w:r>
          </w:p>
        </w:tc>
        <w:tc>
          <w:tcPr>
            <w:tcW w:w="2129" w:type="dxa"/>
            <w:tcBorders>
              <w:top w:val="nil"/>
              <w:left w:val="nil"/>
              <w:bottom w:val="single" w:sz="4" w:space="0" w:color="auto"/>
              <w:right w:val="single" w:sz="4" w:space="0" w:color="auto"/>
            </w:tcBorders>
            <w:shd w:val="clear" w:color="auto" w:fill="auto"/>
            <w:noWrap/>
            <w:vAlign w:val="bottom"/>
            <w:hideMark/>
          </w:tcPr>
          <w:p w14:paraId="6DEC6563" w14:textId="77777777" w:rsidR="005D4FB4" w:rsidRPr="005D4FB4" w:rsidRDefault="005D4FB4" w:rsidP="005D4FB4">
            <w:pPr>
              <w:spacing w:after="0" w:line="240" w:lineRule="auto"/>
              <w:jc w:val="left"/>
              <w:rPr>
                <w:rFonts w:ascii="Calibri" w:eastAsia="Times New Roman" w:hAnsi="Calibri" w:cs="Calibri"/>
                <w:b/>
                <w:bCs/>
                <w:color w:val="000000"/>
              </w:rPr>
            </w:pPr>
            <w:r w:rsidRPr="005D4FB4">
              <w:rPr>
                <w:rFonts w:ascii="Calibri" w:eastAsia="Times New Roman" w:hAnsi="Calibri" w:cs="Calibri"/>
                <w:b/>
                <w:bCs/>
                <w:color w:val="000000"/>
              </w:rPr>
              <w:t xml:space="preserve">                 583,000 </w:t>
            </w:r>
          </w:p>
        </w:tc>
        <w:tc>
          <w:tcPr>
            <w:tcW w:w="1564" w:type="dxa"/>
            <w:tcBorders>
              <w:top w:val="nil"/>
              <w:left w:val="nil"/>
              <w:bottom w:val="single" w:sz="4" w:space="0" w:color="auto"/>
              <w:right w:val="single" w:sz="4" w:space="0" w:color="auto"/>
            </w:tcBorders>
            <w:shd w:val="clear" w:color="auto" w:fill="auto"/>
            <w:noWrap/>
            <w:vAlign w:val="bottom"/>
            <w:hideMark/>
          </w:tcPr>
          <w:p w14:paraId="20FA775C" w14:textId="77777777" w:rsidR="005D4FB4" w:rsidRPr="005D4FB4" w:rsidRDefault="005D4FB4" w:rsidP="005D4FB4">
            <w:pPr>
              <w:spacing w:after="0" w:line="240" w:lineRule="auto"/>
              <w:jc w:val="left"/>
              <w:rPr>
                <w:rFonts w:ascii="Calibri" w:eastAsia="Times New Roman" w:hAnsi="Calibri" w:cs="Calibri"/>
                <w:b/>
                <w:bCs/>
                <w:color w:val="000000"/>
              </w:rPr>
            </w:pPr>
            <w:r w:rsidRPr="005D4FB4">
              <w:rPr>
                <w:rFonts w:ascii="Calibri" w:eastAsia="Times New Roman" w:hAnsi="Calibri" w:cs="Calibri"/>
                <w:b/>
                <w:bCs/>
                <w:color w:val="000000"/>
              </w:rPr>
              <w:t xml:space="preserve">     2,435,000 </w:t>
            </w:r>
          </w:p>
        </w:tc>
        <w:tc>
          <w:tcPr>
            <w:tcW w:w="1592" w:type="dxa"/>
            <w:tcBorders>
              <w:top w:val="nil"/>
              <w:left w:val="nil"/>
              <w:bottom w:val="single" w:sz="4" w:space="0" w:color="auto"/>
              <w:right w:val="single" w:sz="4" w:space="0" w:color="auto"/>
            </w:tcBorders>
            <w:shd w:val="clear" w:color="auto" w:fill="auto"/>
            <w:noWrap/>
            <w:vAlign w:val="bottom"/>
            <w:hideMark/>
          </w:tcPr>
          <w:p w14:paraId="43C1C995" w14:textId="77777777" w:rsidR="005D4FB4" w:rsidRPr="005D4FB4" w:rsidRDefault="005D4FB4" w:rsidP="005D4FB4">
            <w:pPr>
              <w:spacing w:after="0" w:line="240" w:lineRule="auto"/>
              <w:jc w:val="left"/>
              <w:rPr>
                <w:rFonts w:ascii="Calibri" w:eastAsia="Times New Roman" w:hAnsi="Calibri" w:cs="Calibri"/>
                <w:b/>
                <w:bCs/>
                <w:color w:val="000000"/>
              </w:rPr>
            </w:pPr>
            <w:r w:rsidRPr="005D4FB4">
              <w:rPr>
                <w:rFonts w:ascii="Calibri" w:eastAsia="Times New Roman" w:hAnsi="Calibri" w:cs="Calibri"/>
                <w:b/>
                <w:bCs/>
                <w:color w:val="000000"/>
              </w:rPr>
              <w:t xml:space="preserve">  (1,852,000)</w:t>
            </w:r>
          </w:p>
        </w:tc>
        <w:tc>
          <w:tcPr>
            <w:tcW w:w="1175" w:type="dxa"/>
            <w:tcBorders>
              <w:top w:val="nil"/>
              <w:left w:val="nil"/>
              <w:bottom w:val="single" w:sz="4" w:space="0" w:color="auto"/>
              <w:right w:val="single" w:sz="4" w:space="0" w:color="auto"/>
            </w:tcBorders>
            <w:shd w:val="clear" w:color="auto" w:fill="auto"/>
            <w:noWrap/>
            <w:vAlign w:val="bottom"/>
            <w:hideMark/>
          </w:tcPr>
          <w:p w14:paraId="7C5F25B4" w14:textId="244B45B4" w:rsidR="005D4FB4" w:rsidRPr="005D4FB4" w:rsidRDefault="005D4FB4" w:rsidP="00E54F5C">
            <w:pPr>
              <w:spacing w:after="0" w:line="240" w:lineRule="auto"/>
              <w:jc w:val="center"/>
              <w:rPr>
                <w:rFonts w:ascii="Calibri" w:eastAsia="Times New Roman" w:hAnsi="Calibri" w:cs="Calibri"/>
                <w:b/>
                <w:bCs/>
                <w:color w:val="000000"/>
              </w:rPr>
            </w:pPr>
            <w:r w:rsidRPr="005D4FB4">
              <w:rPr>
                <w:rFonts w:ascii="Calibri" w:eastAsia="Times New Roman" w:hAnsi="Calibri" w:cs="Calibri"/>
                <w:b/>
                <w:bCs/>
                <w:color w:val="000000"/>
              </w:rPr>
              <w:t>-76</w:t>
            </w:r>
          </w:p>
        </w:tc>
      </w:tr>
      <w:tr w:rsidR="005D4FB4" w:rsidRPr="005D4FB4" w14:paraId="7352E11A" w14:textId="77777777" w:rsidTr="005D4FB4">
        <w:trPr>
          <w:trHeight w:val="326"/>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658D7305"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Operating Expenses</w:t>
            </w:r>
          </w:p>
        </w:tc>
        <w:tc>
          <w:tcPr>
            <w:tcW w:w="2129" w:type="dxa"/>
            <w:tcBorders>
              <w:top w:val="nil"/>
              <w:left w:val="nil"/>
              <w:bottom w:val="single" w:sz="4" w:space="0" w:color="auto"/>
              <w:right w:val="single" w:sz="4" w:space="0" w:color="auto"/>
            </w:tcBorders>
            <w:shd w:val="clear" w:color="auto" w:fill="auto"/>
            <w:noWrap/>
            <w:vAlign w:val="bottom"/>
            <w:hideMark/>
          </w:tcPr>
          <w:p w14:paraId="7E82666C"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 xml:space="preserve">                 702,000 </w:t>
            </w:r>
          </w:p>
        </w:tc>
        <w:tc>
          <w:tcPr>
            <w:tcW w:w="1564" w:type="dxa"/>
            <w:tcBorders>
              <w:top w:val="nil"/>
              <w:left w:val="nil"/>
              <w:bottom w:val="single" w:sz="4" w:space="0" w:color="auto"/>
              <w:right w:val="single" w:sz="4" w:space="0" w:color="auto"/>
            </w:tcBorders>
            <w:shd w:val="clear" w:color="auto" w:fill="auto"/>
            <w:noWrap/>
            <w:vAlign w:val="bottom"/>
            <w:hideMark/>
          </w:tcPr>
          <w:p w14:paraId="6BA034BE"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 xml:space="preserve">         859,000 </w:t>
            </w:r>
          </w:p>
        </w:tc>
        <w:tc>
          <w:tcPr>
            <w:tcW w:w="1592" w:type="dxa"/>
            <w:tcBorders>
              <w:top w:val="nil"/>
              <w:left w:val="nil"/>
              <w:bottom w:val="single" w:sz="4" w:space="0" w:color="auto"/>
              <w:right w:val="single" w:sz="4" w:space="0" w:color="auto"/>
            </w:tcBorders>
            <w:shd w:val="clear" w:color="auto" w:fill="auto"/>
            <w:noWrap/>
            <w:vAlign w:val="bottom"/>
            <w:hideMark/>
          </w:tcPr>
          <w:p w14:paraId="7C14526F"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 xml:space="preserve">      (157,000)</w:t>
            </w:r>
          </w:p>
        </w:tc>
        <w:tc>
          <w:tcPr>
            <w:tcW w:w="1175" w:type="dxa"/>
            <w:tcBorders>
              <w:top w:val="nil"/>
              <w:left w:val="nil"/>
              <w:bottom w:val="single" w:sz="4" w:space="0" w:color="auto"/>
              <w:right w:val="single" w:sz="4" w:space="0" w:color="auto"/>
            </w:tcBorders>
            <w:shd w:val="clear" w:color="auto" w:fill="auto"/>
            <w:noWrap/>
            <w:vAlign w:val="bottom"/>
            <w:hideMark/>
          </w:tcPr>
          <w:p w14:paraId="32AB5E71" w14:textId="76BDDB76" w:rsidR="005D4FB4" w:rsidRPr="005D4FB4" w:rsidRDefault="005D4FB4" w:rsidP="00E54F5C">
            <w:pPr>
              <w:spacing w:after="0" w:line="240" w:lineRule="auto"/>
              <w:jc w:val="center"/>
              <w:rPr>
                <w:rFonts w:ascii="Calibri" w:eastAsia="Times New Roman" w:hAnsi="Calibri" w:cs="Calibri"/>
                <w:color w:val="000000"/>
              </w:rPr>
            </w:pPr>
            <w:r w:rsidRPr="005D4FB4">
              <w:rPr>
                <w:rFonts w:ascii="Calibri" w:eastAsia="Times New Roman" w:hAnsi="Calibri" w:cs="Calibri"/>
                <w:color w:val="000000"/>
              </w:rPr>
              <w:t>-18</w:t>
            </w:r>
          </w:p>
        </w:tc>
      </w:tr>
      <w:tr w:rsidR="005D4FB4" w:rsidRPr="005D4FB4" w14:paraId="33D12ED5" w14:textId="77777777" w:rsidTr="005D4FB4">
        <w:trPr>
          <w:trHeight w:val="326"/>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4D928A4C" w14:textId="77777777" w:rsidR="005D4FB4" w:rsidRPr="005D4FB4" w:rsidRDefault="005D4FB4" w:rsidP="005D4FB4">
            <w:pPr>
              <w:spacing w:after="0" w:line="240" w:lineRule="auto"/>
              <w:jc w:val="left"/>
              <w:rPr>
                <w:rFonts w:ascii="Calibri" w:eastAsia="Times New Roman" w:hAnsi="Calibri" w:cs="Calibri"/>
                <w:b/>
                <w:bCs/>
                <w:color w:val="000000"/>
              </w:rPr>
            </w:pPr>
            <w:r w:rsidRPr="005D4FB4">
              <w:rPr>
                <w:rFonts w:ascii="Calibri" w:eastAsia="Times New Roman" w:hAnsi="Calibri" w:cs="Calibri"/>
                <w:b/>
                <w:bCs/>
                <w:color w:val="000000"/>
              </w:rPr>
              <w:t>Operating Income</w:t>
            </w:r>
          </w:p>
        </w:tc>
        <w:tc>
          <w:tcPr>
            <w:tcW w:w="2129" w:type="dxa"/>
            <w:tcBorders>
              <w:top w:val="nil"/>
              <w:left w:val="nil"/>
              <w:bottom w:val="single" w:sz="4" w:space="0" w:color="auto"/>
              <w:right w:val="single" w:sz="4" w:space="0" w:color="auto"/>
            </w:tcBorders>
            <w:shd w:val="clear" w:color="auto" w:fill="auto"/>
            <w:noWrap/>
            <w:vAlign w:val="bottom"/>
            <w:hideMark/>
          </w:tcPr>
          <w:p w14:paraId="09D05629" w14:textId="77777777" w:rsidR="005D4FB4" w:rsidRPr="005D4FB4" w:rsidRDefault="005D4FB4" w:rsidP="005D4FB4">
            <w:pPr>
              <w:spacing w:after="0" w:line="240" w:lineRule="auto"/>
              <w:jc w:val="left"/>
              <w:rPr>
                <w:rFonts w:ascii="Calibri" w:eastAsia="Times New Roman" w:hAnsi="Calibri" w:cs="Calibri"/>
                <w:b/>
                <w:bCs/>
                <w:color w:val="000000"/>
              </w:rPr>
            </w:pPr>
            <w:r w:rsidRPr="005D4FB4">
              <w:rPr>
                <w:rFonts w:ascii="Calibri" w:eastAsia="Times New Roman" w:hAnsi="Calibri" w:cs="Calibri"/>
                <w:b/>
                <w:bCs/>
                <w:color w:val="000000"/>
              </w:rPr>
              <w:t xml:space="preserve">               (119,000)</w:t>
            </w:r>
          </w:p>
        </w:tc>
        <w:tc>
          <w:tcPr>
            <w:tcW w:w="1564" w:type="dxa"/>
            <w:tcBorders>
              <w:top w:val="nil"/>
              <w:left w:val="nil"/>
              <w:bottom w:val="single" w:sz="4" w:space="0" w:color="auto"/>
              <w:right w:val="single" w:sz="4" w:space="0" w:color="auto"/>
            </w:tcBorders>
            <w:shd w:val="clear" w:color="auto" w:fill="auto"/>
            <w:noWrap/>
            <w:vAlign w:val="bottom"/>
            <w:hideMark/>
          </w:tcPr>
          <w:p w14:paraId="1886207D" w14:textId="77777777" w:rsidR="005D4FB4" w:rsidRPr="005D4FB4" w:rsidRDefault="005D4FB4" w:rsidP="005D4FB4">
            <w:pPr>
              <w:spacing w:after="0" w:line="240" w:lineRule="auto"/>
              <w:jc w:val="left"/>
              <w:rPr>
                <w:rFonts w:ascii="Calibri" w:eastAsia="Times New Roman" w:hAnsi="Calibri" w:cs="Calibri"/>
                <w:b/>
                <w:bCs/>
                <w:color w:val="000000"/>
              </w:rPr>
            </w:pPr>
            <w:r w:rsidRPr="005D4FB4">
              <w:rPr>
                <w:rFonts w:ascii="Calibri" w:eastAsia="Times New Roman" w:hAnsi="Calibri" w:cs="Calibri"/>
                <w:b/>
                <w:bCs/>
                <w:color w:val="000000"/>
              </w:rPr>
              <w:t xml:space="preserve">     1,576,000 </w:t>
            </w:r>
          </w:p>
        </w:tc>
        <w:tc>
          <w:tcPr>
            <w:tcW w:w="1592" w:type="dxa"/>
            <w:tcBorders>
              <w:top w:val="nil"/>
              <w:left w:val="nil"/>
              <w:bottom w:val="single" w:sz="4" w:space="0" w:color="auto"/>
              <w:right w:val="single" w:sz="4" w:space="0" w:color="auto"/>
            </w:tcBorders>
            <w:shd w:val="clear" w:color="auto" w:fill="auto"/>
            <w:noWrap/>
            <w:vAlign w:val="bottom"/>
            <w:hideMark/>
          </w:tcPr>
          <w:p w14:paraId="6C991AB9" w14:textId="77777777" w:rsidR="005D4FB4" w:rsidRPr="005D4FB4" w:rsidRDefault="005D4FB4" w:rsidP="005D4FB4">
            <w:pPr>
              <w:spacing w:after="0" w:line="240" w:lineRule="auto"/>
              <w:jc w:val="left"/>
              <w:rPr>
                <w:rFonts w:ascii="Calibri" w:eastAsia="Times New Roman" w:hAnsi="Calibri" w:cs="Calibri"/>
                <w:b/>
                <w:bCs/>
                <w:color w:val="000000"/>
              </w:rPr>
            </w:pPr>
            <w:r w:rsidRPr="005D4FB4">
              <w:rPr>
                <w:rFonts w:ascii="Calibri" w:eastAsia="Times New Roman" w:hAnsi="Calibri" w:cs="Calibri"/>
                <w:b/>
                <w:bCs/>
                <w:color w:val="000000"/>
              </w:rPr>
              <w:t xml:space="preserve">  (1,695,000)</w:t>
            </w:r>
          </w:p>
        </w:tc>
        <w:tc>
          <w:tcPr>
            <w:tcW w:w="1175" w:type="dxa"/>
            <w:tcBorders>
              <w:top w:val="nil"/>
              <w:left w:val="nil"/>
              <w:bottom w:val="single" w:sz="4" w:space="0" w:color="auto"/>
              <w:right w:val="single" w:sz="4" w:space="0" w:color="auto"/>
            </w:tcBorders>
            <w:shd w:val="clear" w:color="auto" w:fill="auto"/>
            <w:noWrap/>
            <w:vAlign w:val="bottom"/>
            <w:hideMark/>
          </w:tcPr>
          <w:p w14:paraId="48A317B4" w14:textId="6C992C3C" w:rsidR="005D4FB4" w:rsidRPr="005D4FB4" w:rsidRDefault="005D4FB4" w:rsidP="00E54F5C">
            <w:pPr>
              <w:spacing w:after="0" w:line="240" w:lineRule="auto"/>
              <w:jc w:val="center"/>
              <w:rPr>
                <w:rFonts w:ascii="Calibri" w:eastAsia="Times New Roman" w:hAnsi="Calibri" w:cs="Calibri"/>
                <w:b/>
                <w:bCs/>
                <w:color w:val="000000"/>
              </w:rPr>
            </w:pPr>
            <w:r w:rsidRPr="005D4FB4">
              <w:rPr>
                <w:rFonts w:ascii="Calibri" w:eastAsia="Times New Roman" w:hAnsi="Calibri" w:cs="Calibri"/>
                <w:b/>
                <w:bCs/>
                <w:color w:val="000000"/>
              </w:rPr>
              <w:t>-108</w:t>
            </w:r>
          </w:p>
        </w:tc>
      </w:tr>
      <w:tr w:rsidR="005D4FB4" w:rsidRPr="005D4FB4" w14:paraId="1569CD73" w14:textId="77777777" w:rsidTr="005D4FB4">
        <w:trPr>
          <w:trHeight w:val="326"/>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AFE5E11"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Interest Expense</w:t>
            </w:r>
          </w:p>
        </w:tc>
        <w:tc>
          <w:tcPr>
            <w:tcW w:w="2129" w:type="dxa"/>
            <w:tcBorders>
              <w:top w:val="nil"/>
              <w:left w:val="nil"/>
              <w:bottom w:val="single" w:sz="4" w:space="0" w:color="auto"/>
              <w:right w:val="single" w:sz="4" w:space="0" w:color="auto"/>
            </w:tcBorders>
            <w:shd w:val="clear" w:color="auto" w:fill="auto"/>
            <w:noWrap/>
            <w:vAlign w:val="bottom"/>
            <w:hideMark/>
          </w:tcPr>
          <w:p w14:paraId="0B6BB754"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 xml:space="preserve">                 429,000 </w:t>
            </w:r>
          </w:p>
        </w:tc>
        <w:tc>
          <w:tcPr>
            <w:tcW w:w="1564" w:type="dxa"/>
            <w:tcBorders>
              <w:top w:val="nil"/>
              <w:left w:val="nil"/>
              <w:bottom w:val="single" w:sz="4" w:space="0" w:color="auto"/>
              <w:right w:val="single" w:sz="4" w:space="0" w:color="auto"/>
            </w:tcBorders>
            <w:shd w:val="clear" w:color="auto" w:fill="auto"/>
            <w:noWrap/>
            <w:vAlign w:val="bottom"/>
            <w:hideMark/>
          </w:tcPr>
          <w:p w14:paraId="3E64BC73"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 xml:space="preserve">         414,000 </w:t>
            </w:r>
          </w:p>
        </w:tc>
        <w:tc>
          <w:tcPr>
            <w:tcW w:w="1592" w:type="dxa"/>
            <w:tcBorders>
              <w:top w:val="nil"/>
              <w:left w:val="nil"/>
              <w:bottom w:val="single" w:sz="4" w:space="0" w:color="auto"/>
              <w:right w:val="single" w:sz="4" w:space="0" w:color="auto"/>
            </w:tcBorders>
            <w:shd w:val="clear" w:color="auto" w:fill="auto"/>
            <w:noWrap/>
            <w:vAlign w:val="bottom"/>
            <w:hideMark/>
          </w:tcPr>
          <w:p w14:paraId="399E64B0"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 xml:space="preserve">          15,000 </w:t>
            </w:r>
          </w:p>
        </w:tc>
        <w:tc>
          <w:tcPr>
            <w:tcW w:w="1175" w:type="dxa"/>
            <w:tcBorders>
              <w:top w:val="nil"/>
              <w:left w:val="nil"/>
              <w:bottom w:val="single" w:sz="4" w:space="0" w:color="auto"/>
              <w:right w:val="single" w:sz="4" w:space="0" w:color="auto"/>
            </w:tcBorders>
            <w:shd w:val="clear" w:color="auto" w:fill="auto"/>
            <w:noWrap/>
            <w:vAlign w:val="bottom"/>
            <w:hideMark/>
          </w:tcPr>
          <w:p w14:paraId="0C8996C5" w14:textId="4B42E911" w:rsidR="005D4FB4" w:rsidRPr="005D4FB4" w:rsidRDefault="005D4FB4" w:rsidP="00E54F5C">
            <w:pPr>
              <w:spacing w:after="0" w:line="240" w:lineRule="auto"/>
              <w:jc w:val="center"/>
              <w:rPr>
                <w:rFonts w:ascii="Calibri" w:eastAsia="Times New Roman" w:hAnsi="Calibri" w:cs="Calibri"/>
                <w:color w:val="000000"/>
              </w:rPr>
            </w:pPr>
            <w:r w:rsidRPr="005D4FB4">
              <w:rPr>
                <w:rFonts w:ascii="Calibri" w:eastAsia="Times New Roman" w:hAnsi="Calibri" w:cs="Calibri"/>
                <w:color w:val="000000"/>
              </w:rPr>
              <w:t>4</w:t>
            </w:r>
          </w:p>
        </w:tc>
      </w:tr>
      <w:tr w:rsidR="005D4FB4" w:rsidRPr="005D4FB4" w14:paraId="45D24681" w14:textId="77777777" w:rsidTr="005D4FB4">
        <w:trPr>
          <w:trHeight w:val="326"/>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16FB6C01"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Other Income (</w:t>
            </w:r>
            <w:proofErr w:type="spellStart"/>
            <w:r w:rsidRPr="005D4FB4">
              <w:rPr>
                <w:rFonts w:ascii="Calibri" w:eastAsia="Times New Roman" w:hAnsi="Calibri" w:cs="Calibri"/>
                <w:color w:val="000000"/>
              </w:rPr>
              <w:t>Expneses</w:t>
            </w:r>
            <w:proofErr w:type="spellEnd"/>
            <w:r w:rsidRPr="005D4FB4">
              <w:rPr>
                <w:rFonts w:ascii="Calibri" w:eastAsia="Times New Roman" w:hAnsi="Calibri" w:cs="Calibri"/>
                <w:color w:val="000000"/>
              </w:rPr>
              <w:t>)</w:t>
            </w:r>
          </w:p>
        </w:tc>
        <w:tc>
          <w:tcPr>
            <w:tcW w:w="2129" w:type="dxa"/>
            <w:tcBorders>
              <w:top w:val="nil"/>
              <w:left w:val="nil"/>
              <w:bottom w:val="single" w:sz="4" w:space="0" w:color="auto"/>
              <w:right w:val="single" w:sz="4" w:space="0" w:color="auto"/>
            </w:tcBorders>
            <w:shd w:val="clear" w:color="auto" w:fill="auto"/>
            <w:noWrap/>
            <w:vAlign w:val="bottom"/>
            <w:hideMark/>
          </w:tcPr>
          <w:p w14:paraId="466B10D2"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 xml:space="preserve">               (376,000)</w:t>
            </w:r>
          </w:p>
        </w:tc>
        <w:tc>
          <w:tcPr>
            <w:tcW w:w="1564" w:type="dxa"/>
            <w:tcBorders>
              <w:top w:val="nil"/>
              <w:left w:val="nil"/>
              <w:bottom w:val="single" w:sz="4" w:space="0" w:color="auto"/>
              <w:right w:val="single" w:sz="4" w:space="0" w:color="auto"/>
            </w:tcBorders>
            <w:shd w:val="clear" w:color="auto" w:fill="auto"/>
            <w:noWrap/>
            <w:vAlign w:val="bottom"/>
            <w:hideMark/>
          </w:tcPr>
          <w:p w14:paraId="14711372"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 xml:space="preserve">           82,000 </w:t>
            </w:r>
          </w:p>
        </w:tc>
        <w:tc>
          <w:tcPr>
            <w:tcW w:w="1592" w:type="dxa"/>
            <w:tcBorders>
              <w:top w:val="nil"/>
              <w:left w:val="nil"/>
              <w:bottom w:val="single" w:sz="4" w:space="0" w:color="auto"/>
              <w:right w:val="single" w:sz="4" w:space="0" w:color="auto"/>
            </w:tcBorders>
            <w:shd w:val="clear" w:color="auto" w:fill="auto"/>
            <w:noWrap/>
            <w:vAlign w:val="bottom"/>
            <w:hideMark/>
          </w:tcPr>
          <w:p w14:paraId="5103B702" w14:textId="77777777" w:rsidR="005D4FB4" w:rsidRPr="005D4FB4" w:rsidRDefault="005D4FB4" w:rsidP="005D4FB4">
            <w:pPr>
              <w:spacing w:after="0" w:line="240" w:lineRule="auto"/>
              <w:jc w:val="left"/>
              <w:rPr>
                <w:rFonts w:ascii="Calibri" w:eastAsia="Times New Roman" w:hAnsi="Calibri" w:cs="Calibri"/>
                <w:color w:val="000000"/>
              </w:rPr>
            </w:pPr>
            <w:r w:rsidRPr="005D4FB4">
              <w:rPr>
                <w:rFonts w:ascii="Calibri" w:eastAsia="Times New Roman" w:hAnsi="Calibri" w:cs="Calibri"/>
                <w:color w:val="000000"/>
              </w:rPr>
              <w:t xml:space="preserve">      (458,000)</w:t>
            </w:r>
          </w:p>
        </w:tc>
        <w:tc>
          <w:tcPr>
            <w:tcW w:w="1175" w:type="dxa"/>
            <w:tcBorders>
              <w:top w:val="nil"/>
              <w:left w:val="nil"/>
              <w:bottom w:val="single" w:sz="4" w:space="0" w:color="auto"/>
              <w:right w:val="single" w:sz="4" w:space="0" w:color="auto"/>
            </w:tcBorders>
            <w:shd w:val="clear" w:color="auto" w:fill="auto"/>
            <w:noWrap/>
            <w:vAlign w:val="bottom"/>
            <w:hideMark/>
          </w:tcPr>
          <w:p w14:paraId="1690A338" w14:textId="60F400F9" w:rsidR="005D4FB4" w:rsidRPr="005D4FB4" w:rsidRDefault="005D4FB4" w:rsidP="00E54F5C">
            <w:pPr>
              <w:spacing w:after="0" w:line="240" w:lineRule="auto"/>
              <w:jc w:val="center"/>
              <w:rPr>
                <w:rFonts w:ascii="Calibri" w:eastAsia="Times New Roman" w:hAnsi="Calibri" w:cs="Calibri"/>
                <w:color w:val="000000"/>
              </w:rPr>
            </w:pPr>
            <w:r w:rsidRPr="005D4FB4">
              <w:rPr>
                <w:rFonts w:ascii="Calibri" w:eastAsia="Times New Roman" w:hAnsi="Calibri" w:cs="Calibri"/>
                <w:color w:val="000000"/>
              </w:rPr>
              <w:t>-559</w:t>
            </w:r>
          </w:p>
        </w:tc>
      </w:tr>
      <w:tr w:rsidR="005D4FB4" w:rsidRPr="005D4FB4" w14:paraId="4A82099C" w14:textId="77777777" w:rsidTr="005D4FB4">
        <w:trPr>
          <w:trHeight w:val="326"/>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2EE78E51" w14:textId="77777777" w:rsidR="005D4FB4" w:rsidRPr="005D4FB4" w:rsidRDefault="005D4FB4" w:rsidP="005D4FB4">
            <w:pPr>
              <w:spacing w:after="0" w:line="240" w:lineRule="auto"/>
              <w:jc w:val="left"/>
              <w:rPr>
                <w:rFonts w:ascii="Calibri" w:eastAsia="Times New Roman" w:hAnsi="Calibri" w:cs="Calibri"/>
                <w:b/>
                <w:bCs/>
                <w:color w:val="000000"/>
              </w:rPr>
            </w:pPr>
            <w:r w:rsidRPr="005D4FB4">
              <w:rPr>
                <w:rFonts w:ascii="Calibri" w:eastAsia="Times New Roman" w:hAnsi="Calibri" w:cs="Calibri"/>
                <w:b/>
                <w:bCs/>
                <w:color w:val="000000"/>
              </w:rPr>
              <w:t>Income before Taxes</w:t>
            </w:r>
          </w:p>
        </w:tc>
        <w:tc>
          <w:tcPr>
            <w:tcW w:w="2129" w:type="dxa"/>
            <w:tcBorders>
              <w:top w:val="nil"/>
              <w:left w:val="nil"/>
              <w:bottom w:val="single" w:sz="4" w:space="0" w:color="auto"/>
              <w:right w:val="single" w:sz="4" w:space="0" w:color="auto"/>
            </w:tcBorders>
            <w:shd w:val="clear" w:color="auto" w:fill="auto"/>
            <w:noWrap/>
            <w:vAlign w:val="bottom"/>
            <w:hideMark/>
          </w:tcPr>
          <w:p w14:paraId="044B8FE6" w14:textId="77777777" w:rsidR="005D4FB4" w:rsidRPr="005D4FB4" w:rsidRDefault="005D4FB4" w:rsidP="005D4FB4">
            <w:pPr>
              <w:spacing w:after="0" w:line="240" w:lineRule="auto"/>
              <w:jc w:val="left"/>
              <w:rPr>
                <w:rFonts w:ascii="Calibri" w:eastAsia="Times New Roman" w:hAnsi="Calibri" w:cs="Calibri"/>
                <w:b/>
                <w:bCs/>
                <w:color w:val="000000"/>
              </w:rPr>
            </w:pPr>
            <w:r w:rsidRPr="005D4FB4">
              <w:rPr>
                <w:rFonts w:ascii="Calibri" w:eastAsia="Times New Roman" w:hAnsi="Calibri" w:cs="Calibri"/>
                <w:b/>
                <w:bCs/>
                <w:color w:val="000000"/>
              </w:rPr>
              <w:t xml:space="preserve">               (924,000)</w:t>
            </w:r>
          </w:p>
        </w:tc>
        <w:tc>
          <w:tcPr>
            <w:tcW w:w="1564" w:type="dxa"/>
            <w:tcBorders>
              <w:top w:val="nil"/>
              <w:left w:val="nil"/>
              <w:bottom w:val="single" w:sz="4" w:space="0" w:color="auto"/>
              <w:right w:val="single" w:sz="4" w:space="0" w:color="auto"/>
            </w:tcBorders>
            <w:shd w:val="clear" w:color="auto" w:fill="auto"/>
            <w:noWrap/>
            <w:vAlign w:val="bottom"/>
            <w:hideMark/>
          </w:tcPr>
          <w:p w14:paraId="61DC0F31" w14:textId="77777777" w:rsidR="005D4FB4" w:rsidRPr="005D4FB4" w:rsidRDefault="005D4FB4" w:rsidP="005D4FB4">
            <w:pPr>
              <w:spacing w:after="0" w:line="240" w:lineRule="auto"/>
              <w:jc w:val="left"/>
              <w:rPr>
                <w:rFonts w:ascii="Calibri" w:eastAsia="Times New Roman" w:hAnsi="Calibri" w:cs="Calibri"/>
                <w:b/>
                <w:bCs/>
                <w:color w:val="000000"/>
              </w:rPr>
            </w:pPr>
            <w:r w:rsidRPr="005D4FB4">
              <w:rPr>
                <w:rFonts w:ascii="Calibri" w:eastAsia="Times New Roman" w:hAnsi="Calibri" w:cs="Calibri"/>
                <w:b/>
                <w:bCs/>
                <w:color w:val="000000"/>
              </w:rPr>
              <w:t xml:space="preserve">     1,244,000 </w:t>
            </w:r>
          </w:p>
        </w:tc>
        <w:tc>
          <w:tcPr>
            <w:tcW w:w="1592" w:type="dxa"/>
            <w:tcBorders>
              <w:top w:val="nil"/>
              <w:left w:val="nil"/>
              <w:bottom w:val="single" w:sz="4" w:space="0" w:color="auto"/>
              <w:right w:val="single" w:sz="4" w:space="0" w:color="auto"/>
            </w:tcBorders>
            <w:shd w:val="clear" w:color="auto" w:fill="auto"/>
            <w:noWrap/>
            <w:vAlign w:val="bottom"/>
            <w:hideMark/>
          </w:tcPr>
          <w:p w14:paraId="523FC42F" w14:textId="77777777" w:rsidR="005D4FB4" w:rsidRPr="005D4FB4" w:rsidRDefault="005D4FB4" w:rsidP="005D4FB4">
            <w:pPr>
              <w:spacing w:after="0" w:line="240" w:lineRule="auto"/>
              <w:jc w:val="left"/>
              <w:rPr>
                <w:rFonts w:ascii="Calibri" w:eastAsia="Times New Roman" w:hAnsi="Calibri" w:cs="Calibri"/>
                <w:b/>
                <w:bCs/>
                <w:color w:val="000000"/>
              </w:rPr>
            </w:pPr>
            <w:r w:rsidRPr="005D4FB4">
              <w:rPr>
                <w:rFonts w:ascii="Calibri" w:eastAsia="Times New Roman" w:hAnsi="Calibri" w:cs="Calibri"/>
                <w:b/>
                <w:bCs/>
                <w:color w:val="000000"/>
              </w:rPr>
              <w:t xml:space="preserve">  (2,168,000)</w:t>
            </w:r>
          </w:p>
        </w:tc>
        <w:tc>
          <w:tcPr>
            <w:tcW w:w="1175" w:type="dxa"/>
            <w:tcBorders>
              <w:top w:val="nil"/>
              <w:left w:val="nil"/>
              <w:bottom w:val="single" w:sz="4" w:space="0" w:color="auto"/>
              <w:right w:val="single" w:sz="4" w:space="0" w:color="auto"/>
            </w:tcBorders>
            <w:shd w:val="clear" w:color="auto" w:fill="auto"/>
            <w:noWrap/>
            <w:vAlign w:val="bottom"/>
            <w:hideMark/>
          </w:tcPr>
          <w:p w14:paraId="735622CD" w14:textId="0BD63B75" w:rsidR="005D4FB4" w:rsidRPr="005D4FB4" w:rsidRDefault="005D4FB4" w:rsidP="00E54F5C">
            <w:pPr>
              <w:spacing w:after="0" w:line="240" w:lineRule="auto"/>
              <w:jc w:val="center"/>
              <w:rPr>
                <w:rFonts w:ascii="Calibri" w:eastAsia="Times New Roman" w:hAnsi="Calibri" w:cs="Calibri"/>
                <w:b/>
                <w:bCs/>
                <w:color w:val="000000"/>
              </w:rPr>
            </w:pPr>
            <w:r w:rsidRPr="005D4FB4">
              <w:rPr>
                <w:rFonts w:ascii="Calibri" w:eastAsia="Times New Roman" w:hAnsi="Calibri" w:cs="Calibri"/>
                <w:b/>
                <w:bCs/>
                <w:color w:val="000000"/>
              </w:rPr>
              <w:t>-174</w:t>
            </w:r>
          </w:p>
        </w:tc>
      </w:tr>
      <w:tr w:rsidR="005D4FB4" w:rsidRPr="005D4FB4" w14:paraId="1C2ABEAC" w14:textId="77777777" w:rsidTr="005D4FB4">
        <w:trPr>
          <w:trHeight w:val="326"/>
        </w:trPr>
        <w:tc>
          <w:tcPr>
            <w:tcW w:w="2956" w:type="dxa"/>
            <w:tcBorders>
              <w:top w:val="nil"/>
              <w:left w:val="single" w:sz="4" w:space="0" w:color="auto"/>
              <w:bottom w:val="single" w:sz="4" w:space="0" w:color="auto"/>
              <w:right w:val="single" w:sz="4" w:space="0" w:color="auto"/>
            </w:tcBorders>
            <w:shd w:val="clear" w:color="auto" w:fill="auto"/>
            <w:noWrap/>
            <w:vAlign w:val="bottom"/>
            <w:hideMark/>
          </w:tcPr>
          <w:p w14:paraId="79B77851" w14:textId="77777777" w:rsidR="005D4FB4" w:rsidRPr="005D4FB4" w:rsidRDefault="005D4FB4" w:rsidP="005D4FB4">
            <w:pPr>
              <w:spacing w:after="0" w:line="240" w:lineRule="auto"/>
              <w:jc w:val="left"/>
              <w:rPr>
                <w:rFonts w:ascii="Calibri" w:eastAsia="Times New Roman" w:hAnsi="Calibri" w:cs="Calibri"/>
                <w:b/>
                <w:bCs/>
                <w:color w:val="000000"/>
              </w:rPr>
            </w:pPr>
            <w:r w:rsidRPr="005D4FB4">
              <w:rPr>
                <w:rFonts w:ascii="Calibri" w:eastAsia="Times New Roman" w:hAnsi="Calibri" w:cs="Calibri"/>
                <w:b/>
                <w:bCs/>
                <w:color w:val="000000"/>
              </w:rPr>
              <w:t>Net Income</w:t>
            </w:r>
          </w:p>
        </w:tc>
        <w:tc>
          <w:tcPr>
            <w:tcW w:w="2129" w:type="dxa"/>
            <w:tcBorders>
              <w:top w:val="nil"/>
              <w:left w:val="nil"/>
              <w:bottom w:val="single" w:sz="4" w:space="0" w:color="auto"/>
              <w:right w:val="single" w:sz="4" w:space="0" w:color="auto"/>
            </w:tcBorders>
            <w:shd w:val="clear" w:color="auto" w:fill="auto"/>
            <w:noWrap/>
            <w:vAlign w:val="bottom"/>
            <w:hideMark/>
          </w:tcPr>
          <w:p w14:paraId="0E8FA2AE" w14:textId="77777777" w:rsidR="005D4FB4" w:rsidRPr="005D4FB4" w:rsidRDefault="005D4FB4" w:rsidP="005D4FB4">
            <w:pPr>
              <w:spacing w:after="0" w:line="240" w:lineRule="auto"/>
              <w:jc w:val="left"/>
              <w:rPr>
                <w:rFonts w:ascii="Calibri" w:eastAsia="Times New Roman" w:hAnsi="Calibri" w:cs="Calibri"/>
                <w:b/>
                <w:bCs/>
                <w:color w:val="000000"/>
              </w:rPr>
            </w:pPr>
            <w:r w:rsidRPr="005D4FB4">
              <w:rPr>
                <w:rFonts w:ascii="Calibri" w:eastAsia="Times New Roman" w:hAnsi="Calibri" w:cs="Calibri"/>
                <w:b/>
                <w:bCs/>
                <w:color w:val="000000"/>
              </w:rPr>
              <w:t xml:space="preserve">               (715,000)</w:t>
            </w:r>
          </w:p>
        </w:tc>
        <w:tc>
          <w:tcPr>
            <w:tcW w:w="1564" w:type="dxa"/>
            <w:tcBorders>
              <w:top w:val="nil"/>
              <w:left w:val="nil"/>
              <w:bottom w:val="single" w:sz="4" w:space="0" w:color="auto"/>
              <w:right w:val="single" w:sz="4" w:space="0" w:color="auto"/>
            </w:tcBorders>
            <w:shd w:val="clear" w:color="auto" w:fill="auto"/>
            <w:noWrap/>
            <w:vAlign w:val="bottom"/>
            <w:hideMark/>
          </w:tcPr>
          <w:p w14:paraId="3760AC60" w14:textId="77777777" w:rsidR="005D4FB4" w:rsidRPr="005D4FB4" w:rsidRDefault="005D4FB4" w:rsidP="005D4FB4">
            <w:pPr>
              <w:spacing w:after="0" w:line="240" w:lineRule="auto"/>
              <w:jc w:val="left"/>
              <w:rPr>
                <w:rFonts w:ascii="Calibri" w:eastAsia="Times New Roman" w:hAnsi="Calibri" w:cs="Calibri"/>
                <w:b/>
                <w:bCs/>
                <w:color w:val="000000"/>
              </w:rPr>
            </w:pPr>
            <w:r w:rsidRPr="005D4FB4">
              <w:rPr>
                <w:rFonts w:ascii="Calibri" w:eastAsia="Times New Roman" w:hAnsi="Calibri" w:cs="Calibri"/>
                <w:b/>
                <w:bCs/>
                <w:color w:val="000000"/>
              </w:rPr>
              <w:t xml:space="preserve">         881,000 </w:t>
            </w:r>
          </w:p>
        </w:tc>
        <w:tc>
          <w:tcPr>
            <w:tcW w:w="1592" w:type="dxa"/>
            <w:tcBorders>
              <w:top w:val="nil"/>
              <w:left w:val="nil"/>
              <w:bottom w:val="single" w:sz="4" w:space="0" w:color="auto"/>
              <w:right w:val="single" w:sz="4" w:space="0" w:color="auto"/>
            </w:tcBorders>
            <w:shd w:val="clear" w:color="auto" w:fill="auto"/>
            <w:noWrap/>
            <w:vAlign w:val="bottom"/>
            <w:hideMark/>
          </w:tcPr>
          <w:p w14:paraId="12C1BD70" w14:textId="77777777" w:rsidR="005D4FB4" w:rsidRPr="005D4FB4" w:rsidRDefault="005D4FB4" w:rsidP="005D4FB4">
            <w:pPr>
              <w:spacing w:after="0" w:line="240" w:lineRule="auto"/>
              <w:jc w:val="left"/>
              <w:rPr>
                <w:rFonts w:ascii="Calibri" w:eastAsia="Times New Roman" w:hAnsi="Calibri" w:cs="Calibri"/>
                <w:b/>
                <w:bCs/>
                <w:color w:val="000000"/>
              </w:rPr>
            </w:pPr>
            <w:r w:rsidRPr="005D4FB4">
              <w:rPr>
                <w:rFonts w:ascii="Calibri" w:eastAsia="Times New Roman" w:hAnsi="Calibri" w:cs="Calibri"/>
                <w:b/>
                <w:bCs/>
                <w:color w:val="000000"/>
              </w:rPr>
              <w:t xml:space="preserve">  (1,596,000)</w:t>
            </w:r>
          </w:p>
        </w:tc>
        <w:tc>
          <w:tcPr>
            <w:tcW w:w="1175" w:type="dxa"/>
            <w:tcBorders>
              <w:top w:val="nil"/>
              <w:left w:val="nil"/>
              <w:bottom w:val="single" w:sz="4" w:space="0" w:color="auto"/>
              <w:right w:val="single" w:sz="4" w:space="0" w:color="auto"/>
            </w:tcBorders>
            <w:shd w:val="clear" w:color="auto" w:fill="auto"/>
            <w:noWrap/>
            <w:vAlign w:val="bottom"/>
            <w:hideMark/>
          </w:tcPr>
          <w:p w14:paraId="2D8D2E02" w14:textId="34B3B9AB" w:rsidR="005D4FB4" w:rsidRPr="005D4FB4" w:rsidRDefault="005D4FB4" w:rsidP="00E54F5C">
            <w:pPr>
              <w:spacing w:after="0" w:line="240" w:lineRule="auto"/>
              <w:jc w:val="center"/>
              <w:rPr>
                <w:rFonts w:ascii="Calibri" w:eastAsia="Times New Roman" w:hAnsi="Calibri" w:cs="Calibri"/>
                <w:b/>
                <w:bCs/>
                <w:color w:val="000000"/>
              </w:rPr>
            </w:pPr>
            <w:r w:rsidRPr="005D4FB4">
              <w:rPr>
                <w:rFonts w:ascii="Calibri" w:eastAsia="Times New Roman" w:hAnsi="Calibri" w:cs="Calibri"/>
                <w:b/>
                <w:bCs/>
                <w:color w:val="000000"/>
              </w:rPr>
              <w:t>-181</w:t>
            </w:r>
          </w:p>
        </w:tc>
      </w:tr>
    </w:tbl>
    <w:p w14:paraId="2EE18BF3" w14:textId="77777777" w:rsidR="005D4FB4" w:rsidRDefault="005D4FB4"/>
    <w:p w14:paraId="1DC2BD59" w14:textId="77777777" w:rsidR="005D4FB4" w:rsidRDefault="0004239E">
      <w:r>
        <w:t>From the table above, it can be seen that the company’s sales decreased by more than half in 2020 from 2019. In amount, it was more than 5 million and in percentage, it was 54% negative change. In 2020, the cost of sales also became nearly half the cost of sales in 2019. It was a negative 47%. With the change in sales, it is expected that the c</w:t>
      </w:r>
      <w:r w:rsidR="006A1E59">
        <w:t xml:space="preserve">ost of goods sold will decrease. In this case, it is evident that although the sales decreased by more than 50%, the cost of sales decrease by less than 50%. As the company failed to cut the cost of sales by the same percentage of sales, the overall profit of the company decreased by more than the percentage change in sales. The gross profit </w:t>
      </w:r>
      <w:r w:rsidR="006A1E59">
        <w:lastRenderedPageBreak/>
        <w:t>decreased by 76%. If we look further at the operating expenses we can observe that operating expenses did not change much. It decreased only by 18%. The phenomenon indicates that the company relies heavily on fixed costs that could not be cut with the c</w:t>
      </w:r>
      <w:r w:rsidR="00ED68B0">
        <w:t>hange in sales (</w:t>
      </w:r>
      <w:proofErr w:type="spellStart"/>
      <w:r w:rsidR="00ED68B0">
        <w:t>Wahlen</w:t>
      </w:r>
      <w:proofErr w:type="spellEnd"/>
      <w:r w:rsidR="00ED68B0">
        <w:t xml:space="preserve"> et al., 2014)</w:t>
      </w:r>
      <w:r w:rsidR="00FD0ADC">
        <w:t>. Although the level of sales decreased in 2020, the interest expense increased by 4%. It indicates that the company might face financial distress that leaded costly financing</w:t>
      </w:r>
      <w:r w:rsidR="00ED68B0">
        <w:t xml:space="preserve"> (Subramanyam, 2014</w:t>
      </w:r>
      <w:proofErr w:type="gramStart"/>
      <w:r w:rsidR="00ED68B0">
        <w:t>).</w:t>
      </w:r>
      <w:r w:rsidR="00FD0ADC">
        <w:t>.</w:t>
      </w:r>
      <w:proofErr w:type="gramEnd"/>
      <w:r w:rsidR="00FD0ADC">
        <w:t xml:space="preserve"> While the company reported net other income in 2019, it reported other expenses in 2020 which indicates the company’s further financial distress. Overall, the company has experienced a 181% decrease in net income. The net income of $881,000 turned into a net loss of $715,000 in 2020.</w:t>
      </w:r>
    </w:p>
    <w:p w14:paraId="52E6D187" w14:textId="77777777" w:rsidR="00FD0ADC" w:rsidRDefault="00FD0ADC">
      <w:r>
        <w:t>N</w:t>
      </w:r>
      <w:r w:rsidR="00A60637">
        <w:t>ow, we focus on the horizontal changes in the balance sheet. The following table shows the absolute as well as the percentage change in the balance sheet.</w:t>
      </w:r>
    </w:p>
    <w:tbl>
      <w:tblPr>
        <w:tblW w:w="9447" w:type="dxa"/>
        <w:tblLook w:val="04A0" w:firstRow="1" w:lastRow="0" w:firstColumn="1" w:lastColumn="0" w:noHBand="0" w:noVBand="1"/>
      </w:tblPr>
      <w:tblGrid>
        <w:gridCol w:w="3079"/>
        <w:gridCol w:w="2058"/>
        <w:gridCol w:w="1569"/>
        <w:gridCol w:w="1579"/>
        <w:gridCol w:w="1162"/>
      </w:tblGrid>
      <w:tr w:rsidR="00A60637" w:rsidRPr="00A60637" w14:paraId="4F305B93" w14:textId="77777777" w:rsidTr="00A60637">
        <w:trPr>
          <w:trHeight w:val="383"/>
        </w:trPr>
        <w:tc>
          <w:tcPr>
            <w:tcW w:w="9447"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010BD8" w14:textId="77777777" w:rsidR="00A60637" w:rsidRPr="00A60637" w:rsidRDefault="00A60637" w:rsidP="00A60637">
            <w:pPr>
              <w:spacing w:after="0" w:line="240" w:lineRule="auto"/>
              <w:jc w:val="center"/>
              <w:rPr>
                <w:rFonts w:ascii="Calibri" w:eastAsia="Times New Roman" w:hAnsi="Calibri" w:cs="Calibri"/>
                <w:b/>
                <w:bCs/>
                <w:color w:val="000000"/>
                <w:sz w:val="28"/>
                <w:szCs w:val="28"/>
              </w:rPr>
            </w:pPr>
            <w:r w:rsidRPr="00A60637">
              <w:rPr>
                <w:rFonts w:ascii="Calibri" w:eastAsia="Times New Roman" w:hAnsi="Calibri" w:cs="Calibri"/>
                <w:b/>
                <w:bCs/>
                <w:color w:val="000000"/>
                <w:sz w:val="28"/>
                <w:szCs w:val="28"/>
              </w:rPr>
              <w:t>Hilton Worldwide Holdings Inc. (HLT)</w:t>
            </w:r>
          </w:p>
        </w:tc>
      </w:tr>
      <w:tr w:rsidR="00A60637" w:rsidRPr="00A60637" w14:paraId="67995FDA" w14:textId="77777777" w:rsidTr="00A60637">
        <w:trPr>
          <w:trHeight w:val="322"/>
        </w:trPr>
        <w:tc>
          <w:tcPr>
            <w:tcW w:w="9447"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35E4DB" w14:textId="77777777" w:rsidR="00A60637" w:rsidRPr="00A60637" w:rsidRDefault="00A60637" w:rsidP="00A60637">
            <w:pPr>
              <w:spacing w:after="0" w:line="240" w:lineRule="auto"/>
              <w:jc w:val="center"/>
              <w:rPr>
                <w:rFonts w:ascii="Calibri" w:eastAsia="Times New Roman" w:hAnsi="Calibri" w:cs="Calibri"/>
                <w:i/>
                <w:iCs/>
                <w:color w:val="000000"/>
                <w:szCs w:val="24"/>
              </w:rPr>
            </w:pPr>
            <w:r w:rsidRPr="00A60637">
              <w:rPr>
                <w:rFonts w:ascii="Calibri" w:eastAsia="Times New Roman" w:hAnsi="Calibri" w:cs="Calibri"/>
                <w:i/>
                <w:iCs/>
                <w:color w:val="000000"/>
                <w:szCs w:val="24"/>
              </w:rPr>
              <w:t>Balance Sheet 2019 and 2020</w:t>
            </w:r>
          </w:p>
        </w:tc>
      </w:tr>
      <w:tr w:rsidR="00A60637" w:rsidRPr="00A60637" w14:paraId="4EA2549D" w14:textId="77777777" w:rsidTr="00A60637">
        <w:trPr>
          <w:trHeight w:val="306"/>
        </w:trPr>
        <w:tc>
          <w:tcPr>
            <w:tcW w:w="3079" w:type="dxa"/>
            <w:tcBorders>
              <w:top w:val="nil"/>
              <w:left w:val="single" w:sz="4" w:space="0" w:color="auto"/>
              <w:bottom w:val="single" w:sz="4" w:space="0" w:color="auto"/>
              <w:right w:val="single" w:sz="4" w:space="0" w:color="auto"/>
            </w:tcBorders>
            <w:shd w:val="clear" w:color="auto" w:fill="auto"/>
            <w:noWrap/>
            <w:vAlign w:val="bottom"/>
            <w:hideMark/>
          </w:tcPr>
          <w:p w14:paraId="01FF142D"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 </w:t>
            </w:r>
          </w:p>
        </w:tc>
        <w:tc>
          <w:tcPr>
            <w:tcW w:w="2058" w:type="dxa"/>
            <w:tcBorders>
              <w:top w:val="nil"/>
              <w:left w:val="nil"/>
              <w:bottom w:val="single" w:sz="4" w:space="0" w:color="auto"/>
              <w:right w:val="single" w:sz="4" w:space="0" w:color="auto"/>
            </w:tcBorders>
            <w:shd w:val="clear" w:color="auto" w:fill="auto"/>
            <w:noWrap/>
            <w:vAlign w:val="bottom"/>
            <w:hideMark/>
          </w:tcPr>
          <w:p w14:paraId="31B5BDFE" w14:textId="77777777" w:rsidR="00A60637" w:rsidRPr="00A60637" w:rsidRDefault="00A60637" w:rsidP="00A60637">
            <w:pPr>
              <w:spacing w:after="0" w:line="240" w:lineRule="auto"/>
              <w:jc w:val="right"/>
              <w:rPr>
                <w:rFonts w:ascii="Calibri" w:eastAsia="Times New Roman" w:hAnsi="Calibri" w:cs="Calibri"/>
                <w:b/>
                <w:bCs/>
                <w:color w:val="000000"/>
              </w:rPr>
            </w:pPr>
            <w:r w:rsidRPr="00A60637">
              <w:rPr>
                <w:rFonts w:ascii="Calibri" w:eastAsia="Times New Roman" w:hAnsi="Calibri" w:cs="Calibri"/>
                <w:b/>
                <w:bCs/>
                <w:color w:val="000000"/>
              </w:rPr>
              <w:t>2020</w:t>
            </w:r>
          </w:p>
        </w:tc>
        <w:tc>
          <w:tcPr>
            <w:tcW w:w="1569" w:type="dxa"/>
            <w:tcBorders>
              <w:top w:val="nil"/>
              <w:left w:val="nil"/>
              <w:bottom w:val="single" w:sz="4" w:space="0" w:color="auto"/>
              <w:right w:val="single" w:sz="4" w:space="0" w:color="auto"/>
            </w:tcBorders>
            <w:shd w:val="clear" w:color="auto" w:fill="auto"/>
            <w:noWrap/>
            <w:vAlign w:val="bottom"/>
            <w:hideMark/>
          </w:tcPr>
          <w:p w14:paraId="2446833B" w14:textId="77777777" w:rsidR="00A60637" w:rsidRPr="00A60637" w:rsidRDefault="00A60637" w:rsidP="00A60637">
            <w:pPr>
              <w:spacing w:after="0" w:line="240" w:lineRule="auto"/>
              <w:jc w:val="right"/>
              <w:rPr>
                <w:rFonts w:ascii="Calibri" w:eastAsia="Times New Roman" w:hAnsi="Calibri" w:cs="Calibri"/>
                <w:b/>
                <w:bCs/>
                <w:color w:val="000000"/>
              </w:rPr>
            </w:pPr>
            <w:r w:rsidRPr="00A60637">
              <w:rPr>
                <w:rFonts w:ascii="Calibri" w:eastAsia="Times New Roman" w:hAnsi="Calibri" w:cs="Calibri"/>
                <w:b/>
                <w:bCs/>
                <w:color w:val="000000"/>
              </w:rPr>
              <w:t>2019</w:t>
            </w:r>
          </w:p>
        </w:tc>
        <w:tc>
          <w:tcPr>
            <w:tcW w:w="1579" w:type="dxa"/>
            <w:tcBorders>
              <w:top w:val="nil"/>
              <w:left w:val="nil"/>
              <w:bottom w:val="single" w:sz="4" w:space="0" w:color="auto"/>
              <w:right w:val="single" w:sz="4" w:space="0" w:color="auto"/>
            </w:tcBorders>
            <w:shd w:val="clear" w:color="auto" w:fill="auto"/>
            <w:noWrap/>
            <w:vAlign w:val="bottom"/>
            <w:hideMark/>
          </w:tcPr>
          <w:p w14:paraId="402543A1" w14:textId="77777777" w:rsidR="00A60637" w:rsidRPr="00A60637" w:rsidRDefault="00A60637" w:rsidP="00A60637">
            <w:pPr>
              <w:spacing w:after="0" w:line="240" w:lineRule="auto"/>
              <w:jc w:val="left"/>
              <w:rPr>
                <w:rFonts w:ascii="Calibri" w:eastAsia="Times New Roman" w:hAnsi="Calibri" w:cs="Calibri"/>
                <w:b/>
                <w:bCs/>
                <w:color w:val="000000"/>
              </w:rPr>
            </w:pPr>
            <w:r w:rsidRPr="00A60637">
              <w:rPr>
                <w:rFonts w:ascii="Calibri" w:eastAsia="Times New Roman" w:hAnsi="Calibri" w:cs="Calibri"/>
                <w:b/>
                <w:bCs/>
                <w:color w:val="000000"/>
              </w:rPr>
              <w:t>Change</w:t>
            </w:r>
          </w:p>
        </w:tc>
        <w:tc>
          <w:tcPr>
            <w:tcW w:w="1160" w:type="dxa"/>
            <w:tcBorders>
              <w:top w:val="nil"/>
              <w:left w:val="nil"/>
              <w:bottom w:val="single" w:sz="4" w:space="0" w:color="auto"/>
              <w:right w:val="single" w:sz="4" w:space="0" w:color="auto"/>
            </w:tcBorders>
            <w:shd w:val="clear" w:color="auto" w:fill="auto"/>
            <w:noWrap/>
            <w:vAlign w:val="bottom"/>
            <w:hideMark/>
          </w:tcPr>
          <w:p w14:paraId="70A03F1E" w14:textId="77777777" w:rsidR="00A60637" w:rsidRPr="00A60637" w:rsidRDefault="00A60637" w:rsidP="00A60637">
            <w:pPr>
              <w:spacing w:after="0" w:line="240" w:lineRule="auto"/>
              <w:jc w:val="left"/>
              <w:rPr>
                <w:rFonts w:ascii="Calibri" w:eastAsia="Times New Roman" w:hAnsi="Calibri" w:cs="Calibri"/>
                <w:b/>
                <w:bCs/>
                <w:color w:val="000000"/>
              </w:rPr>
            </w:pPr>
            <w:r w:rsidRPr="00A60637">
              <w:rPr>
                <w:rFonts w:ascii="Calibri" w:eastAsia="Times New Roman" w:hAnsi="Calibri" w:cs="Calibri"/>
                <w:b/>
                <w:bCs/>
                <w:color w:val="000000"/>
              </w:rPr>
              <w:t>% Change</w:t>
            </w:r>
          </w:p>
        </w:tc>
      </w:tr>
      <w:tr w:rsidR="00A60637" w:rsidRPr="00A60637" w14:paraId="36B4E3E4" w14:textId="77777777" w:rsidTr="00A60637">
        <w:trPr>
          <w:trHeight w:val="306"/>
        </w:trPr>
        <w:tc>
          <w:tcPr>
            <w:tcW w:w="3079" w:type="dxa"/>
            <w:tcBorders>
              <w:top w:val="nil"/>
              <w:left w:val="single" w:sz="4" w:space="0" w:color="auto"/>
              <w:bottom w:val="single" w:sz="4" w:space="0" w:color="auto"/>
              <w:right w:val="single" w:sz="4" w:space="0" w:color="auto"/>
            </w:tcBorders>
            <w:shd w:val="clear" w:color="auto" w:fill="auto"/>
            <w:noWrap/>
            <w:vAlign w:val="bottom"/>
            <w:hideMark/>
          </w:tcPr>
          <w:p w14:paraId="4494E879"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Current Asset</w:t>
            </w:r>
          </w:p>
        </w:tc>
        <w:tc>
          <w:tcPr>
            <w:tcW w:w="2058" w:type="dxa"/>
            <w:tcBorders>
              <w:top w:val="nil"/>
              <w:left w:val="nil"/>
              <w:bottom w:val="single" w:sz="4" w:space="0" w:color="auto"/>
              <w:right w:val="single" w:sz="4" w:space="0" w:color="auto"/>
            </w:tcBorders>
            <w:shd w:val="clear" w:color="auto" w:fill="auto"/>
            <w:noWrap/>
            <w:vAlign w:val="bottom"/>
            <w:hideMark/>
          </w:tcPr>
          <w:p w14:paraId="1FA730D7"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 xml:space="preserve">              4,202,000 </w:t>
            </w:r>
          </w:p>
        </w:tc>
        <w:tc>
          <w:tcPr>
            <w:tcW w:w="1569" w:type="dxa"/>
            <w:tcBorders>
              <w:top w:val="nil"/>
              <w:left w:val="nil"/>
              <w:bottom w:val="single" w:sz="4" w:space="0" w:color="auto"/>
              <w:right w:val="single" w:sz="4" w:space="0" w:color="auto"/>
            </w:tcBorders>
            <w:shd w:val="clear" w:color="auto" w:fill="auto"/>
            <w:noWrap/>
            <w:vAlign w:val="bottom"/>
            <w:hideMark/>
          </w:tcPr>
          <w:p w14:paraId="6C097B80"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 xml:space="preserve">     2,093,000 </w:t>
            </w:r>
          </w:p>
        </w:tc>
        <w:tc>
          <w:tcPr>
            <w:tcW w:w="1579" w:type="dxa"/>
            <w:tcBorders>
              <w:top w:val="nil"/>
              <w:left w:val="nil"/>
              <w:bottom w:val="single" w:sz="4" w:space="0" w:color="auto"/>
              <w:right w:val="single" w:sz="4" w:space="0" w:color="auto"/>
            </w:tcBorders>
            <w:shd w:val="clear" w:color="auto" w:fill="auto"/>
            <w:noWrap/>
            <w:vAlign w:val="bottom"/>
            <w:hideMark/>
          </w:tcPr>
          <w:p w14:paraId="42D3BDB5"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 xml:space="preserve">    2,109,000 </w:t>
            </w:r>
          </w:p>
        </w:tc>
        <w:tc>
          <w:tcPr>
            <w:tcW w:w="1160" w:type="dxa"/>
            <w:tcBorders>
              <w:top w:val="nil"/>
              <w:left w:val="nil"/>
              <w:bottom w:val="single" w:sz="4" w:space="0" w:color="auto"/>
              <w:right w:val="single" w:sz="4" w:space="0" w:color="auto"/>
            </w:tcBorders>
            <w:shd w:val="clear" w:color="auto" w:fill="auto"/>
            <w:noWrap/>
            <w:vAlign w:val="bottom"/>
            <w:hideMark/>
          </w:tcPr>
          <w:p w14:paraId="5021AB49" w14:textId="38482C17" w:rsidR="00A60637" w:rsidRPr="00A60637" w:rsidRDefault="00A60637" w:rsidP="00E54F5C">
            <w:pPr>
              <w:spacing w:after="0" w:line="240" w:lineRule="auto"/>
              <w:jc w:val="center"/>
              <w:rPr>
                <w:rFonts w:ascii="Calibri" w:eastAsia="Times New Roman" w:hAnsi="Calibri" w:cs="Calibri"/>
                <w:color w:val="000000"/>
              </w:rPr>
            </w:pPr>
            <w:r w:rsidRPr="00A60637">
              <w:rPr>
                <w:rFonts w:ascii="Calibri" w:eastAsia="Times New Roman" w:hAnsi="Calibri" w:cs="Calibri"/>
                <w:color w:val="000000"/>
              </w:rPr>
              <w:t>101</w:t>
            </w:r>
          </w:p>
        </w:tc>
      </w:tr>
      <w:tr w:rsidR="00A60637" w:rsidRPr="00A60637" w14:paraId="74FF86B1" w14:textId="77777777" w:rsidTr="00A60637">
        <w:trPr>
          <w:trHeight w:val="306"/>
        </w:trPr>
        <w:tc>
          <w:tcPr>
            <w:tcW w:w="3079" w:type="dxa"/>
            <w:tcBorders>
              <w:top w:val="nil"/>
              <w:left w:val="single" w:sz="4" w:space="0" w:color="auto"/>
              <w:bottom w:val="single" w:sz="4" w:space="0" w:color="auto"/>
              <w:right w:val="single" w:sz="4" w:space="0" w:color="auto"/>
            </w:tcBorders>
            <w:shd w:val="clear" w:color="auto" w:fill="auto"/>
            <w:noWrap/>
            <w:vAlign w:val="bottom"/>
            <w:hideMark/>
          </w:tcPr>
          <w:p w14:paraId="54976989"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Non-Current Asset</w:t>
            </w:r>
          </w:p>
        </w:tc>
        <w:tc>
          <w:tcPr>
            <w:tcW w:w="2058" w:type="dxa"/>
            <w:tcBorders>
              <w:top w:val="nil"/>
              <w:left w:val="nil"/>
              <w:bottom w:val="single" w:sz="4" w:space="0" w:color="auto"/>
              <w:right w:val="single" w:sz="4" w:space="0" w:color="auto"/>
            </w:tcBorders>
            <w:shd w:val="clear" w:color="auto" w:fill="auto"/>
            <w:noWrap/>
            <w:vAlign w:val="bottom"/>
            <w:hideMark/>
          </w:tcPr>
          <w:p w14:paraId="4FB88017"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 xml:space="preserve">           15,810,000 </w:t>
            </w:r>
          </w:p>
        </w:tc>
        <w:tc>
          <w:tcPr>
            <w:tcW w:w="1569" w:type="dxa"/>
            <w:tcBorders>
              <w:top w:val="nil"/>
              <w:left w:val="nil"/>
              <w:bottom w:val="single" w:sz="4" w:space="0" w:color="auto"/>
              <w:right w:val="single" w:sz="4" w:space="0" w:color="auto"/>
            </w:tcBorders>
            <w:shd w:val="clear" w:color="auto" w:fill="auto"/>
            <w:noWrap/>
            <w:vAlign w:val="bottom"/>
            <w:hideMark/>
          </w:tcPr>
          <w:p w14:paraId="7416CB98"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 xml:space="preserve">   12,558,000 </w:t>
            </w:r>
          </w:p>
        </w:tc>
        <w:tc>
          <w:tcPr>
            <w:tcW w:w="1579" w:type="dxa"/>
            <w:tcBorders>
              <w:top w:val="nil"/>
              <w:left w:val="nil"/>
              <w:bottom w:val="single" w:sz="4" w:space="0" w:color="auto"/>
              <w:right w:val="single" w:sz="4" w:space="0" w:color="auto"/>
            </w:tcBorders>
            <w:shd w:val="clear" w:color="auto" w:fill="auto"/>
            <w:noWrap/>
            <w:vAlign w:val="bottom"/>
            <w:hideMark/>
          </w:tcPr>
          <w:p w14:paraId="298D6CDF"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 xml:space="preserve">    3,252,000 </w:t>
            </w:r>
          </w:p>
        </w:tc>
        <w:tc>
          <w:tcPr>
            <w:tcW w:w="1160" w:type="dxa"/>
            <w:tcBorders>
              <w:top w:val="nil"/>
              <w:left w:val="nil"/>
              <w:bottom w:val="single" w:sz="4" w:space="0" w:color="auto"/>
              <w:right w:val="single" w:sz="4" w:space="0" w:color="auto"/>
            </w:tcBorders>
            <w:shd w:val="clear" w:color="auto" w:fill="auto"/>
            <w:noWrap/>
            <w:vAlign w:val="bottom"/>
            <w:hideMark/>
          </w:tcPr>
          <w:p w14:paraId="31967B28" w14:textId="4B8FFE5B" w:rsidR="00A60637" w:rsidRPr="00A60637" w:rsidRDefault="00A60637" w:rsidP="00E54F5C">
            <w:pPr>
              <w:spacing w:after="0" w:line="240" w:lineRule="auto"/>
              <w:jc w:val="center"/>
              <w:rPr>
                <w:rFonts w:ascii="Calibri" w:eastAsia="Times New Roman" w:hAnsi="Calibri" w:cs="Calibri"/>
                <w:color w:val="000000"/>
              </w:rPr>
            </w:pPr>
            <w:r w:rsidRPr="00A60637">
              <w:rPr>
                <w:rFonts w:ascii="Calibri" w:eastAsia="Times New Roman" w:hAnsi="Calibri" w:cs="Calibri"/>
                <w:color w:val="000000"/>
              </w:rPr>
              <w:t>26</w:t>
            </w:r>
          </w:p>
        </w:tc>
      </w:tr>
      <w:tr w:rsidR="00A60637" w:rsidRPr="00A60637" w14:paraId="72058680" w14:textId="77777777" w:rsidTr="00A60637">
        <w:trPr>
          <w:trHeight w:val="306"/>
        </w:trPr>
        <w:tc>
          <w:tcPr>
            <w:tcW w:w="3079" w:type="dxa"/>
            <w:tcBorders>
              <w:top w:val="nil"/>
              <w:left w:val="single" w:sz="4" w:space="0" w:color="auto"/>
              <w:bottom w:val="single" w:sz="4" w:space="0" w:color="auto"/>
              <w:right w:val="single" w:sz="4" w:space="0" w:color="auto"/>
            </w:tcBorders>
            <w:shd w:val="clear" w:color="auto" w:fill="auto"/>
            <w:noWrap/>
            <w:vAlign w:val="bottom"/>
            <w:hideMark/>
          </w:tcPr>
          <w:p w14:paraId="09DF3A5A" w14:textId="77777777" w:rsidR="00A60637" w:rsidRPr="00A60637" w:rsidRDefault="00A60637" w:rsidP="00A60637">
            <w:pPr>
              <w:spacing w:after="0" w:line="240" w:lineRule="auto"/>
              <w:jc w:val="left"/>
              <w:rPr>
                <w:rFonts w:ascii="Calibri" w:eastAsia="Times New Roman" w:hAnsi="Calibri" w:cs="Calibri"/>
                <w:b/>
                <w:bCs/>
                <w:color w:val="000000"/>
              </w:rPr>
            </w:pPr>
            <w:r w:rsidRPr="00A60637">
              <w:rPr>
                <w:rFonts w:ascii="Calibri" w:eastAsia="Times New Roman" w:hAnsi="Calibri" w:cs="Calibri"/>
                <w:b/>
                <w:bCs/>
                <w:color w:val="000000"/>
              </w:rPr>
              <w:t>Total Asset</w:t>
            </w:r>
          </w:p>
        </w:tc>
        <w:tc>
          <w:tcPr>
            <w:tcW w:w="2058" w:type="dxa"/>
            <w:tcBorders>
              <w:top w:val="nil"/>
              <w:left w:val="nil"/>
              <w:bottom w:val="single" w:sz="4" w:space="0" w:color="auto"/>
              <w:right w:val="single" w:sz="4" w:space="0" w:color="auto"/>
            </w:tcBorders>
            <w:shd w:val="clear" w:color="auto" w:fill="auto"/>
            <w:noWrap/>
            <w:vAlign w:val="bottom"/>
            <w:hideMark/>
          </w:tcPr>
          <w:p w14:paraId="53CE4086" w14:textId="77777777" w:rsidR="00A60637" w:rsidRPr="00A60637" w:rsidRDefault="00A60637" w:rsidP="00A60637">
            <w:pPr>
              <w:spacing w:after="0" w:line="240" w:lineRule="auto"/>
              <w:jc w:val="left"/>
              <w:rPr>
                <w:rFonts w:ascii="Calibri" w:eastAsia="Times New Roman" w:hAnsi="Calibri" w:cs="Calibri"/>
                <w:b/>
                <w:bCs/>
                <w:color w:val="000000"/>
              </w:rPr>
            </w:pPr>
            <w:r w:rsidRPr="00A60637">
              <w:rPr>
                <w:rFonts w:ascii="Calibri" w:eastAsia="Times New Roman" w:hAnsi="Calibri" w:cs="Calibri"/>
                <w:b/>
                <w:bCs/>
                <w:color w:val="000000"/>
              </w:rPr>
              <w:t xml:space="preserve">           16,755,000 </w:t>
            </w:r>
          </w:p>
        </w:tc>
        <w:tc>
          <w:tcPr>
            <w:tcW w:w="1569" w:type="dxa"/>
            <w:tcBorders>
              <w:top w:val="nil"/>
              <w:left w:val="nil"/>
              <w:bottom w:val="single" w:sz="4" w:space="0" w:color="auto"/>
              <w:right w:val="single" w:sz="4" w:space="0" w:color="auto"/>
            </w:tcBorders>
            <w:shd w:val="clear" w:color="auto" w:fill="auto"/>
            <w:noWrap/>
            <w:vAlign w:val="bottom"/>
            <w:hideMark/>
          </w:tcPr>
          <w:p w14:paraId="2A8E2681" w14:textId="77777777" w:rsidR="00A60637" w:rsidRPr="00A60637" w:rsidRDefault="00A60637" w:rsidP="00A60637">
            <w:pPr>
              <w:spacing w:after="0" w:line="240" w:lineRule="auto"/>
              <w:jc w:val="left"/>
              <w:rPr>
                <w:rFonts w:ascii="Calibri" w:eastAsia="Times New Roman" w:hAnsi="Calibri" w:cs="Calibri"/>
                <w:b/>
                <w:bCs/>
                <w:color w:val="000000"/>
              </w:rPr>
            </w:pPr>
            <w:r w:rsidRPr="00A60637">
              <w:rPr>
                <w:rFonts w:ascii="Calibri" w:eastAsia="Times New Roman" w:hAnsi="Calibri" w:cs="Calibri"/>
                <w:b/>
                <w:bCs/>
                <w:color w:val="000000"/>
              </w:rPr>
              <w:t xml:space="preserve">   14,957,000 </w:t>
            </w:r>
          </w:p>
        </w:tc>
        <w:tc>
          <w:tcPr>
            <w:tcW w:w="1579" w:type="dxa"/>
            <w:tcBorders>
              <w:top w:val="nil"/>
              <w:left w:val="nil"/>
              <w:bottom w:val="single" w:sz="4" w:space="0" w:color="auto"/>
              <w:right w:val="single" w:sz="4" w:space="0" w:color="auto"/>
            </w:tcBorders>
            <w:shd w:val="clear" w:color="auto" w:fill="auto"/>
            <w:noWrap/>
            <w:vAlign w:val="bottom"/>
            <w:hideMark/>
          </w:tcPr>
          <w:p w14:paraId="2A67E3D4" w14:textId="77777777" w:rsidR="00A60637" w:rsidRPr="00A60637" w:rsidRDefault="00A60637" w:rsidP="00A60637">
            <w:pPr>
              <w:spacing w:after="0" w:line="240" w:lineRule="auto"/>
              <w:jc w:val="left"/>
              <w:rPr>
                <w:rFonts w:ascii="Calibri" w:eastAsia="Times New Roman" w:hAnsi="Calibri" w:cs="Calibri"/>
                <w:b/>
                <w:bCs/>
                <w:color w:val="000000"/>
              </w:rPr>
            </w:pPr>
            <w:r w:rsidRPr="00A60637">
              <w:rPr>
                <w:rFonts w:ascii="Calibri" w:eastAsia="Times New Roman" w:hAnsi="Calibri" w:cs="Calibri"/>
                <w:b/>
                <w:bCs/>
                <w:color w:val="000000"/>
              </w:rPr>
              <w:t xml:space="preserve">    1,798,000 </w:t>
            </w:r>
          </w:p>
        </w:tc>
        <w:tc>
          <w:tcPr>
            <w:tcW w:w="1160" w:type="dxa"/>
            <w:tcBorders>
              <w:top w:val="nil"/>
              <w:left w:val="nil"/>
              <w:bottom w:val="single" w:sz="4" w:space="0" w:color="auto"/>
              <w:right w:val="single" w:sz="4" w:space="0" w:color="auto"/>
            </w:tcBorders>
            <w:shd w:val="clear" w:color="auto" w:fill="auto"/>
            <w:noWrap/>
            <w:vAlign w:val="bottom"/>
            <w:hideMark/>
          </w:tcPr>
          <w:p w14:paraId="6E9C01FF" w14:textId="14B3AA11" w:rsidR="00A60637" w:rsidRPr="00A60637" w:rsidRDefault="00A60637" w:rsidP="00E54F5C">
            <w:pPr>
              <w:spacing w:after="0" w:line="240" w:lineRule="auto"/>
              <w:jc w:val="center"/>
              <w:rPr>
                <w:rFonts w:ascii="Calibri" w:eastAsia="Times New Roman" w:hAnsi="Calibri" w:cs="Calibri"/>
                <w:b/>
                <w:bCs/>
                <w:color w:val="000000"/>
              </w:rPr>
            </w:pPr>
            <w:r w:rsidRPr="00A60637">
              <w:rPr>
                <w:rFonts w:ascii="Calibri" w:eastAsia="Times New Roman" w:hAnsi="Calibri" w:cs="Calibri"/>
                <w:b/>
                <w:bCs/>
                <w:color w:val="000000"/>
              </w:rPr>
              <w:t>12</w:t>
            </w:r>
          </w:p>
        </w:tc>
      </w:tr>
      <w:tr w:rsidR="00A60637" w:rsidRPr="00A60637" w14:paraId="33CC86E5" w14:textId="77777777" w:rsidTr="00A60637">
        <w:trPr>
          <w:trHeight w:val="306"/>
        </w:trPr>
        <w:tc>
          <w:tcPr>
            <w:tcW w:w="3079" w:type="dxa"/>
            <w:tcBorders>
              <w:top w:val="nil"/>
              <w:left w:val="single" w:sz="4" w:space="0" w:color="auto"/>
              <w:bottom w:val="single" w:sz="4" w:space="0" w:color="auto"/>
              <w:right w:val="single" w:sz="4" w:space="0" w:color="auto"/>
            </w:tcBorders>
            <w:shd w:val="clear" w:color="auto" w:fill="auto"/>
            <w:noWrap/>
            <w:vAlign w:val="bottom"/>
            <w:hideMark/>
          </w:tcPr>
          <w:p w14:paraId="5905C7DF"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Current Liabilities</w:t>
            </w:r>
          </w:p>
        </w:tc>
        <w:tc>
          <w:tcPr>
            <w:tcW w:w="2058" w:type="dxa"/>
            <w:tcBorders>
              <w:top w:val="nil"/>
              <w:left w:val="nil"/>
              <w:bottom w:val="single" w:sz="4" w:space="0" w:color="auto"/>
              <w:right w:val="single" w:sz="4" w:space="0" w:color="auto"/>
            </w:tcBorders>
            <w:shd w:val="clear" w:color="auto" w:fill="auto"/>
            <w:noWrap/>
            <w:vAlign w:val="bottom"/>
            <w:hideMark/>
          </w:tcPr>
          <w:p w14:paraId="4DD19B17"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 xml:space="preserve">              2,431,000 </w:t>
            </w:r>
          </w:p>
        </w:tc>
        <w:tc>
          <w:tcPr>
            <w:tcW w:w="1569" w:type="dxa"/>
            <w:tcBorders>
              <w:top w:val="nil"/>
              <w:left w:val="nil"/>
              <w:bottom w:val="single" w:sz="4" w:space="0" w:color="auto"/>
              <w:right w:val="single" w:sz="4" w:space="0" w:color="auto"/>
            </w:tcBorders>
            <w:shd w:val="clear" w:color="auto" w:fill="auto"/>
            <w:noWrap/>
            <w:vAlign w:val="bottom"/>
            <w:hideMark/>
          </w:tcPr>
          <w:p w14:paraId="7D379C77"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 xml:space="preserve">     2,871,000 </w:t>
            </w:r>
          </w:p>
        </w:tc>
        <w:tc>
          <w:tcPr>
            <w:tcW w:w="1579" w:type="dxa"/>
            <w:tcBorders>
              <w:top w:val="nil"/>
              <w:left w:val="nil"/>
              <w:bottom w:val="single" w:sz="4" w:space="0" w:color="auto"/>
              <w:right w:val="single" w:sz="4" w:space="0" w:color="auto"/>
            </w:tcBorders>
            <w:shd w:val="clear" w:color="auto" w:fill="auto"/>
            <w:noWrap/>
            <w:vAlign w:val="bottom"/>
            <w:hideMark/>
          </w:tcPr>
          <w:p w14:paraId="597A7CA3"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 xml:space="preserve">      (440,000)</w:t>
            </w:r>
          </w:p>
        </w:tc>
        <w:tc>
          <w:tcPr>
            <w:tcW w:w="1160" w:type="dxa"/>
            <w:tcBorders>
              <w:top w:val="nil"/>
              <w:left w:val="nil"/>
              <w:bottom w:val="single" w:sz="4" w:space="0" w:color="auto"/>
              <w:right w:val="single" w:sz="4" w:space="0" w:color="auto"/>
            </w:tcBorders>
            <w:shd w:val="clear" w:color="auto" w:fill="auto"/>
            <w:noWrap/>
            <w:vAlign w:val="bottom"/>
            <w:hideMark/>
          </w:tcPr>
          <w:p w14:paraId="4B0C5959" w14:textId="5925A83A" w:rsidR="00A60637" w:rsidRPr="00A60637" w:rsidRDefault="00A60637" w:rsidP="00E54F5C">
            <w:pPr>
              <w:spacing w:after="0" w:line="240" w:lineRule="auto"/>
              <w:jc w:val="center"/>
              <w:rPr>
                <w:rFonts w:ascii="Calibri" w:eastAsia="Times New Roman" w:hAnsi="Calibri" w:cs="Calibri"/>
                <w:color w:val="000000"/>
              </w:rPr>
            </w:pPr>
            <w:r w:rsidRPr="00A60637">
              <w:rPr>
                <w:rFonts w:ascii="Calibri" w:eastAsia="Times New Roman" w:hAnsi="Calibri" w:cs="Calibri"/>
                <w:color w:val="000000"/>
              </w:rPr>
              <w:t>-15</w:t>
            </w:r>
          </w:p>
        </w:tc>
      </w:tr>
      <w:tr w:rsidR="00A60637" w:rsidRPr="00A60637" w14:paraId="35B90D19" w14:textId="77777777" w:rsidTr="00A60637">
        <w:trPr>
          <w:trHeight w:val="306"/>
        </w:trPr>
        <w:tc>
          <w:tcPr>
            <w:tcW w:w="3079" w:type="dxa"/>
            <w:tcBorders>
              <w:top w:val="nil"/>
              <w:left w:val="single" w:sz="4" w:space="0" w:color="auto"/>
              <w:bottom w:val="single" w:sz="4" w:space="0" w:color="auto"/>
              <w:right w:val="single" w:sz="4" w:space="0" w:color="auto"/>
            </w:tcBorders>
            <w:shd w:val="clear" w:color="auto" w:fill="auto"/>
            <w:noWrap/>
            <w:vAlign w:val="bottom"/>
            <w:hideMark/>
          </w:tcPr>
          <w:p w14:paraId="485FD7AE"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Non-Current Liabilities</w:t>
            </w:r>
          </w:p>
        </w:tc>
        <w:tc>
          <w:tcPr>
            <w:tcW w:w="2058" w:type="dxa"/>
            <w:tcBorders>
              <w:top w:val="nil"/>
              <w:left w:val="nil"/>
              <w:bottom w:val="single" w:sz="4" w:space="0" w:color="auto"/>
              <w:right w:val="single" w:sz="4" w:space="0" w:color="auto"/>
            </w:tcBorders>
            <w:shd w:val="clear" w:color="auto" w:fill="auto"/>
            <w:noWrap/>
            <w:vAlign w:val="bottom"/>
            <w:hideMark/>
          </w:tcPr>
          <w:p w14:paraId="1FE21BE9"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 xml:space="preserve">           15,810,000 </w:t>
            </w:r>
          </w:p>
        </w:tc>
        <w:tc>
          <w:tcPr>
            <w:tcW w:w="1569" w:type="dxa"/>
            <w:tcBorders>
              <w:top w:val="nil"/>
              <w:left w:val="nil"/>
              <w:bottom w:val="single" w:sz="4" w:space="0" w:color="auto"/>
              <w:right w:val="single" w:sz="4" w:space="0" w:color="auto"/>
            </w:tcBorders>
            <w:shd w:val="clear" w:color="auto" w:fill="auto"/>
            <w:noWrap/>
            <w:vAlign w:val="bottom"/>
            <w:hideMark/>
          </w:tcPr>
          <w:p w14:paraId="40556A20"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 xml:space="preserve">   12,558,000 </w:t>
            </w:r>
          </w:p>
        </w:tc>
        <w:tc>
          <w:tcPr>
            <w:tcW w:w="1579" w:type="dxa"/>
            <w:tcBorders>
              <w:top w:val="nil"/>
              <w:left w:val="nil"/>
              <w:bottom w:val="single" w:sz="4" w:space="0" w:color="auto"/>
              <w:right w:val="single" w:sz="4" w:space="0" w:color="auto"/>
            </w:tcBorders>
            <w:shd w:val="clear" w:color="auto" w:fill="auto"/>
            <w:noWrap/>
            <w:vAlign w:val="bottom"/>
            <w:hideMark/>
          </w:tcPr>
          <w:p w14:paraId="27D5151C"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 xml:space="preserve">    3,252,000 </w:t>
            </w:r>
          </w:p>
        </w:tc>
        <w:tc>
          <w:tcPr>
            <w:tcW w:w="1160" w:type="dxa"/>
            <w:tcBorders>
              <w:top w:val="nil"/>
              <w:left w:val="nil"/>
              <w:bottom w:val="single" w:sz="4" w:space="0" w:color="auto"/>
              <w:right w:val="single" w:sz="4" w:space="0" w:color="auto"/>
            </w:tcBorders>
            <w:shd w:val="clear" w:color="auto" w:fill="auto"/>
            <w:noWrap/>
            <w:vAlign w:val="bottom"/>
            <w:hideMark/>
          </w:tcPr>
          <w:p w14:paraId="34979197" w14:textId="406761F4" w:rsidR="00A60637" w:rsidRPr="00A60637" w:rsidRDefault="00A60637" w:rsidP="00E54F5C">
            <w:pPr>
              <w:spacing w:after="0" w:line="240" w:lineRule="auto"/>
              <w:jc w:val="center"/>
              <w:rPr>
                <w:rFonts w:ascii="Calibri" w:eastAsia="Times New Roman" w:hAnsi="Calibri" w:cs="Calibri"/>
                <w:color w:val="000000"/>
              </w:rPr>
            </w:pPr>
            <w:r w:rsidRPr="00A60637">
              <w:rPr>
                <w:rFonts w:ascii="Calibri" w:eastAsia="Times New Roman" w:hAnsi="Calibri" w:cs="Calibri"/>
                <w:color w:val="000000"/>
              </w:rPr>
              <w:t>26</w:t>
            </w:r>
          </w:p>
        </w:tc>
      </w:tr>
      <w:tr w:rsidR="00A60637" w:rsidRPr="00A60637" w14:paraId="24DC11CC" w14:textId="77777777" w:rsidTr="00A60637">
        <w:trPr>
          <w:trHeight w:val="306"/>
        </w:trPr>
        <w:tc>
          <w:tcPr>
            <w:tcW w:w="3079" w:type="dxa"/>
            <w:tcBorders>
              <w:top w:val="nil"/>
              <w:left w:val="single" w:sz="4" w:space="0" w:color="auto"/>
              <w:bottom w:val="single" w:sz="4" w:space="0" w:color="auto"/>
              <w:right w:val="single" w:sz="4" w:space="0" w:color="auto"/>
            </w:tcBorders>
            <w:shd w:val="clear" w:color="auto" w:fill="auto"/>
            <w:noWrap/>
            <w:vAlign w:val="bottom"/>
            <w:hideMark/>
          </w:tcPr>
          <w:p w14:paraId="17383740" w14:textId="77777777" w:rsidR="00A60637" w:rsidRPr="00A60637" w:rsidRDefault="00A60637" w:rsidP="00A60637">
            <w:pPr>
              <w:spacing w:after="0" w:line="240" w:lineRule="auto"/>
              <w:jc w:val="left"/>
              <w:rPr>
                <w:rFonts w:ascii="Calibri" w:eastAsia="Times New Roman" w:hAnsi="Calibri" w:cs="Calibri"/>
                <w:b/>
                <w:bCs/>
                <w:color w:val="000000"/>
              </w:rPr>
            </w:pPr>
            <w:r w:rsidRPr="00A60637">
              <w:rPr>
                <w:rFonts w:ascii="Calibri" w:eastAsia="Times New Roman" w:hAnsi="Calibri" w:cs="Calibri"/>
                <w:b/>
                <w:bCs/>
                <w:color w:val="000000"/>
              </w:rPr>
              <w:t>Total Liabilities</w:t>
            </w:r>
          </w:p>
        </w:tc>
        <w:tc>
          <w:tcPr>
            <w:tcW w:w="2058" w:type="dxa"/>
            <w:tcBorders>
              <w:top w:val="nil"/>
              <w:left w:val="nil"/>
              <w:bottom w:val="single" w:sz="4" w:space="0" w:color="auto"/>
              <w:right w:val="single" w:sz="4" w:space="0" w:color="auto"/>
            </w:tcBorders>
            <w:shd w:val="clear" w:color="auto" w:fill="auto"/>
            <w:noWrap/>
            <w:vAlign w:val="bottom"/>
            <w:hideMark/>
          </w:tcPr>
          <w:p w14:paraId="62AC4A72" w14:textId="77777777" w:rsidR="00A60637" w:rsidRPr="00A60637" w:rsidRDefault="00A60637" w:rsidP="00A60637">
            <w:pPr>
              <w:spacing w:after="0" w:line="240" w:lineRule="auto"/>
              <w:jc w:val="left"/>
              <w:rPr>
                <w:rFonts w:ascii="Calibri" w:eastAsia="Times New Roman" w:hAnsi="Calibri" w:cs="Calibri"/>
                <w:b/>
                <w:bCs/>
                <w:color w:val="000000"/>
              </w:rPr>
            </w:pPr>
            <w:r w:rsidRPr="00A60637">
              <w:rPr>
                <w:rFonts w:ascii="Calibri" w:eastAsia="Times New Roman" w:hAnsi="Calibri" w:cs="Calibri"/>
                <w:b/>
                <w:bCs/>
                <w:color w:val="000000"/>
              </w:rPr>
              <w:t xml:space="preserve">           18,241,000 </w:t>
            </w:r>
          </w:p>
        </w:tc>
        <w:tc>
          <w:tcPr>
            <w:tcW w:w="1569" w:type="dxa"/>
            <w:tcBorders>
              <w:top w:val="nil"/>
              <w:left w:val="nil"/>
              <w:bottom w:val="single" w:sz="4" w:space="0" w:color="auto"/>
              <w:right w:val="single" w:sz="4" w:space="0" w:color="auto"/>
            </w:tcBorders>
            <w:shd w:val="clear" w:color="auto" w:fill="auto"/>
            <w:noWrap/>
            <w:vAlign w:val="bottom"/>
            <w:hideMark/>
          </w:tcPr>
          <w:p w14:paraId="06B0DA19" w14:textId="77777777" w:rsidR="00A60637" w:rsidRPr="00A60637" w:rsidRDefault="00A60637" w:rsidP="00A60637">
            <w:pPr>
              <w:spacing w:after="0" w:line="240" w:lineRule="auto"/>
              <w:jc w:val="left"/>
              <w:rPr>
                <w:rFonts w:ascii="Calibri" w:eastAsia="Times New Roman" w:hAnsi="Calibri" w:cs="Calibri"/>
                <w:b/>
                <w:bCs/>
                <w:color w:val="000000"/>
              </w:rPr>
            </w:pPr>
            <w:r w:rsidRPr="00A60637">
              <w:rPr>
                <w:rFonts w:ascii="Calibri" w:eastAsia="Times New Roman" w:hAnsi="Calibri" w:cs="Calibri"/>
                <w:b/>
                <w:bCs/>
                <w:color w:val="000000"/>
              </w:rPr>
              <w:t xml:space="preserve">   15,429,000 </w:t>
            </w:r>
          </w:p>
        </w:tc>
        <w:tc>
          <w:tcPr>
            <w:tcW w:w="1579" w:type="dxa"/>
            <w:tcBorders>
              <w:top w:val="nil"/>
              <w:left w:val="nil"/>
              <w:bottom w:val="single" w:sz="4" w:space="0" w:color="auto"/>
              <w:right w:val="single" w:sz="4" w:space="0" w:color="auto"/>
            </w:tcBorders>
            <w:shd w:val="clear" w:color="auto" w:fill="auto"/>
            <w:noWrap/>
            <w:vAlign w:val="bottom"/>
            <w:hideMark/>
          </w:tcPr>
          <w:p w14:paraId="49ABAD06" w14:textId="77777777" w:rsidR="00A60637" w:rsidRPr="00A60637" w:rsidRDefault="00A60637" w:rsidP="00A60637">
            <w:pPr>
              <w:spacing w:after="0" w:line="240" w:lineRule="auto"/>
              <w:jc w:val="left"/>
              <w:rPr>
                <w:rFonts w:ascii="Calibri" w:eastAsia="Times New Roman" w:hAnsi="Calibri" w:cs="Calibri"/>
                <w:b/>
                <w:bCs/>
                <w:color w:val="000000"/>
              </w:rPr>
            </w:pPr>
            <w:r w:rsidRPr="00A60637">
              <w:rPr>
                <w:rFonts w:ascii="Calibri" w:eastAsia="Times New Roman" w:hAnsi="Calibri" w:cs="Calibri"/>
                <w:b/>
                <w:bCs/>
                <w:color w:val="000000"/>
              </w:rPr>
              <w:t xml:space="preserve">    2,812,000 </w:t>
            </w:r>
          </w:p>
        </w:tc>
        <w:tc>
          <w:tcPr>
            <w:tcW w:w="1160" w:type="dxa"/>
            <w:tcBorders>
              <w:top w:val="nil"/>
              <w:left w:val="nil"/>
              <w:bottom w:val="single" w:sz="4" w:space="0" w:color="auto"/>
              <w:right w:val="single" w:sz="4" w:space="0" w:color="auto"/>
            </w:tcBorders>
            <w:shd w:val="clear" w:color="auto" w:fill="auto"/>
            <w:noWrap/>
            <w:vAlign w:val="bottom"/>
            <w:hideMark/>
          </w:tcPr>
          <w:p w14:paraId="5A19A502" w14:textId="48214BD7" w:rsidR="00A60637" w:rsidRPr="00A60637" w:rsidRDefault="00A60637" w:rsidP="00E54F5C">
            <w:pPr>
              <w:spacing w:after="0" w:line="240" w:lineRule="auto"/>
              <w:jc w:val="center"/>
              <w:rPr>
                <w:rFonts w:ascii="Calibri" w:eastAsia="Times New Roman" w:hAnsi="Calibri" w:cs="Calibri"/>
                <w:b/>
                <w:bCs/>
                <w:color w:val="000000"/>
              </w:rPr>
            </w:pPr>
            <w:r w:rsidRPr="00A60637">
              <w:rPr>
                <w:rFonts w:ascii="Calibri" w:eastAsia="Times New Roman" w:hAnsi="Calibri" w:cs="Calibri"/>
                <w:b/>
                <w:bCs/>
                <w:color w:val="000000"/>
              </w:rPr>
              <w:t>18</w:t>
            </w:r>
          </w:p>
        </w:tc>
      </w:tr>
      <w:tr w:rsidR="00A60637" w:rsidRPr="00A60637" w14:paraId="6100D1CF" w14:textId="77777777" w:rsidTr="00A60637">
        <w:trPr>
          <w:trHeight w:val="306"/>
        </w:trPr>
        <w:tc>
          <w:tcPr>
            <w:tcW w:w="3079" w:type="dxa"/>
            <w:tcBorders>
              <w:top w:val="nil"/>
              <w:left w:val="single" w:sz="4" w:space="0" w:color="auto"/>
              <w:bottom w:val="single" w:sz="4" w:space="0" w:color="auto"/>
              <w:right w:val="single" w:sz="4" w:space="0" w:color="auto"/>
            </w:tcBorders>
            <w:shd w:val="clear" w:color="auto" w:fill="auto"/>
            <w:noWrap/>
            <w:vAlign w:val="bottom"/>
            <w:hideMark/>
          </w:tcPr>
          <w:p w14:paraId="29A3914F"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Common Stock</w:t>
            </w:r>
          </w:p>
        </w:tc>
        <w:tc>
          <w:tcPr>
            <w:tcW w:w="2058" w:type="dxa"/>
            <w:tcBorders>
              <w:top w:val="nil"/>
              <w:left w:val="nil"/>
              <w:bottom w:val="single" w:sz="4" w:space="0" w:color="auto"/>
              <w:right w:val="single" w:sz="4" w:space="0" w:color="auto"/>
            </w:tcBorders>
            <w:shd w:val="clear" w:color="auto" w:fill="auto"/>
            <w:noWrap/>
            <w:vAlign w:val="bottom"/>
            <w:hideMark/>
          </w:tcPr>
          <w:p w14:paraId="030A4125"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 xml:space="preserve">                      3,000 </w:t>
            </w:r>
          </w:p>
        </w:tc>
        <w:tc>
          <w:tcPr>
            <w:tcW w:w="1569" w:type="dxa"/>
            <w:tcBorders>
              <w:top w:val="nil"/>
              <w:left w:val="nil"/>
              <w:bottom w:val="single" w:sz="4" w:space="0" w:color="auto"/>
              <w:right w:val="single" w:sz="4" w:space="0" w:color="auto"/>
            </w:tcBorders>
            <w:shd w:val="clear" w:color="auto" w:fill="auto"/>
            <w:noWrap/>
            <w:vAlign w:val="bottom"/>
            <w:hideMark/>
          </w:tcPr>
          <w:p w14:paraId="3B71D9D2"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 xml:space="preserve">             3,000 </w:t>
            </w:r>
          </w:p>
        </w:tc>
        <w:tc>
          <w:tcPr>
            <w:tcW w:w="1579" w:type="dxa"/>
            <w:tcBorders>
              <w:top w:val="nil"/>
              <w:left w:val="nil"/>
              <w:bottom w:val="single" w:sz="4" w:space="0" w:color="auto"/>
              <w:right w:val="single" w:sz="4" w:space="0" w:color="auto"/>
            </w:tcBorders>
            <w:shd w:val="clear" w:color="auto" w:fill="auto"/>
            <w:noWrap/>
            <w:vAlign w:val="bottom"/>
            <w:hideMark/>
          </w:tcPr>
          <w:p w14:paraId="19BE1BAB"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 xml:space="preserve">                    -   </w:t>
            </w:r>
          </w:p>
        </w:tc>
        <w:tc>
          <w:tcPr>
            <w:tcW w:w="1160" w:type="dxa"/>
            <w:tcBorders>
              <w:top w:val="nil"/>
              <w:left w:val="nil"/>
              <w:bottom w:val="single" w:sz="4" w:space="0" w:color="auto"/>
              <w:right w:val="single" w:sz="4" w:space="0" w:color="auto"/>
            </w:tcBorders>
            <w:shd w:val="clear" w:color="auto" w:fill="auto"/>
            <w:noWrap/>
            <w:vAlign w:val="bottom"/>
            <w:hideMark/>
          </w:tcPr>
          <w:p w14:paraId="2D383974" w14:textId="240753A9" w:rsidR="00A60637" w:rsidRPr="00A60637" w:rsidRDefault="00A60637" w:rsidP="00E54F5C">
            <w:pPr>
              <w:spacing w:after="0" w:line="240" w:lineRule="auto"/>
              <w:jc w:val="center"/>
              <w:rPr>
                <w:rFonts w:ascii="Calibri" w:eastAsia="Times New Roman" w:hAnsi="Calibri" w:cs="Calibri"/>
                <w:color w:val="000000"/>
              </w:rPr>
            </w:pPr>
            <w:r w:rsidRPr="00A60637">
              <w:rPr>
                <w:rFonts w:ascii="Calibri" w:eastAsia="Times New Roman" w:hAnsi="Calibri" w:cs="Calibri"/>
                <w:color w:val="000000"/>
              </w:rPr>
              <w:t>0</w:t>
            </w:r>
          </w:p>
        </w:tc>
      </w:tr>
      <w:tr w:rsidR="00A60637" w:rsidRPr="00A60637" w14:paraId="20B190B5" w14:textId="77777777" w:rsidTr="00A60637">
        <w:trPr>
          <w:trHeight w:val="306"/>
        </w:trPr>
        <w:tc>
          <w:tcPr>
            <w:tcW w:w="3079" w:type="dxa"/>
            <w:tcBorders>
              <w:top w:val="nil"/>
              <w:left w:val="single" w:sz="4" w:space="0" w:color="auto"/>
              <w:bottom w:val="single" w:sz="4" w:space="0" w:color="auto"/>
              <w:right w:val="single" w:sz="4" w:space="0" w:color="auto"/>
            </w:tcBorders>
            <w:shd w:val="clear" w:color="auto" w:fill="auto"/>
            <w:noWrap/>
            <w:vAlign w:val="bottom"/>
            <w:hideMark/>
          </w:tcPr>
          <w:p w14:paraId="777DD4A7"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Retained Earnings</w:t>
            </w:r>
          </w:p>
        </w:tc>
        <w:tc>
          <w:tcPr>
            <w:tcW w:w="2058" w:type="dxa"/>
            <w:tcBorders>
              <w:top w:val="nil"/>
              <w:left w:val="nil"/>
              <w:bottom w:val="single" w:sz="4" w:space="0" w:color="auto"/>
              <w:right w:val="single" w:sz="4" w:space="0" w:color="auto"/>
            </w:tcBorders>
            <w:shd w:val="clear" w:color="auto" w:fill="auto"/>
            <w:noWrap/>
            <w:vAlign w:val="bottom"/>
            <w:hideMark/>
          </w:tcPr>
          <w:p w14:paraId="3153FE6F"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 xml:space="preserve">           (6,732,000)</w:t>
            </w:r>
          </w:p>
        </w:tc>
        <w:tc>
          <w:tcPr>
            <w:tcW w:w="1569" w:type="dxa"/>
            <w:tcBorders>
              <w:top w:val="nil"/>
              <w:left w:val="nil"/>
              <w:bottom w:val="single" w:sz="4" w:space="0" w:color="auto"/>
              <w:right w:val="single" w:sz="4" w:space="0" w:color="auto"/>
            </w:tcBorders>
            <w:shd w:val="clear" w:color="auto" w:fill="auto"/>
            <w:noWrap/>
            <w:vAlign w:val="bottom"/>
            <w:hideMark/>
          </w:tcPr>
          <w:p w14:paraId="7E54B439"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 xml:space="preserve">   (5,965,000)</w:t>
            </w:r>
          </w:p>
        </w:tc>
        <w:tc>
          <w:tcPr>
            <w:tcW w:w="1579" w:type="dxa"/>
            <w:tcBorders>
              <w:top w:val="nil"/>
              <w:left w:val="nil"/>
              <w:bottom w:val="single" w:sz="4" w:space="0" w:color="auto"/>
              <w:right w:val="single" w:sz="4" w:space="0" w:color="auto"/>
            </w:tcBorders>
            <w:shd w:val="clear" w:color="auto" w:fill="auto"/>
            <w:noWrap/>
            <w:vAlign w:val="bottom"/>
            <w:hideMark/>
          </w:tcPr>
          <w:p w14:paraId="1292EEFD" w14:textId="77777777" w:rsidR="00A60637" w:rsidRPr="00A60637" w:rsidRDefault="00A60637" w:rsidP="00A60637">
            <w:pPr>
              <w:spacing w:after="0" w:line="240" w:lineRule="auto"/>
              <w:jc w:val="left"/>
              <w:rPr>
                <w:rFonts w:ascii="Calibri" w:eastAsia="Times New Roman" w:hAnsi="Calibri" w:cs="Calibri"/>
                <w:color w:val="000000"/>
              </w:rPr>
            </w:pPr>
            <w:r w:rsidRPr="00A60637">
              <w:rPr>
                <w:rFonts w:ascii="Calibri" w:eastAsia="Times New Roman" w:hAnsi="Calibri" w:cs="Calibri"/>
                <w:color w:val="000000"/>
              </w:rPr>
              <w:t xml:space="preserve">      (767,000)</w:t>
            </w:r>
          </w:p>
        </w:tc>
        <w:tc>
          <w:tcPr>
            <w:tcW w:w="1160" w:type="dxa"/>
            <w:tcBorders>
              <w:top w:val="nil"/>
              <w:left w:val="nil"/>
              <w:bottom w:val="single" w:sz="4" w:space="0" w:color="auto"/>
              <w:right w:val="single" w:sz="4" w:space="0" w:color="auto"/>
            </w:tcBorders>
            <w:shd w:val="clear" w:color="auto" w:fill="auto"/>
            <w:noWrap/>
            <w:vAlign w:val="bottom"/>
            <w:hideMark/>
          </w:tcPr>
          <w:p w14:paraId="29E71230" w14:textId="10F50D2E" w:rsidR="00A60637" w:rsidRPr="00A60637" w:rsidRDefault="00A60637" w:rsidP="00E54F5C">
            <w:pPr>
              <w:spacing w:after="0" w:line="240" w:lineRule="auto"/>
              <w:jc w:val="center"/>
              <w:rPr>
                <w:rFonts w:ascii="Calibri" w:eastAsia="Times New Roman" w:hAnsi="Calibri" w:cs="Calibri"/>
                <w:color w:val="000000"/>
              </w:rPr>
            </w:pPr>
            <w:r w:rsidRPr="00A60637">
              <w:rPr>
                <w:rFonts w:ascii="Calibri" w:eastAsia="Times New Roman" w:hAnsi="Calibri" w:cs="Calibri"/>
                <w:color w:val="000000"/>
              </w:rPr>
              <w:t>13</w:t>
            </w:r>
          </w:p>
        </w:tc>
      </w:tr>
      <w:tr w:rsidR="00A60637" w:rsidRPr="00A60637" w14:paraId="746582C1" w14:textId="77777777" w:rsidTr="00A60637">
        <w:trPr>
          <w:trHeight w:val="306"/>
        </w:trPr>
        <w:tc>
          <w:tcPr>
            <w:tcW w:w="3079" w:type="dxa"/>
            <w:tcBorders>
              <w:top w:val="nil"/>
              <w:left w:val="single" w:sz="4" w:space="0" w:color="auto"/>
              <w:bottom w:val="single" w:sz="4" w:space="0" w:color="auto"/>
              <w:right w:val="single" w:sz="4" w:space="0" w:color="auto"/>
            </w:tcBorders>
            <w:shd w:val="clear" w:color="auto" w:fill="auto"/>
            <w:noWrap/>
            <w:vAlign w:val="bottom"/>
            <w:hideMark/>
          </w:tcPr>
          <w:p w14:paraId="57093E5A" w14:textId="77777777" w:rsidR="00A60637" w:rsidRPr="00A60637" w:rsidRDefault="00A60637" w:rsidP="00A60637">
            <w:pPr>
              <w:spacing w:after="0" w:line="240" w:lineRule="auto"/>
              <w:jc w:val="left"/>
              <w:rPr>
                <w:rFonts w:ascii="Calibri" w:eastAsia="Times New Roman" w:hAnsi="Calibri" w:cs="Calibri"/>
                <w:b/>
                <w:bCs/>
                <w:color w:val="000000"/>
              </w:rPr>
            </w:pPr>
            <w:r w:rsidRPr="00A60637">
              <w:rPr>
                <w:rFonts w:ascii="Calibri" w:eastAsia="Times New Roman" w:hAnsi="Calibri" w:cs="Calibri"/>
                <w:b/>
                <w:bCs/>
                <w:color w:val="000000"/>
              </w:rPr>
              <w:t>Total Stockholders' Equity</w:t>
            </w:r>
          </w:p>
        </w:tc>
        <w:tc>
          <w:tcPr>
            <w:tcW w:w="2058" w:type="dxa"/>
            <w:tcBorders>
              <w:top w:val="nil"/>
              <w:left w:val="nil"/>
              <w:bottom w:val="single" w:sz="4" w:space="0" w:color="auto"/>
              <w:right w:val="single" w:sz="4" w:space="0" w:color="auto"/>
            </w:tcBorders>
            <w:shd w:val="clear" w:color="auto" w:fill="auto"/>
            <w:noWrap/>
            <w:vAlign w:val="bottom"/>
            <w:hideMark/>
          </w:tcPr>
          <w:p w14:paraId="18A9F14B" w14:textId="77777777" w:rsidR="00A60637" w:rsidRPr="00A60637" w:rsidRDefault="00A60637" w:rsidP="00A60637">
            <w:pPr>
              <w:spacing w:after="0" w:line="240" w:lineRule="auto"/>
              <w:jc w:val="left"/>
              <w:rPr>
                <w:rFonts w:ascii="Calibri" w:eastAsia="Times New Roman" w:hAnsi="Calibri" w:cs="Calibri"/>
                <w:b/>
                <w:bCs/>
                <w:color w:val="000000"/>
              </w:rPr>
            </w:pPr>
            <w:r w:rsidRPr="00A60637">
              <w:rPr>
                <w:rFonts w:ascii="Calibri" w:eastAsia="Times New Roman" w:hAnsi="Calibri" w:cs="Calibri"/>
                <w:b/>
                <w:bCs/>
                <w:color w:val="000000"/>
              </w:rPr>
              <w:t xml:space="preserve">           (1,490,000)</w:t>
            </w:r>
          </w:p>
        </w:tc>
        <w:tc>
          <w:tcPr>
            <w:tcW w:w="1569" w:type="dxa"/>
            <w:tcBorders>
              <w:top w:val="nil"/>
              <w:left w:val="nil"/>
              <w:bottom w:val="single" w:sz="4" w:space="0" w:color="auto"/>
              <w:right w:val="single" w:sz="4" w:space="0" w:color="auto"/>
            </w:tcBorders>
            <w:shd w:val="clear" w:color="auto" w:fill="auto"/>
            <w:noWrap/>
            <w:vAlign w:val="bottom"/>
            <w:hideMark/>
          </w:tcPr>
          <w:p w14:paraId="4A9A819E" w14:textId="77777777" w:rsidR="00A60637" w:rsidRPr="00A60637" w:rsidRDefault="00A60637" w:rsidP="00A60637">
            <w:pPr>
              <w:spacing w:after="0" w:line="240" w:lineRule="auto"/>
              <w:jc w:val="left"/>
              <w:rPr>
                <w:rFonts w:ascii="Calibri" w:eastAsia="Times New Roman" w:hAnsi="Calibri" w:cs="Calibri"/>
                <w:b/>
                <w:bCs/>
                <w:color w:val="000000"/>
              </w:rPr>
            </w:pPr>
            <w:r w:rsidRPr="00A60637">
              <w:rPr>
                <w:rFonts w:ascii="Calibri" w:eastAsia="Times New Roman" w:hAnsi="Calibri" w:cs="Calibri"/>
                <w:b/>
                <w:bCs/>
                <w:color w:val="000000"/>
              </w:rPr>
              <w:t xml:space="preserve">      (482,000)</w:t>
            </w:r>
          </w:p>
        </w:tc>
        <w:tc>
          <w:tcPr>
            <w:tcW w:w="1579" w:type="dxa"/>
            <w:tcBorders>
              <w:top w:val="nil"/>
              <w:left w:val="nil"/>
              <w:bottom w:val="single" w:sz="4" w:space="0" w:color="auto"/>
              <w:right w:val="single" w:sz="4" w:space="0" w:color="auto"/>
            </w:tcBorders>
            <w:shd w:val="clear" w:color="auto" w:fill="auto"/>
            <w:noWrap/>
            <w:vAlign w:val="bottom"/>
            <w:hideMark/>
          </w:tcPr>
          <w:p w14:paraId="246B6D28" w14:textId="77777777" w:rsidR="00A60637" w:rsidRPr="00A60637" w:rsidRDefault="00A60637" w:rsidP="00A60637">
            <w:pPr>
              <w:spacing w:after="0" w:line="240" w:lineRule="auto"/>
              <w:jc w:val="left"/>
              <w:rPr>
                <w:rFonts w:ascii="Calibri" w:eastAsia="Times New Roman" w:hAnsi="Calibri" w:cs="Calibri"/>
                <w:b/>
                <w:bCs/>
                <w:color w:val="000000"/>
              </w:rPr>
            </w:pPr>
            <w:r w:rsidRPr="00A60637">
              <w:rPr>
                <w:rFonts w:ascii="Calibri" w:eastAsia="Times New Roman" w:hAnsi="Calibri" w:cs="Calibri"/>
                <w:b/>
                <w:bCs/>
                <w:color w:val="000000"/>
              </w:rPr>
              <w:t xml:space="preserve">  (1,008,000)</w:t>
            </w:r>
          </w:p>
        </w:tc>
        <w:tc>
          <w:tcPr>
            <w:tcW w:w="1160" w:type="dxa"/>
            <w:tcBorders>
              <w:top w:val="nil"/>
              <w:left w:val="nil"/>
              <w:bottom w:val="single" w:sz="4" w:space="0" w:color="auto"/>
              <w:right w:val="single" w:sz="4" w:space="0" w:color="auto"/>
            </w:tcBorders>
            <w:shd w:val="clear" w:color="auto" w:fill="auto"/>
            <w:noWrap/>
            <w:vAlign w:val="bottom"/>
            <w:hideMark/>
          </w:tcPr>
          <w:p w14:paraId="48475A71" w14:textId="4D6403DD" w:rsidR="00A60637" w:rsidRPr="00A60637" w:rsidRDefault="00A60637" w:rsidP="00E54F5C">
            <w:pPr>
              <w:spacing w:after="0" w:line="240" w:lineRule="auto"/>
              <w:jc w:val="center"/>
              <w:rPr>
                <w:rFonts w:ascii="Calibri" w:eastAsia="Times New Roman" w:hAnsi="Calibri" w:cs="Calibri"/>
                <w:b/>
                <w:bCs/>
                <w:color w:val="000000"/>
              </w:rPr>
            </w:pPr>
            <w:r w:rsidRPr="00A60637">
              <w:rPr>
                <w:rFonts w:ascii="Calibri" w:eastAsia="Times New Roman" w:hAnsi="Calibri" w:cs="Calibri"/>
                <w:b/>
                <w:bCs/>
                <w:color w:val="000000"/>
              </w:rPr>
              <w:t>209</w:t>
            </w:r>
          </w:p>
        </w:tc>
      </w:tr>
      <w:tr w:rsidR="00A60637" w:rsidRPr="00A60637" w14:paraId="0B79404E" w14:textId="77777777" w:rsidTr="00A60637">
        <w:trPr>
          <w:trHeight w:val="306"/>
        </w:trPr>
        <w:tc>
          <w:tcPr>
            <w:tcW w:w="3079" w:type="dxa"/>
            <w:tcBorders>
              <w:top w:val="nil"/>
              <w:left w:val="single" w:sz="4" w:space="0" w:color="auto"/>
              <w:bottom w:val="single" w:sz="4" w:space="0" w:color="auto"/>
              <w:right w:val="single" w:sz="4" w:space="0" w:color="auto"/>
            </w:tcBorders>
            <w:shd w:val="clear" w:color="auto" w:fill="auto"/>
            <w:noWrap/>
            <w:vAlign w:val="bottom"/>
            <w:hideMark/>
          </w:tcPr>
          <w:p w14:paraId="755620EB" w14:textId="77777777" w:rsidR="00A60637" w:rsidRPr="00A60637" w:rsidRDefault="00A60637" w:rsidP="00A60637">
            <w:pPr>
              <w:spacing w:after="0" w:line="240" w:lineRule="auto"/>
              <w:jc w:val="left"/>
              <w:rPr>
                <w:rFonts w:ascii="Calibri" w:eastAsia="Times New Roman" w:hAnsi="Calibri" w:cs="Calibri"/>
                <w:b/>
                <w:bCs/>
                <w:color w:val="000000"/>
              </w:rPr>
            </w:pPr>
            <w:r w:rsidRPr="00A60637">
              <w:rPr>
                <w:rFonts w:ascii="Calibri" w:eastAsia="Times New Roman" w:hAnsi="Calibri" w:cs="Calibri"/>
                <w:b/>
                <w:bCs/>
                <w:color w:val="000000"/>
              </w:rPr>
              <w:t>Total Liabilities and Equity</w:t>
            </w:r>
          </w:p>
        </w:tc>
        <w:tc>
          <w:tcPr>
            <w:tcW w:w="2058" w:type="dxa"/>
            <w:tcBorders>
              <w:top w:val="nil"/>
              <w:left w:val="nil"/>
              <w:bottom w:val="single" w:sz="4" w:space="0" w:color="auto"/>
              <w:right w:val="single" w:sz="4" w:space="0" w:color="auto"/>
            </w:tcBorders>
            <w:shd w:val="clear" w:color="auto" w:fill="auto"/>
            <w:noWrap/>
            <w:vAlign w:val="bottom"/>
            <w:hideMark/>
          </w:tcPr>
          <w:p w14:paraId="0439CC7D" w14:textId="77777777" w:rsidR="00A60637" w:rsidRPr="00A60637" w:rsidRDefault="00A60637" w:rsidP="00A60637">
            <w:pPr>
              <w:spacing w:after="0" w:line="240" w:lineRule="auto"/>
              <w:jc w:val="left"/>
              <w:rPr>
                <w:rFonts w:ascii="Calibri" w:eastAsia="Times New Roman" w:hAnsi="Calibri" w:cs="Calibri"/>
                <w:b/>
                <w:bCs/>
                <w:color w:val="000000"/>
              </w:rPr>
            </w:pPr>
            <w:r w:rsidRPr="00A60637">
              <w:rPr>
                <w:rFonts w:ascii="Calibri" w:eastAsia="Times New Roman" w:hAnsi="Calibri" w:cs="Calibri"/>
                <w:b/>
                <w:bCs/>
                <w:color w:val="000000"/>
              </w:rPr>
              <w:t xml:space="preserve">           16,755,000 </w:t>
            </w:r>
          </w:p>
        </w:tc>
        <w:tc>
          <w:tcPr>
            <w:tcW w:w="1569" w:type="dxa"/>
            <w:tcBorders>
              <w:top w:val="nil"/>
              <w:left w:val="nil"/>
              <w:bottom w:val="single" w:sz="4" w:space="0" w:color="auto"/>
              <w:right w:val="single" w:sz="4" w:space="0" w:color="auto"/>
            </w:tcBorders>
            <w:shd w:val="clear" w:color="auto" w:fill="auto"/>
            <w:noWrap/>
            <w:vAlign w:val="bottom"/>
            <w:hideMark/>
          </w:tcPr>
          <w:p w14:paraId="3866874A" w14:textId="77777777" w:rsidR="00A60637" w:rsidRPr="00A60637" w:rsidRDefault="00A60637" w:rsidP="00A60637">
            <w:pPr>
              <w:spacing w:after="0" w:line="240" w:lineRule="auto"/>
              <w:jc w:val="left"/>
              <w:rPr>
                <w:rFonts w:ascii="Calibri" w:eastAsia="Times New Roman" w:hAnsi="Calibri" w:cs="Calibri"/>
                <w:b/>
                <w:bCs/>
                <w:color w:val="000000"/>
              </w:rPr>
            </w:pPr>
            <w:r w:rsidRPr="00A60637">
              <w:rPr>
                <w:rFonts w:ascii="Calibri" w:eastAsia="Times New Roman" w:hAnsi="Calibri" w:cs="Calibri"/>
                <w:b/>
                <w:bCs/>
                <w:color w:val="000000"/>
              </w:rPr>
              <w:t xml:space="preserve">   14,957,000 </w:t>
            </w:r>
          </w:p>
        </w:tc>
        <w:tc>
          <w:tcPr>
            <w:tcW w:w="1579" w:type="dxa"/>
            <w:tcBorders>
              <w:top w:val="nil"/>
              <w:left w:val="nil"/>
              <w:bottom w:val="single" w:sz="4" w:space="0" w:color="auto"/>
              <w:right w:val="single" w:sz="4" w:space="0" w:color="auto"/>
            </w:tcBorders>
            <w:shd w:val="clear" w:color="auto" w:fill="auto"/>
            <w:noWrap/>
            <w:vAlign w:val="bottom"/>
            <w:hideMark/>
          </w:tcPr>
          <w:p w14:paraId="5060FE58" w14:textId="77777777" w:rsidR="00A60637" w:rsidRPr="00A60637" w:rsidRDefault="00A60637" w:rsidP="00A60637">
            <w:pPr>
              <w:spacing w:after="0" w:line="240" w:lineRule="auto"/>
              <w:jc w:val="left"/>
              <w:rPr>
                <w:rFonts w:ascii="Calibri" w:eastAsia="Times New Roman" w:hAnsi="Calibri" w:cs="Calibri"/>
                <w:b/>
                <w:bCs/>
                <w:color w:val="000000"/>
              </w:rPr>
            </w:pPr>
            <w:r w:rsidRPr="00A60637">
              <w:rPr>
                <w:rFonts w:ascii="Calibri" w:eastAsia="Times New Roman" w:hAnsi="Calibri" w:cs="Calibri"/>
                <w:b/>
                <w:bCs/>
                <w:color w:val="000000"/>
              </w:rPr>
              <w:t xml:space="preserve">    1,798,000 </w:t>
            </w:r>
          </w:p>
        </w:tc>
        <w:tc>
          <w:tcPr>
            <w:tcW w:w="1160" w:type="dxa"/>
            <w:tcBorders>
              <w:top w:val="nil"/>
              <w:left w:val="nil"/>
              <w:bottom w:val="single" w:sz="4" w:space="0" w:color="auto"/>
              <w:right w:val="single" w:sz="4" w:space="0" w:color="auto"/>
            </w:tcBorders>
            <w:shd w:val="clear" w:color="auto" w:fill="auto"/>
            <w:noWrap/>
            <w:vAlign w:val="bottom"/>
            <w:hideMark/>
          </w:tcPr>
          <w:p w14:paraId="340A555B" w14:textId="34918339" w:rsidR="00A60637" w:rsidRPr="00A60637" w:rsidRDefault="00A60637" w:rsidP="00E54F5C">
            <w:pPr>
              <w:spacing w:after="0" w:line="240" w:lineRule="auto"/>
              <w:jc w:val="center"/>
              <w:rPr>
                <w:rFonts w:ascii="Calibri" w:eastAsia="Times New Roman" w:hAnsi="Calibri" w:cs="Calibri"/>
                <w:b/>
                <w:bCs/>
                <w:color w:val="000000"/>
              </w:rPr>
            </w:pPr>
            <w:r w:rsidRPr="00A60637">
              <w:rPr>
                <w:rFonts w:ascii="Calibri" w:eastAsia="Times New Roman" w:hAnsi="Calibri" w:cs="Calibri"/>
                <w:b/>
                <w:bCs/>
                <w:color w:val="000000"/>
              </w:rPr>
              <w:t>12</w:t>
            </w:r>
          </w:p>
        </w:tc>
      </w:tr>
    </w:tbl>
    <w:p w14:paraId="45A4A54F" w14:textId="77777777" w:rsidR="00C964B4" w:rsidRDefault="00C964B4"/>
    <w:p w14:paraId="5866B1A6" w14:textId="77777777" w:rsidR="00C964B4" w:rsidRDefault="00C964B4">
      <w:r>
        <w:t>The current asset is related to the level of operation. It is expected the current asset will increase when the company’s sales increase. Additional working capital or current asset is needed to support additional</w:t>
      </w:r>
      <w:r w:rsidR="00AD281F">
        <w:t xml:space="preserve"> sales (Singh and Kumar, 2014)</w:t>
      </w:r>
      <w:r>
        <w:t>. And when sales decrease, the current asset is also expected to decrease. In this case, the current asset becomes double although the level of sales decreases.</w:t>
      </w:r>
      <w:r w:rsidR="00264F4C">
        <w:t xml:space="preserve"> The current asset increased by 101%. </w:t>
      </w:r>
      <w:r>
        <w:t xml:space="preserve"> It remains a matter of inquiry why current assets increased even though sales decreased. The company </w:t>
      </w:r>
      <w:r w:rsidR="00264F4C">
        <w:t>might make many credit sales to boost sales dur</w:t>
      </w:r>
      <w:r w:rsidR="00ED68B0">
        <w:t>ing the financial distress (Subramanyam, 2014)</w:t>
      </w:r>
      <w:r w:rsidR="00264F4C">
        <w:t xml:space="preserve">. The non-current asset also increased by 26% </w:t>
      </w:r>
      <w:r w:rsidR="00264F4C">
        <w:lastRenderedPageBreak/>
        <w:t>and the overall assets increased by 12%. The company’s current liabilities did not reduce much in comparison with the decrease in sales. It decreased only by 15%. It indicates that the company is in trouble to pay its obligations. Even though, the company experienced a negative growth it</w:t>
      </w:r>
      <w:r w:rsidR="00875CA7">
        <w:t xml:space="preserve">s non-current liabilities increased by 26%. If we look at non-current assets, it looks equal to non-current liabilities. The company might have invested all of its long-term liabilities in long-term assets. As the company experienced net loss in 2020, retained earnings has also decreased by 13%. Although net loss is $715,000, net change in retained earnings is negative $767,000. The company may distribute some money as a dividend. </w:t>
      </w:r>
    </w:p>
    <w:p w14:paraId="76BA00FF" w14:textId="77777777" w:rsidR="00875CA7" w:rsidRDefault="00875CA7" w:rsidP="000E6EAF">
      <w:pPr>
        <w:pStyle w:val="Heading2"/>
      </w:pPr>
      <w:bookmarkStart w:id="3" w:name="_Toc103559996"/>
      <w:r>
        <w:t>Trends in financial ratios</w:t>
      </w:r>
      <w:bookmarkEnd w:id="3"/>
    </w:p>
    <w:p w14:paraId="58C532B7" w14:textId="77777777" w:rsidR="0081372D" w:rsidRDefault="0081372D">
      <w:r>
        <w:t xml:space="preserve">In this section, we focus on two more ratios over the period. One is the profit margin measuring profitability and another one is the current ratio measuring liquidity. </w:t>
      </w:r>
    </w:p>
    <w:p w14:paraId="20378EE4" w14:textId="77777777" w:rsidR="0081372D" w:rsidRDefault="0081372D">
      <w:r>
        <w:t>Profit Margin= Net Income/ Sales</w:t>
      </w:r>
    </w:p>
    <w:p w14:paraId="0E7196B3" w14:textId="77777777" w:rsidR="0081372D" w:rsidRDefault="0081372D">
      <w:r>
        <w:t xml:space="preserve">Profit margin in 2019: -715/ 4307000= </w:t>
      </w:r>
      <w:r w:rsidR="008E24FF">
        <w:t>-17%</w:t>
      </w:r>
    </w:p>
    <w:p w14:paraId="36AF0AA6" w14:textId="77777777" w:rsidR="0081372D" w:rsidRDefault="0081372D">
      <w:r>
        <w:t xml:space="preserve">Profit Margin in 2020: 881/ </w:t>
      </w:r>
      <w:r w:rsidR="008E24FF">
        <w:t>9452000= 9%</w:t>
      </w:r>
    </w:p>
    <w:p w14:paraId="74384FED" w14:textId="77777777" w:rsidR="008E24FF" w:rsidRDefault="008E24FF">
      <w:r>
        <w:t>The calculations above show that the company’s profit margin in 2019 was 9% and in 2020, it was -17%. The positive profit margin turned into a huge negative profit margin in 2020. It indicates that it performed poorly in 2020. The profitability decreased due to the decrease in sales and not a decrease in the cost of sales and operating expenses. In some cases operating expenses increased.</w:t>
      </w:r>
    </w:p>
    <w:p w14:paraId="2F5F3E32" w14:textId="77777777" w:rsidR="008E24FF" w:rsidRDefault="008E24FF">
      <w:r>
        <w:t>Current Ratio = Current Assets/ Current Liabilities</w:t>
      </w:r>
    </w:p>
    <w:p w14:paraId="73E1CAD2" w14:textId="77777777" w:rsidR="008E24FF" w:rsidRDefault="008E24FF">
      <w:r>
        <w:t xml:space="preserve">The current ratio for 2020= </w:t>
      </w:r>
      <w:r w:rsidR="002C213D">
        <w:t>4202000/ 2431000= 1.73 times</w:t>
      </w:r>
    </w:p>
    <w:p w14:paraId="382EBF25" w14:textId="77777777" w:rsidR="008E24FF" w:rsidRDefault="008E24FF">
      <w:r>
        <w:t>Current ratio for 2019=</w:t>
      </w:r>
      <w:r w:rsidR="002C213D">
        <w:t xml:space="preserve"> 2093000/ 2871000= 0. 73 times</w:t>
      </w:r>
    </w:p>
    <w:p w14:paraId="7467B4CC" w14:textId="77777777" w:rsidR="002C213D" w:rsidRDefault="002C213D">
      <w:r>
        <w:t>Liquidity is important for companies to survive in t</w:t>
      </w:r>
      <w:r w:rsidR="00AD281F">
        <w:t>he short run. If the company does</w:t>
      </w:r>
      <w:r>
        <w:t xml:space="preserve"> not </w:t>
      </w:r>
      <w:r w:rsidR="00AD281F">
        <w:t xml:space="preserve">have </w:t>
      </w:r>
      <w:r>
        <w:t>sufficient current assets to pay its current liabilities it will</w:t>
      </w:r>
      <w:r w:rsidR="00AD281F">
        <w:t xml:space="preserve"> bear the risk of bankruptcy (Easton et al., 2018)</w:t>
      </w:r>
      <w:r>
        <w:t>. The company’s liquidity position has increased in 2020. While it was less than 1 in 2019, it became sufficiently more than 1. So, the company could become able to manage enough liquidity for short-term survival.</w:t>
      </w:r>
    </w:p>
    <w:p w14:paraId="498FE574" w14:textId="77777777" w:rsidR="006F1DEA" w:rsidRDefault="006F1DEA" w:rsidP="000E6EAF">
      <w:pPr>
        <w:pStyle w:val="Heading1"/>
      </w:pPr>
      <w:bookmarkStart w:id="4" w:name="_Toc103559997"/>
      <w:r>
        <w:lastRenderedPageBreak/>
        <w:t>Requirement (b) Outline the importance of using ratio analysis in decision making</w:t>
      </w:r>
      <w:bookmarkEnd w:id="4"/>
    </w:p>
    <w:p w14:paraId="306269FC" w14:textId="77777777" w:rsidR="002C213D" w:rsidRDefault="008513BE">
      <w:r>
        <w:t xml:space="preserve">Ratio analysis is a useful tool to understand the company’s financial results over the period. It makes a sharp comparison of performance indicators across the financial years. </w:t>
      </w:r>
      <w:r w:rsidR="00ED5FA9">
        <w:t>The calculated ratios also provide the ground to make an intercompany comparison. Ratio analysis aids in decision-making at least in the following areas.</w:t>
      </w:r>
    </w:p>
    <w:p w14:paraId="4A88B007" w14:textId="77777777" w:rsidR="00ED5FA9" w:rsidRDefault="00ED5FA9">
      <w:r w:rsidRPr="00951608">
        <w:rPr>
          <w:b/>
          <w:i/>
        </w:rPr>
        <w:t>Measuring financial performance:</w:t>
      </w:r>
      <w:r>
        <w:t xml:space="preserve"> One of the key use of ratio analysis is that it measures organizational performance</w:t>
      </w:r>
      <w:r w:rsidR="00AD281F">
        <w:t xml:space="preserve"> </w:t>
      </w:r>
      <w:r w:rsidR="00AD281F" w:rsidRPr="00AD281F">
        <w:t>(Woodruff, 2019)</w:t>
      </w:r>
      <w:r>
        <w:t>. Looking into the profitability ratio, we can easily conclude that Hilton hotel performed poorly in 2020 compared with 2019. By performing horizontal analysis we can find out the factors that contributed most to the financial success and failure. Sometimes, ratios are useful to make comparisons between operating segments of the company.</w:t>
      </w:r>
    </w:p>
    <w:p w14:paraId="78D5E152" w14:textId="77777777" w:rsidR="00ED5FA9" w:rsidRDefault="00ED5FA9" w:rsidP="00951608">
      <w:r w:rsidRPr="00951608">
        <w:rPr>
          <w:b/>
          <w:i/>
        </w:rPr>
        <w:t>Maintaining debt covenants:</w:t>
      </w:r>
      <w:r>
        <w:t xml:space="preserve"> Sometimes, debt covenants are attached to </w:t>
      </w:r>
      <w:r w:rsidR="00951608">
        <w:t>financial ratios. For example, creditors may set a limit on the liquidity ratio to give short-term loans. If the company fails to maintain certain ratios the debt may become subject to immediate call</w:t>
      </w:r>
      <w:r w:rsidR="00D820CE">
        <w:t xml:space="preserve"> (Griffin et al., 2019)</w:t>
      </w:r>
      <w:r w:rsidR="00951608">
        <w:t>. So, the financial ratios are important for decision-makers and they try to maintain the desired ratio so as to avoid financial distress.</w:t>
      </w:r>
    </w:p>
    <w:p w14:paraId="4031EC64" w14:textId="77777777" w:rsidR="00951608" w:rsidRDefault="00951608" w:rsidP="00951608">
      <w:r w:rsidRPr="00133C26">
        <w:rPr>
          <w:b/>
          <w:i/>
        </w:rPr>
        <w:t>Planning and forecasting:</w:t>
      </w:r>
      <w:r>
        <w:t xml:space="preserve"> Financial ratio analysis plays an important role in forecasting future trends. There are relationships among sales, cost of sales, receivables, working capital, and operating expenses. </w:t>
      </w:r>
      <w:r w:rsidR="001A2D64">
        <w:t>Based on horizontal ratio analysis, decision-makers become able to predict the future trends in these accounts</w:t>
      </w:r>
      <w:r w:rsidR="00D820CE">
        <w:t xml:space="preserve"> (Monahan, 2018)</w:t>
      </w:r>
      <w:r w:rsidR="001A2D64">
        <w:t xml:space="preserve">. </w:t>
      </w:r>
      <w:r w:rsidR="00133C26">
        <w:t>It is also possible to predict the future profitability of the company with the help of ratio analysis.</w:t>
      </w:r>
    </w:p>
    <w:p w14:paraId="56469DDB" w14:textId="77777777" w:rsidR="00133C26" w:rsidRDefault="00133C26" w:rsidP="00951608">
      <w:r w:rsidRPr="006F1DEA">
        <w:rPr>
          <w:b/>
          <w:i/>
        </w:rPr>
        <w:t>Measuring operational efficiency and risk:</w:t>
      </w:r>
      <w:r>
        <w:t xml:space="preserve"> Ratio analysis is very helpful in evaluating the operational efficiency of the company. Some ratios such as inventory turnover, asset turnover and receivable turnover are useful to know how well the company used its re</w:t>
      </w:r>
      <w:r w:rsidR="00AD281F">
        <w:t>sources to generate income (Richardson et al., 2010).</w:t>
      </w:r>
      <w:r>
        <w:t xml:space="preserve"> </w:t>
      </w:r>
      <w:r w:rsidR="00AD281F">
        <w:t>R</w:t>
      </w:r>
      <w:r w:rsidR="006F1DEA">
        <w:t>atios such as the debt/equity ratio measure the company’s ability to sustain for the long run.</w:t>
      </w:r>
    </w:p>
    <w:p w14:paraId="6E22B91E" w14:textId="77777777" w:rsidR="006F1DEA" w:rsidRDefault="006F1DEA" w:rsidP="000E6EAF">
      <w:pPr>
        <w:pStyle w:val="Heading1"/>
      </w:pPr>
      <w:bookmarkStart w:id="5" w:name="_Toc103559998"/>
      <w:r>
        <w:lastRenderedPageBreak/>
        <w:t>Requirement (c) Investigate the limitations of ratio analysis including why its understanding is essential in Hotel management</w:t>
      </w:r>
      <w:bookmarkEnd w:id="5"/>
    </w:p>
    <w:p w14:paraId="45249694" w14:textId="77777777" w:rsidR="006F1DEA" w:rsidRDefault="006F1DEA" w:rsidP="000E6EAF">
      <w:pPr>
        <w:pStyle w:val="Heading2"/>
      </w:pPr>
      <w:bookmarkStart w:id="6" w:name="_Toc103559999"/>
      <w:r>
        <w:t>Limitations of ratio analysis</w:t>
      </w:r>
      <w:bookmarkEnd w:id="6"/>
    </w:p>
    <w:p w14:paraId="27B18E26" w14:textId="77777777" w:rsidR="006F1DEA" w:rsidRDefault="006F1DEA" w:rsidP="00951608">
      <w:r>
        <w:t>Despite its usefulness, ratio analysis has some limitations that urge users to interpret the ratios carefully. Some of the limitations are briefly discussed below.</w:t>
      </w:r>
    </w:p>
    <w:p w14:paraId="61A70E3C" w14:textId="77777777" w:rsidR="006F1DEA" w:rsidRDefault="00300EFA" w:rsidP="00951608">
      <w:r w:rsidRPr="00D820CE">
        <w:rPr>
          <w:b/>
          <w:i/>
        </w:rPr>
        <w:t>The difference in accounting standards:</w:t>
      </w:r>
      <w:r>
        <w:t xml:space="preserve"> The companies in different countries use different accounting standards for financial reporting. IFRS and US GAAP are two dominant standards that the companies follow. It is unwise to blindly compare the financial ratios of the company following IFRS with the rations of the company following US GAAP </w:t>
      </w:r>
      <w:r w:rsidR="00D820CE">
        <w:t>(Shim, 2022)</w:t>
      </w:r>
      <w:r>
        <w:t>.</w:t>
      </w:r>
    </w:p>
    <w:p w14:paraId="60DA0A1B" w14:textId="77777777" w:rsidR="00300EFA" w:rsidRDefault="00300EFA" w:rsidP="00951608">
      <w:r w:rsidRPr="00D820CE">
        <w:rPr>
          <w:b/>
          <w:i/>
        </w:rPr>
        <w:t>The provision of discretion in accounting for some items:</w:t>
      </w:r>
      <w:r>
        <w:t xml:space="preserve"> Even the financial statements of the companies following the same accounting standard may be different as the standards kept options for accountants to choose accounting methods</w:t>
      </w:r>
      <w:r w:rsidR="00D820CE">
        <w:t xml:space="preserve"> (Shim, 2022)</w:t>
      </w:r>
      <w:r>
        <w:t>. For example, for the same items managers of different companies may have different estimations of life, hence, depreciate differently.</w:t>
      </w:r>
    </w:p>
    <w:p w14:paraId="27C2A6BF" w14:textId="77777777" w:rsidR="00227206" w:rsidRDefault="00300EFA" w:rsidP="00951608">
      <w:r w:rsidRPr="00D820CE">
        <w:rPr>
          <w:b/>
          <w:i/>
        </w:rPr>
        <w:t xml:space="preserve">Not </w:t>
      </w:r>
      <w:r w:rsidR="00227206" w:rsidRPr="00D820CE">
        <w:rPr>
          <w:b/>
          <w:i/>
        </w:rPr>
        <w:t>considering</w:t>
      </w:r>
      <w:r w:rsidRPr="00D820CE">
        <w:rPr>
          <w:b/>
          <w:i/>
        </w:rPr>
        <w:t xml:space="preserve"> non-financial information:</w:t>
      </w:r>
      <w:r>
        <w:t xml:space="preserve"> The year 2020 </w:t>
      </w:r>
      <w:r w:rsidR="00227206">
        <w:t>was a different financial year for many companies due to the pandemic. Only looking at the financial ratio, we may conclude the company is not worth to invest. But the consideration of non-financial information may provide different insights</w:t>
      </w:r>
      <w:r w:rsidR="00D820CE">
        <w:t xml:space="preserve"> (</w:t>
      </w:r>
      <w:proofErr w:type="spellStart"/>
      <w:r w:rsidR="00D820CE">
        <w:t>Vitez</w:t>
      </w:r>
      <w:proofErr w:type="spellEnd"/>
      <w:r w:rsidR="00D820CE">
        <w:t>, 2020)</w:t>
      </w:r>
      <w:r w:rsidR="00227206">
        <w:t>.</w:t>
      </w:r>
    </w:p>
    <w:p w14:paraId="7183A74E" w14:textId="77777777" w:rsidR="00227206" w:rsidRDefault="00227206" w:rsidP="000E6EAF">
      <w:pPr>
        <w:pStyle w:val="Heading2"/>
      </w:pPr>
      <w:bookmarkStart w:id="7" w:name="_Toc103560000"/>
      <w:r>
        <w:t>The necessity of understanding financial ratios in hotel management</w:t>
      </w:r>
      <w:bookmarkEnd w:id="7"/>
    </w:p>
    <w:p w14:paraId="62B644D5" w14:textId="77777777" w:rsidR="000E6EAF" w:rsidRDefault="00227206" w:rsidP="00951608">
      <w:r>
        <w:t xml:space="preserve">The understanding of financial ratios in hotel management is very important as it provides useful information regarding profitability, liquidity, and solvency. It is important for managers </w:t>
      </w:r>
      <w:r w:rsidR="0023281C">
        <w:t xml:space="preserve">to know what </w:t>
      </w:r>
      <w:r>
        <w:t>the key factors</w:t>
      </w:r>
      <w:r w:rsidR="0023281C">
        <w:t xml:space="preserve"> are</w:t>
      </w:r>
      <w:r>
        <w:t xml:space="preserve"> for the profitability and continuity of the bu</w:t>
      </w:r>
      <w:r w:rsidR="0023281C">
        <w:t>siness. For example, if the company does not have enough working capital, it will fail to meet its day-to-day expenses that are necessary for serving customers as well as fail to pay its short-term obligations</w:t>
      </w:r>
      <w:r w:rsidR="00AD281F">
        <w:t xml:space="preserve"> (Griffin et al., 2019)</w:t>
      </w:r>
      <w:r w:rsidR="0023281C">
        <w:t xml:space="preserve">. If we look at the current ratio of Hilton </w:t>
      </w:r>
      <w:r w:rsidR="00ED68B0">
        <w:t>Hotels</w:t>
      </w:r>
      <w:r w:rsidR="0023281C">
        <w:t xml:space="preserve">, we will find that company’s current ratio is higher in 2020 than </w:t>
      </w:r>
      <w:r w:rsidR="00ED68B0">
        <w:t xml:space="preserve">in </w:t>
      </w:r>
      <w:r w:rsidR="0023281C">
        <w:t>2019 even though the company experienced negative profitability. Perhaps, managers understood that maintaining liquidity is crucial for survival in the short term.</w:t>
      </w:r>
    </w:p>
    <w:p w14:paraId="057B95FF" w14:textId="77777777" w:rsidR="000E6EAF" w:rsidRDefault="000E6EAF">
      <w:pPr>
        <w:spacing w:line="259" w:lineRule="auto"/>
        <w:jc w:val="left"/>
      </w:pPr>
      <w:r>
        <w:br w:type="page"/>
      </w:r>
    </w:p>
    <w:p w14:paraId="7135F95A" w14:textId="77777777" w:rsidR="000E6EAF" w:rsidRDefault="000E6EAF" w:rsidP="000E6EAF">
      <w:pPr>
        <w:pStyle w:val="Heading1"/>
      </w:pPr>
      <w:bookmarkStart w:id="8" w:name="_Toc103560001"/>
      <w:r>
        <w:lastRenderedPageBreak/>
        <w:t>Conclusion</w:t>
      </w:r>
      <w:bookmarkEnd w:id="8"/>
    </w:p>
    <w:p w14:paraId="3EABE7DC" w14:textId="77777777" w:rsidR="000E6EAF" w:rsidRDefault="00B96FCD" w:rsidP="00CC454D">
      <w:r>
        <w:t>Ratio analysis is very useful for understanding the financial statements of a company and for decision-making. Ratio analysis generates further information from the financial statements</w:t>
      </w:r>
      <w:r w:rsidR="00ED68B0">
        <w:t xml:space="preserve"> (Subramanyam, 2014</w:t>
      </w:r>
      <w:proofErr w:type="gramStart"/>
      <w:r w:rsidR="00ED68B0">
        <w:t>).</w:t>
      </w:r>
      <w:r>
        <w:t>.</w:t>
      </w:r>
      <w:proofErr w:type="gramEnd"/>
      <w:r w:rsidR="00CC454D">
        <w:t xml:space="preserve"> From the ratio analysis of Hilton Worldwide, it has been found that company’s financial performance was very poor in 2020. On the basis of ratio analysis the decision-makers becomes able to evaluate performance, maintain the terms of debt covenants, forecast future profitability and evaluate operational efficiency. Although the ratio analysis is useful in decision-making, the inherent limitations in accounting limit its usefulness.</w:t>
      </w:r>
      <w:r w:rsidR="000E6EAF">
        <w:br w:type="page"/>
      </w:r>
    </w:p>
    <w:p w14:paraId="63EAA7A1" w14:textId="77777777" w:rsidR="00227206" w:rsidRDefault="000E6EAF" w:rsidP="000E6EAF">
      <w:pPr>
        <w:pStyle w:val="Heading1"/>
      </w:pPr>
      <w:bookmarkStart w:id="9" w:name="_Toc103560002"/>
      <w:r>
        <w:lastRenderedPageBreak/>
        <w:t>References</w:t>
      </w:r>
      <w:bookmarkEnd w:id="9"/>
    </w:p>
    <w:p w14:paraId="3C2DBAFB" w14:textId="482968D6" w:rsidR="00F73AFB" w:rsidRPr="00F73AFB" w:rsidRDefault="00F73AFB" w:rsidP="00F73AFB">
      <w:pPr>
        <w:rPr>
          <w:rFonts w:cs="Times New Roman"/>
          <w:color w:val="222222"/>
          <w:szCs w:val="24"/>
          <w:shd w:val="clear" w:color="auto" w:fill="FFFFFF"/>
        </w:rPr>
      </w:pPr>
      <w:r w:rsidRPr="00F73AFB">
        <w:rPr>
          <w:rFonts w:cs="Times New Roman"/>
          <w:color w:val="222222"/>
          <w:szCs w:val="24"/>
          <w:shd w:val="clear" w:color="auto" w:fill="FFFFFF"/>
        </w:rPr>
        <w:t>Easton, P.D., McAnally, M.L., Sommers, G.A. and Zhang, X.J.</w:t>
      </w:r>
      <w:r w:rsidR="00E54F5C">
        <w:rPr>
          <w:rFonts w:cs="Times New Roman"/>
          <w:color w:val="222222"/>
          <w:szCs w:val="24"/>
          <w:shd w:val="clear" w:color="auto" w:fill="FFFFFF"/>
        </w:rPr>
        <w:t xml:space="preserve"> (</w:t>
      </w:r>
      <w:r w:rsidRPr="00F73AFB">
        <w:rPr>
          <w:rFonts w:cs="Times New Roman"/>
          <w:color w:val="222222"/>
          <w:szCs w:val="24"/>
          <w:shd w:val="clear" w:color="auto" w:fill="FFFFFF"/>
        </w:rPr>
        <w:t>2018</w:t>
      </w:r>
      <w:r w:rsidR="00E54F5C">
        <w:rPr>
          <w:rFonts w:cs="Times New Roman"/>
          <w:color w:val="222222"/>
          <w:szCs w:val="24"/>
          <w:shd w:val="clear" w:color="auto" w:fill="FFFFFF"/>
        </w:rPr>
        <w:t>)</w:t>
      </w:r>
      <w:r w:rsidRPr="00F73AFB">
        <w:rPr>
          <w:rFonts w:cs="Times New Roman"/>
          <w:color w:val="222222"/>
          <w:szCs w:val="24"/>
          <w:shd w:val="clear" w:color="auto" w:fill="FFFFFF"/>
        </w:rPr>
        <w:t> </w:t>
      </w:r>
      <w:r w:rsidRPr="00F73AFB">
        <w:rPr>
          <w:rFonts w:cs="Times New Roman"/>
          <w:i/>
          <w:iCs/>
          <w:color w:val="222222"/>
          <w:szCs w:val="24"/>
          <w:shd w:val="clear" w:color="auto" w:fill="FFFFFF"/>
        </w:rPr>
        <w:t>Financial statement analysis &amp; valuation</w:t>
      </w:r>
      <w:r w:rsidRPr="00F73AFB">
        <w:rPr>
          <w:rFonts w:cs="Times New Roman"/>
          <w:color w:val="222222"/>
          <w:szCs w:val="24"/>
          <w:shd w:val="clear" w:color="auto" w:fill="FFFFFF"/>
        </w:rPr>
        <w:t>. Boston, MA: Cambridge Business Publishers.</w:t>
      </w:r>
    </w:p>
    <w:p w14:paraId="416B13D0" w14:textId="40AEA107" w:rsidR="00F73AFB" w:rsidRPr="00F73AFB" w:rsidRDefault="00F73AFB" w:rsidP="00F73AFB">
      <w:pPr>
        <w:rPr>
          <w:rFonts w:cs="Times New Roman"/>
          <w:color w:val="222222"/>
          <w:szCs w:val="24"/>
          <w:shd w:val="clear" w:color="auto" w:fill="FFFFFF"/>
        </w:rPr>
      </w:pPr>
      <w:r w:rsidRPr="00F73AFB">
        <w:rPr>
          <w:rFonts w:cs="Times New Roman"/>
          <w:color w:val="222222"/>
          <w:szCs w:val="24"/>
          <w:shd w:val="clear" w:color="auto" w:fill="FFFFFF"/>
        </w:rPr>
        <w:t xml:space="preserve">Griffin, T.P., </w:t>
      </w:r>
      <w:proofErr w:type="spellStart"/>
      <w:r w:rsidRPr="00F73AFB">
        <w:rPr>
          <w:rFonts w:cs="Times New Roman"/>
          <w:color w:val="222222"/>
          <w:szCs w:val="24"/>
          <w:shd w:val="clear" w:color="auto" w:fill="FFFFFF"/>
        </w:rPr>
        <w:t>Nini</w:t>
      </w:r>
      <w:proofErr w:type="spellEnd"/>
      <w:r w:rsidRPr="00F73AFB">
        <w:rPr>
          <w:rFonts w:cs="Times New Roman"/>
          <w:color w:val="222222"/>
          <w:szCs w:val="24"/>
          <w:shd w:val="clear" w:color="auto" w:fill="FFFFFF"/>
        </w:rPr>
        <w:t>, G. and Smith, D.C.</w:t>
      </w:r>
      <w:r w:rsidR="00E54F5C">
        <w:rPr>
          <w:rFonts w:cs="Times New Roman"/>
          <w:color w:val="222222"/>
          <w:szCs w:val="24"/>
          <w:shd w:val="clear" w:color="auto" w:fill="FFFFFF"/>
        </w:rPr>
        <w:t xml:space="preserve"> (</w:t>
      </w:r>
      <w:r w:rsidRPr="00F73AFB">
        <w:rPr>
          <w:rFonts w:cs="Times New Roman"/>
          <w:color w:val="222222"/>
          <w:szCs w:val="24"/>
          <w:shd w:val="clear" w:color="auto" w:fill="FFFFFF"/>
        </w:rPr>
        <w:t>2019</w:t>
      </w:r>
      <w:r w:rsidR="00E54F5C">
        <w:rPr>
          <w:rFonts w:cs="Times New Roman"/>
          <w:color w:val="222222"/>
          <w:szCs w:val="24"/>
          <w:shd w:val="clear" w:color="auto" w:fill="FFFFFF"/>
        </w:rPr>
        <w:t>)</w:t>
      </w:r>
      <w:r w:rsidRPr="00F73AFB">
        <w:rPr>
          <w:rFonts w:cs="Times New Roman"/>
          <w:color w:val="222222"/>
          <w:szCs w:val="24"/>
          <w:shd w:val="clear" w:color="auto" w:fill="FFFFFF"/>
        </w:rPr>
        <w:t xml:space="preserve"> Losing control? the 20-year decline in loan covenant restrictions.</w:t>
      </w:r>
    </w:p>
    <w:p w14:paraId="43E3EA3B" w14:textId="3B791A73" w:rsidR="00F73AFB" w:rsidRPr="00F73AFB" w:rsidRDefault="00F73AFB" w:rsidP="00F73AFB">
      <w:pPr>
        <w:rPr>
          <w:rFonts w:cs="Times New Roman"/>
          <w:szCs w:val="24"/>
          <w:shd w:val="clear" w:color="auto" w:fill="FFFFFF"/>
        </w:rPr>
      </w:pPr>
      <w:r w:rsidRPr="00F73AFB">
        <w:rPr>
          <w:rFonts w:cs="Times New Roman"/>
          <w:szCs w:val="24"/>
          <w:shd w:val="clear" w:color="auto" w:fill="FFFFFF"/>
        </w:rPr>
        <w:t xml:space="preserve">Monahan, S.J. </w:t>
      </w:r>
      <w:r w:rsidR="00E54F5C">
        <w:rPr>
          <w:rFonts w:cs="Times New Roman"/>
          <w:szCs w:val="24"/>
          <w:shd w:val="clear" w:color="auto" w:fill="FFFFFF"/>
        </w:rPr>
        <w:t>(</w:t>
      </w:r>
      <w:r w:rsidRPr="00F73AFB">
        <w:rPr>
          <w:rFonts w:cs="Times New Roman"/>
          <w:szCs w:val="24"/>
          <w:shd w:val="clear" w:color="auto" w:fill="FFFFFF"/>
        </w:rPr>
        <w:t>2018</w:t>
      </w:r>
      <w:r w:rsidR="00E54F5C">
        <w:rPr>
          <w:rFonts w:cs="Times New Roman"/>
          <w:szCs w:val="24"/>
          <w:shd w:val="clear" w:color="auto" w:fill="FFFFFF"/>
        </w:rPr>
        <w:t>)</w:t>
      </w:r>
      <w:r w:rsidRPr="00F73AFB">
        <w:rPr>
          <w:rFonts w:cs="Times New Roman"/>
          <w:szCs w:val="24"/>
          <w:shd w:val="clear" w:color="auto" w:fill="FFFFFF"/>
        </w:rPr>
        <w:t xml:space="preserve"> Financial statement analysis and earnings forecasting. </w:t>
      </w:r>
      <w:r w:rsidRPr="00F73AFB">
        <w:rPr>
          <w:rFonts w:cs="Times New Roman"/>
          <w:i/>
          <w:iCs/>
          <w:szCs w:val="24"/>
          <w:shd w:val="clear" w:color="auto" w:fill="FFFFFF"/>
        </w:rPr>
        <w:t>Foundations and Trends® in Accounting</w:t>
      </w:r>
      <w:r w:rsidRPr="00F73AFB">
        <w:rPr>
          <w:rFonts w:cs="Times New Roman"/>
          <w:szCs w:val="24"/>
          <w:shd w:val="clear" w:color="auto" w:fill="FFFFFF"/>
        </w:rPr>
        <w:t>, </w:t>
      </w:r>
      <w:r w:rsidRPr="00F73AFB">
        <w:rPr>
          <w:rFonts w:cs="Times New Roman"/>
          <w:i/>
          <w:iCs/>
          <w:szCs w:val="24"/>
          <w:shd w:val="clear" w:color="auto" w:fill="FFFFFF"/>
        </w:rPr>
        <w:t>12</w:t>
      </w:r>
      <w:r w:rsidRPr="00F73AFB">
        <w:rPr>
          <w:rFonts w:cs="Times New Roman"/>
          <w:szCs w:val="24"/>
          <w:shd w:val="clear" w:color="auto" w:fill="FFFFFF"/>
        </w:rPr>
        <w:t>(2), pp.105-215.</w:t>
      </w:r>
    </w:p>
    <w:p w14:paraId="199DA0D8" w14:textId="064883C8" w:rsidR="00F73AFB" w:rsidRPr="00F73AFB" w:rsidRDefault="00F73AFB" w:rsidP="00F73AFB">
      <w:pPr>
        <w:rPr>
          <w:rFonts w:cs="Times New Roman"/>
          <w:szCs w:val="24"/>
          <w:shd w:val="clear" w:color="auto" w:fill="FFFFFF"/>
        </w:rPr>
      </w:pPr>
      <w:r w:rsidRPr="00F73AFB">
        <w:rPr>
          <w:rFonts w:cs="Times New Roman"/>
          <w:szCs w:val="24"/>
          <w:shd w:val="clear" w:color="auto" w:fill="FFFFFF"/>
        </w:rPr>
        <w:t>Rao, P.M.</w:t>
      </w:r>
      <w:r w:rsidR="00E54F5C">
        <w:rPr>
          <w:rFonts w:cs="Times New Roman"/>
          <w:szCs w:val="24"/>
          <w:shd w:val="clear" w:color="auto" w:fill="FFFFFF"/>
        </w:rPr>
        <w:t xml:space="preserve"> (</w:t>
      </w:r>
      <w:proofErr w:type="gramStart"/>
      <w:r w:rsidRPr="00F73AFB">
        <w:rPr>
          <w:rFonts w:cs="Times New Roman"/>
          <w:szCs w:val="24"/>
          <w:shd w:val="clear" w:color="auto" w:fill="FFFFFF"/>
        </w:rPr>
        <w:t>202</w:t>
      </w:r>
      <w:r w:rsidR="00E54F5C">
        <w:rPr>
          <w:rFonts w:cs="Times New Roman"/>
          <w:szCs w:val="24"/>
          <w:shd w:val="clear" w:color="auto" w:fill="FFFFFF"/>
        </w:rPr>
        <w:t>1)</w:t>
      </w:r>
      <w:r w:rsidRPr="00F73AFB">
        <w:rPr>
          <w:rFonts w:cs="Times New Roman"/>
          <w:i/>
          <w:iCs/>
          <w:szCs w:val="24"/>
          <w:shd w:val="clear" w:color="auto" w:fill="FFFFFF"/>
        </w:rPr>
        <w:t>Financial</w:t>
      </w:r>
      <w:proofErr w:type="gramEnd"/>
      <w:r w:rsidRPr="00F73AFB">
        <w:rPr>
          <w:rFonts w:cs="Times New Roman"/>
          <w:i/>
          <w:iCs/>
          <w:szCs w:val="24"/>
          <w:shd w:val="clear" w:color="auto" w:fill="FFFFFF"/>
        </w:rPr>
        <w:t xml:space="preserve"> statement analysis and reporting</w:t>
      </w:r>
      <w:r w:rsidRPr="00F73AFB">
        <w:rPr>
          <w:rFonts w:cs="Times New Roman"/>
          <w:szCs w:val="24"/>
          <w:shd w:val="clear" w:color="auto" w:fill="FFFFFF"/>
        </w:rPr>
        <w:t xml:space="preserve">. PHI Learning Pvt. </w:t>
      </w:r>
      <w:proofErr w:type="gramStart"/>
      <w:r w:rsidRPr="00F73AFB">
        <w:rPr>
          <w:rFonts w:cs="Times New Roman"/>
          <w:szCs w:val="24"/>
          <w:shd w:val="clear" w:color="auto" w:fill="FFFFFF"/>
        </w:rPr>
        <w:t>Ltd..</w:t>
      </w:r>
      <w:proofErr w:type="gramEnd"/>
    </w:p>
    <w:p w14:paraId="4F3035EA" w14:textId="7ADCF19A" w:rsidR="00F73AFB" w:rsidRPr="00F73AFB" w:rsidRDefault="00F73AFB" w:rsidP="00F73AFB">
      <w:pPr>
        <w:rPr>
          <w:rFonts w:cs="Times New Roman"/>
          <w:color w:val="222222"/>
          <w:szCs w:val="24"/>
          <w:shd w:val="clear" w:color="auto" w:fill="FFFFFF"/>
        </w:rPr>
      </w:pPr>
      <w:r w:rsidRPr="00F73AFB">
        <w:rPr>
          <w:rFonts w:cs="Times New Roman"/>
          <w:color w:val="222222"/>
          <w:szCs w:val="24"/>
          <w:shd w:val="clear" w:color="auto" w:fill="FFFFFF"/>
        </w:rPr>
        <w:t xml:space="preserve">Richardson, S., Tuna, I. and Wysocki, P. </w:t>
      </w:r>
      <w:r w:rsidR="00430005">
        <w:rPr>
          <w:rFonts w:cs="Times New Roman"/>
          <w:color w:val="222222"/>
          <w:szCs w:val="24"/>
          <w:shd w:val="clear" w:color="auto" w:fill="FFFFFF"/>
        </w:rPr>
        <w:t>(</w:t>
      </w:r>
      <w:r w:rsidRPr="00F73AFB">
        <w:rPr>
          <w:rFonts w:cs="Times New Roman"/>
          <w:color w:val="222222"/>
          <w:szCs w:val="24"/>
          <w:shd w:val="clear" w:color="auto" w:fill="FFFFFF"/>
        </w:rPr>
        <w:t>2010</w:t>
      </w:r>
      <w:r w:rsidR="00430005">
        <w:rPr>
          <w:rFonts w:cs="Times New Roman"/>
          <w:color w:val="222222"/>
          <w:szCs w:val="24"/>
          <w:shd w:val="clear" w:color="auto" w:fill="FFFFFF"/>
        </w:rPr>
        <w:t>)</w:t>
      </w:r>
      <w:r w:rsidRPr="00F73AFB">
        <w:rPr>
          <w:rFonts w:cs="Times New Roman"/>
          <w:color w:val="222222"/>
          <w:szCs w:val="24"/>
          <w:shd w:val="clear" w:color="auto" w:fill="FFFFFF"/>
        </w:rPr>
        <w:t xml:space="preserve"> Accounting anomalies and fundamental analysis: A review of recent research advances. </w:t>
      </w:r>
      <w:r w:rsidRPr="00F73AFB">
        <w:rPr>
          <w:rFonts w:cs="Times New Roman"/>
          <w:i/>
          <w:iCs/>
          <w:color w:val="222222"/>
          <w:szCs w:val="24"/>
          <w:shd w:val="clear" w:color="auto" w:fill="FFFFFF"/>
        </w:rPr>
        <w:t>Journal of Accounting and Economics</w:t>
      </w:r>
      <w:r w:rsidRPr="00F73AFB">
        <w:rPr>
          <w:rFonts w:cs="Times New Roman"/>
          <w:color w:val="222222"/>
          <w:szCs w:val="24"/>
          <w:shd w:val="clear" w:color="auto" w:fill="FFFFFF"/>
        </w:rPr>
        <w:t>, </w:t>
      </w:r>
      <w:r w:rsidRPr="00F73AFB">
        <w:rPr>
          <w:rFonts w:cs="Times New Roman"/>
          <w:i/>
          <w:iCs/>
          <w:color w:val="222222"/>
          <w:szCs w:val="24"/>
          <w:shd w:val="clear" w:color="auto" w:fill="FFFFFF"/>
        </w:rPr>
        <w:t>50</w:t>
      </w:r>
      <w:r w:rsidRPr="00F73AFB">
        <w:rPr>
          <w:rFonts w:cs="Times New Roman"/>
          <w:color w:val="222222"/>
          <w:szCs w:val="24"/>
          <w:shd w:val="clear" w:color="auto" w:fill="FFFFFF"/>
        </w:rPr>
        <w:t>(2-3), pp.410-454.</w:t>
      </w:r>
    </w:p>
    <w:p w14:paraId="07913BBC" w14:textId="22DD5ACB" w:rsidR="00F73AFB" w:rsidRPr="00F73AFB" w:rsidRDefault="00F73AFB" w:rsidP="00F73AFB">
      <w:pPr>
        <w:rPr>
          <w:rFonts w:cs="Times New Roman"/>
          <w:color w:val="222222"/>
          <w:szCs w:val="24"/>
          <w:shd w:val="clear" w:color="auto" w:fill="FFFFFF"/>
        </w:rPr>
      </w:pPr>
      <w:r w:rsidRPr="00F73AFB">
        <w:rPr>
          <w:rFonts w:cs="Times New Roman"/>
          <w:color w:val="222222"/>
          <w:szCs w:val="24"/>
          <w:shd w:val="clear" w:color="auto" w:fill="FFFFFF"/>
        </w:rPr>
        <w:t xml:space="preserve">Shim, J.K. </w:t>
      </w:r>
      <w:r w:rsidR="00430005">
        <w:rPr>
          <w:rFonts w:cs="Times New Roman"/>
          <w:color w:val="222222"/>
          <w:szCs w:val="24"/>
          <w:shd w:val="clear" w:color="auto" w:fill="FFFFFF"/>
        </w:rPr>
        <w:t>(</w:t>
      </w:r>
      <w:r w:rsidRPr="00F73AFB">
        <w:rPr>
          <w:rFonts w:cs="Times New Roman"/>
          <w:color w:val="222222"/>
          <w:szCs w:val="24"/>
          <w:shd w:val="clear" w:color="auto" w:fill="FFFFFF"/>
        </w:rPr>
        <w:t>2022</w:t>
      </w:r>
      <w:r w:rsidR="00430005">
        <w:rPr>
          <w:rFonts w:cs="Times New Roman"/>
          <w:color w:val="222222"/>
          <w:szCs w:val="24"/>
          <w:shd w:val="clear" w:color="auto" w:fill="FFFFFF"/>
        </w:rPr>
        <w:t>)</w:t>
      </w:r>
      <w:r w:rsidRPr="00F73AFB">
        <w:rPr>
          <w:rFonts w:cs="Times New Roman"/>
          <w:color w:val="222222"/>
          <w:szCs w:val="24"/>
          <w:shd w:val="clear" w:color="auto" w:fill="FFFFFF"/>
        </w:rPr>
        <w:t> </w:t>
      </w:r>
      <w:r w:rsidRPr="00F73AFB">
        <w:rPr>
          <w:rFonts w:cs="Times New Roman"/>
          <w:i/>
          <w:iCs/>
          <w:color w:val="222222"/>
          <w:szCs w:val="24"/>
          <w:shd w:val="clear" w:color="auto" w:fill="FFFFFF"/>
        </w:rPr>
        <w:t>Financial management</w:t>
      </w:r>
      <w:r w:rsidRPr="00F73AFB">
        <w:rPr>
          <w:rFonts w:cs="Times New Roman"/>
          <w:color w:val="222222"/>
          <w:szCs w:val="24"/>
          <w:shd w:val="clear" w:color="auto" w:fill="FFFFFF"/>
        </w:rPr>
        <w:t>. Professor of Finance and Accounting Queens College City University of New York.</w:t>
      </w:r>
    </w:p>
    <w:p w14:paraId="69AD5A16" w14:textId="0062CF27" w:rsidR="00F73AFB" w:rsidRPr="00F73AFB" w:rsidRDefault="00F73AFB" w:rsidP="00F73AFB">
      <w:pPr>
        <w:rPr>
          <w:rFonts w:cs="Times New Roman"/>
          <w:color w:val="222222"/>
          <w:szCs w:val="24"/>
          <w:shd w:val="clear" w:color="auto" w:fill="FFFFFF"/>
        </w:rPr>
      </w:pPr>
      <w:r w:rsidRPr="00F73AFB">
        <w:rPr>
          <w:rFonts w:cs="Times New Roman"/>
          <w:color w:val="222222"/>
          <w:szCs w:val="24"/>
          <w:shd w:val="clear" w:color="auto" w:fill="FFFFFF"/>
        </w:rPr>
        <w:t xml:space="preserve">Singh, H.P. and Kumar, S., </w:t>
      </w:r>
      <w:r w:rsidR="00430005">
        <w:rPr>
          <w:rFonts w:cs="Times New Roman"/>
          <w:color w:val="222222"/>
          <w:szCs w:val="24"/>
          <w:shd w:val="clear" w:color="auto" w:fill="FFFFFF"/>
        </w:rPr>
        <w:t>(</w:t>
      </w:r>
      <w:r w:rsidRPr="00F73AFB">
        <w:rPr>
          <w:rFonts w:cs="Times New Roman"/>
          <w:color w:val="222222"/>
          <w:szCs w:val="24"/>
          <w:shd w:val="clear" w:color="auto" w:fill="FFFFFF"/>
        </w:rPr>
        <w:t>2014</w:t>
      </w:r>
      <w:r w:rsidR="00430005">
        <w:rPr>
          <w:rFonts w:cs="Times New Roman"/>
          <w:color w:val="222222"/>
          <w:szCs w:val="24"/>
          <w:shd w:val="clear" w:color="auto" w:fill="FFFFFF"/>
        </w:rPr>
        <w:t>)</w:t>
      </w:r>
      <w:r w:rsidRPr="00F73AFB">
        <w:rPr>
          <w:rFonts w:cs="Times New Roman"/>
          <w:color w:val="222222"/>
          <w:szCs w:val="24"/>
          <w:shd w:val="clear" w:color="auto" w:fill="FFFFFF"/>
        </w:rPr>
        <w:t xml:space="preserve"> Working capital management: a literature review and research agenda. </w:t>
      </w:r>
      <w:r w:rsidRPr="00F73AFB">
        <w:rPr>
          <w:rFonts w:cs="Times New Roman"/>
          <w:i/>
          <w:iCs/>
          <w:color w:val="222222"/>
          <w:szCs w:val="24"/>
          <w:shd w:val="clear" w:color="auto" w:fill="FFFFFF"/>
        </w:rPr>
        <w:t>Qualitative Research in Financial Markets</w:t>
      </w:r>
      <w:r w:rsidRPr="00F73AFB">
        <w:rPr>
          <w:rFonts w:cs="Times New Roman"/>
          <w:color w:val="222222"/>
          <w:szCs w:val="24"/>
          <w:shd w:val="clear" w:color="auto" w:fill="FFFFFF"/>
        </w:rPr>
        <w:t>.</w:t>
      </w:r>
    </w:p>
    <w:p w14:paraId="3A65E013" w14:textId="6ECD8815" w:rsidR="00F73AFB" w:rsidRPr="00F73AFB" w:rsidRDefault="00F73AFB" w:rsidP="00F73AFB">
      <w:pPr>
        <w:rPr>
          <w:rFonts w:cs="Times New Roman"/>
          <w:szCs w:val="24"/>
        </w:rPr>
      </w:pPr>
      <w:r w:rsidRPr="00F73AFB">
        <w:rPr>
          <w:rFonts w:cs="Times New Roman"/>
          <w:color w:val="222222"/>
          <w:szCs w:val="24"/>
          <w:shd w:val="clear" w:color="auto" w:fill="FFFFFF"/>
        </w:rPr>
        <w:t xml:space="preserve">Subramanyam, K.R. </w:t>
      </w:r>
      <w:r w:rsidR="00430005">
        <w:rPr>
          <w:rFonts w:cs="Times New Roman"/>
          <w:color w:val="222222"/>
          <w:szCs w:val="24"/>
          <w:shd w:val="clear" w:color="auto" w:fill="FFFFFF"/>
        </w:rPr>
        <w:t>(</w:t>
      </w:r>
      <w:r w:rsidRPr="00F73AFB">
        <w:rPr>
          <w:rFonts w:cs="Times New Roman"/>
          <w:color w:val="222222"/>
          <w:szCs w:val="24"/>
          <w:shd w:val="clear" w:color="auto" w:fill="FFFFFF"/>
        </w:rPr>
        <w:t>2014</w:t>
      </w:r>
      <w:r w:rsidR="00430005">
        <w:rPr>
          <w:rFonts w:cs="Times New Roman"/>
          <w:color w:val="222222"/>
          <w:szCs w:val="24"/>
          <w:shd w:val="clear" w:color="auto" w:fill="FFFFFF"/>
        </w:rPr>
        <w:t>)</w:t>
      </w:r>
      <w:r w:rsidRPr="00F73AFB">
        <w:rPr>
          <w:rFonts w:cs="Times New Roman"/>
          <w:color w:val="222222"/>
          <w:szCs w:val="24"/>
          <w:shd w:val="clear" w:color="auto" w:fill="FFFFFF"/>
        </w:rPr>
        <w:t> </w:t>
      </w:r>
      <w:r w:rsidRPr="00F73AFB">
        <w:rPr>
          <w:rFonts w:cs="Times New Roman"/>
          <w:i/>
          <w:iCs/>
          <w:color w:val="222222"/>
          <w:szCs w:val="24"/>
          <w:shd w:val="clear" w:color="auto" w:fill="FFFFFF"/>
        </w:rPr>
        <w:t>Financial statement analysis</w:t>
      </w:r>
      <w:r w:rsidRPr="00F73AFB">
        <w:rPr>
          <w:rFonts w:cs="Times New Roman"/>
          <w:color w:val="222222"/>
          <w:szCs w:val="24"/>
          <w:shd w:val="clear" w:color="auto" w:fill="FFFFFF"/>
        </w:rPr>
        <w:t xml:space="preserve">. </w:t>
      </w:r>
      <w:proofErr w:type="spellStart"/>
      <w:r w:rsidRPr="00F73AFB">
        <w:rPr>
          <w:rFonts w:cs="Times New Roman"/>
          <w:color w:val="222222"/>
          <w:szCs w:val="24"/>
          <w:shd w:val="clear" w:color="auto" w:fill="FFFFFF"/>
        </w:rPr>
        <w:t>Không</w:t>
      </w:r>
      <w:proofErr w:type="spellEnd"/>
      <w:r w:rsidRPr="00F73AFB">
        <w:rPr>
          <w:rFonts w:cs="Times New Roman"/>
          <w:color w:val="222222"/>
          <w:szCs w:val="24"/>
          <w:shd w:val="clear" w:color="auto" w:fill="FFFFFF"/>
        </w:rPr>
        <w:t xml:space="preserve"> </w:t>
      </w:r>
      <w:proofErr w:type="spellStart"/>
      <w:r w:rsidRPr="00F73AFB">
        <w:rPr>
          <w:rFonts w:cs="Times New Roman"/>
          <w:color w:val="222222"/>
          <w:szCs w:val="24"/>
          <w:shd w:val="clear" w:color="auto" w:fill="FFFFFF"/>
        </w:rPr>
        <w:t>nhà</w:t>
      </w:r>
      <w:proofErr w:type="spellEnd"/>
      <w:r w:rsidRPr="00F73AFB">
        <w:rPr>
          <w:rFonts w:cs="Times New Roman"/>
          <w:color w:val="222222"/>
          <w:szCs w:val="24"/>
          <w:shd w:val="clear" w:color="auto" w:fill="FFFFFF"/>
        </w:rPr>
        <w:t xml:space="preserve"> </w:t>
      </w:r>
      <w:proofErr w:type="spellStart"/>
      <w:r w:rsidRPr="00F73AFB">
        <w:rPr>
          <w:rFonts w:cs="Times New Roman"/>
          <w:color w:val="222222"/>
          <w:szCs w:val="24"/>
          <w:shd w:val="clear" w:color="auto" w:fill="FFFFFF"/>
        </w:rPr>
        <w:t>xuất</w:t>
      </w:r>
      <w:proofErr w:type="spellEnd"/>
      <w:r w:rsidRPr="00F73AFB">
        <w:rPr>
          <w:rFonts w:cs="Times New Roman"/>
          <w:color w:val="222222"/>
          <w:szCs w:val="24"/>
          <w:shd w:val="clear" w:color="auto" w:fill="FFFFFF"/>
        </w:rPr>
        <w:t xml:space="preserve"> </w:t>
      </w:r>
      <w:proofErr w:type="spellStart"/>
      <w:r w:rsidRPr="00F73AFB">
        <w:rPr>
          <w:rFonts w:cs="Times New Roman"/>
          <w:color w:val="222222"/>
          <w:szCs w:val="24"/>
          <w:shd w:val="clear" w:color="auto" w:fill="FFFFFF"/>
        </w:rPr>
        <w:t>bản</w:t>
      </w:r>
      <w:proofErr w:type="spellEnd"/>
      <w:r w:rsidRPr="00F73AFB">
        <w:rPr>
          <w:rFonts w:cs="Times New Roman"/>
          <w:color w:val="222222"/>
          <w:szCs w:val="24"/>
          <w:shd w:val="clear" w:color="auto" w:fill="FFFFFF"/>
        </w:rPr>
        <w:t>.</w:t>
      </w:r>
    </w:p>
    <w:p w14:paraId="715209D2" w14:textId="0AB8902F" w:rsidR="00F73AFB" w:rsidRPr="00F73AFB" w:rsidRDefault="00F73AFB" w:rsidP="00F73AFB">
      <w:pPr>
        <w:rPr>
          <w:rFonts w:cs="Times New Roman"/>
          <w:color w:val="000000"/>
          <w:szCs w:val="24"/>
          <w:shd w:val="clear" w:color="auto" w:fill="FFFFFF"/>
        </w:rPr>
      </w:pPr>
      <w:proofErr w:type="spellStart"/>
      <w:r w:rsidRPr="00F73AFB">
        <w:rPr>
          <w:rFonts w:cs="Times New Roman"/>
          <w:color w:val="000000"/>
          <w:szCs w:val="24"/>
          <w:shd w:val="clear" w:color="auto" w:fill="FFFFFF"/>
        </w:rPr>
        <w:t>Vitez</w:t>
      </w:r>
      <w:proofErr w:type="spellEnd"/>
      <w:r w:rsidRPr="00F73AFB">
        <w:rPr>
          <w:rFonts w:cs="Times New Roman"/>
          <w:color w:val="000000"/>
          <w:szCs w:val="24"/>
          <w:shd w:val="clear" w:color="auto" w:fill="FFFFFF"/>
        </w:rPr>
        <w:t xml:space="preserve">, O. </w:t>
      </w:r>
      <w:r w:rsidR="00430005">
        <w:rPr>
          <w:rFonts w:cs="Times New Roman"/>
          <w:color w:val="000000"/>
          <w:szCs w:val="24"/>
          <w:shd w:val="clear" w:color="auto" w:fill="FFFFFF"/>
        </w:rPr>
        <w:t>(</w:t>
      </w:r>
      <w:r w:rsidRPr="00F73AFB">
        <w:rPr>
          <w:rFonts w:cs="Times New Roman"/>
          <w:color w:val="000000"/>
          <w:szCs w:val="24"/>
          <w:shd w:val="clear" w:color="auto" w:fill="FFFFFF"/>
        </w:rPr>
        <w:t>2020</w:t>
      </w:r>
      <w:r w:rsidR="00430005">
        <w:rPr>
          <w:rFonts w:cs="Times New Roman"/>
          <w:color w:val="000000"/>
          <w:szCs w:val="24"/>
          <w:shd w:val="clear" w:color="auto" w:fill="FFFFFF"/>
        </w:rPr>
        <w:t>)</w:t>
      </w:r>
      <w:r w:rsidRPr="00F73AFB">
        <w:rPr>
          <w:rFonts w:cs="Times New Roman"/>
          <w:color w:val="000000"/>
          <w:szCs w:val="24"/>
          <w:shd w:val="clear" w:color="auto" w:fill="FFFFFF"/>
        </w:rPr>
        <w:t> </w:t>
      </w:r>
      <w:r w:rsidRPr="00F73AFB">
        <w:rPr>
          <w:rFonts w:cs="Times New Roman"/>
          <w:i/>
          <w:iCs/>
          <w:color w:val="000000"/>
          <w:szCs w:val="24"/>
          <w:shd w:val="clear" w:color="auto" w:fill="FFFFFF"/>
        </w:rPr>
        <w:t>Pros &amp; Cons of Financial Ratios</w:t>
      </w:r>
      <w:r w:rsidRPr="00F73AFB">
        <w:rPr>
          <w:rFonts w:cs="Times New Roman"/>
          <w:color w:val="000000"/>
          <w:szCs w:val="24"/>
          <w:shd w:val="clear" w:color="auto" w:fill="FFFFFF"/>
        </w:rPr>
        <w:t>. [online] Small Business - Chron.com. Available at: &lt;https://smallbusiness.chron.com/pros-cons-financial-ratios-3968.html&gt; [Accessed 15 May 2022].</w:t>
      </w:r>
    </w:p>
    <w:p w14:paraId="734FC415" w14:textId="51860496" w:rsidR="00F73AFB" w:rsidRPr="00F73AFB" w:rsidRDefault="00F73AFB" w:rsidP="00F73AFB">
      <w:pPr>
        <w:rPr>
          <w:rFonts w:cs="Times New Roman"/>
          <w:color w:val="000000"/>
          <w:szCs w:val="24"/>
          <w:shd w:val="clear" w:color="auto" w:fill="FFFFFF"/>
        </w:rPr>
      </w:pPr>
      <w:r w:rsidRPr="00F73AFB">
        <w:rPr>
          <w:rFonts w:cs="Times New Roman"/>
          <w:color w:val="000000"/>
          <w:szCs w:val="24"/>
          <w:shd w:val="clear" w:color="auto" w:fill="FFFFFF"/>
        </w:rPr>
        <w:t xml:space="preserve">Woodruff, J., </w:t>
      </w:r>
      <w:r w:rsidR="00430005">
        <w:rPr>
          <w:rFonts w:cs="Times New Roman"/>
          <w:color w:val="000000"/>
          <w:szCs w:val="24"/>
          <w:shd w:val="clear" w:color="auto" w:fill="FFFFFF"/>
        </w:rPr>
        <w:t>(</w:t>
      </w:r>
      <w:r w:rsidRPr="00F73AFB">
        <w:rPr>
          <w:rFonts w:cs="Times New Roman"/>
          <w:color w:val="000000"/>
          <w:szCs w:val="24"/>
          <w:shd w:val="clear" w:color="auto" w:fill="FFFFFF"/>
        </w:rPr>
        <w:t>2019</w:t>
      </w:r>
      <w:r w:rsidR="00430005">
        <w:rPr>
          <w:rFonts w:cs="Times New Roman"/>
          <w:color w:val="000000"/>
          <w:szCs w:val="24"/>
          <w:shd w:val="clear" w:color="auto" w:fill="FFFFFF"/>
        </w:rPr>
        <w:t>)</w:t>
      </w:r>
      <w:r w:rsidRPr="00F73AFB">
        <w:rPr>
          <w:rFonts w:cs="Times New Roman"/>
          <w:color w:val="000000"/>
          <w:szCs w:val="24"/>
          <w:shd w:val="clear" w:color="auto" w:fill="FFFFFF"/>
        </w:rPr>
        <w:t> </w:t>
      </w:r>
      <w:r w:rsidRPr="00F73AFB">
        <w:rPr>
          <w:rFonts w:cs="Times New Roman"/>
          <w:i/>
          <w:iCs/>
          <w:color w:val="000000"/>
          <w:szCs w:val="24"/>
          <w:shd w:val="clear" w:color="auto" w:fill="FFFFFF"/>
        </w:rPr>
        <w:t>The Purpose of Financial Ratios</w:t>
      </w:r>
      <w:r w:rsidRPr="00F73AFB">
        <w:rPr>
          <w:rFonts w:cs="Times New Roman"/>
          <w:color w:val="000000"/>
          <w:szCs w:val="24"/>
          <w:shd w:val="clear" w:color="auto" w:fill="FFFFFF"/>
        </w:rPr>
        <w:t xml:space="preserve">. [online] </w:t>
      </w:r>
      <w:proofErr w:type="spellStart"/>
      <w:r w:rsidRPr="00F73AFB">
        <w:rPr>
          <w:rFonts w:cs="Times New Roman"/>
          <w:color w:val="000000"/>
          <w:szCs w:val="24"/>
          <w:shd w:val="clear" w:color="auto" w:fill="FFFFFF"/>
        </w:rPr>
        <w:t>Bizfluent</w:t>
      </w:r>
      <w:proofErr w:type="spellEnd"/>
      <w:r w:rsidRPr="00F73AFB">
        <w:rPr>
          <w:rFonts w:cs="Times New Roman"/>
          <w:color w:val="000000"/>
          <w:szCs w:val="24"/>
          <w:shd w:val="clear" w:color="auto" w:fill="FFFFFF"/>
        </w:rPr>
        <w:t>. Available at: &lt;https://bizfluent.com/about-6195930-purpose-financial-ratios.html&gt; [Accessed 15 May 2022].</w:t>
      </w:r>
    </w:p>
    <w:sectPr w:rsidR="00F73AFB" w:rsidRPr="00F73AFB" w:rsidSect="000E6EAF">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91A8B" w14:textId="77777777" w:rsidR="00E568B8" w:rsidRDefault="00E568B8" w:rsidP="000E6EAF">
      <w:pPr>
        <w:spacing w:after="0" w:line="240" w:lineRule="auto"/>
      </w:pPr>
      <w:r>
        <w:separator/>
      </w:r>
    </w:p>
  </w:endnote>
  <w:endnote w:type="continuationSeparator" w:id="0">
    <w:p w14:paraId="25A12528" w14:textId="77777777" w:rsidR="00E568B8" w:rsidRDefault="00E568B8" w:rsidP="000E6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32488" w14:textId="77777777" w:rsidR="00E568B8" w:rsidRDefault="00E568B8" w:rsidP="000E6EAF">
      <w:pPr>
        <w:spacing w:after="0" w:line="240" w:lineRule="auto"/>
      </w:pPr>
      <w:r>
        <w:separator/>
      </w:r>
    </w:p>
  </w:footnote>
  <w:footnote w:type="continuationSeparator" w:id="0">
    <w:p w14:paraId="7E582322" w14:textId="77777777" w:rsidR="00E568B8" w:rsidRDefault="00E568B8" w:rsidP="000E6E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7260942"/>
      <w:docPartObj>
        <w:docPartGallery w:val="Page Numbers (Top of Page)"/>
        <w:docPartUnique/>
      </w:docPartObj>
    </w:sdtPr>
    <w:sdtEndPr>
      <w:rPr>
        <w:color w:val="7F7F7F" w:themeColor="background1" w:themeShade="7F"/>
        <w:spacing w:val="60"/>
      </w:rPr>
    </w:sdtEndPr>
    <w:sdtContent>
      <w:p w14:paraId="6D420DA4" w14:textId="77777777" w:rsidR="00B96FCD" w:rsidRDefault="00B96FCD">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F73AFB" w:rsidRPr="00F73AFB">
          <w:rPr>
            <w:b/>
            <w:bCs/>
            <w:noProof/>
          </w:rPr>
          <w:t>10</w:t>
        </w:r>
        <w:r>
          <w:rPr>
            <w:b/>
            <w:bCs/>
            <w:noProof/>
          </w:rPr>
          <w:fldChar w:fldCharType="end"/>
        </w:r>
        <w:r>
          <w:rPr>
            <w:b/>
            <w:bCs/>
          </w:rPr>
          <w:t xml:space="preserve"> | </w:t>
        </w:r>
        <w:r>
          <w:rPr>
            <w:color w:val="7F7F7F" w:themeColor="background1" w:themeShade="7F"/>
            <w:spacing w:val="60"/>
          </w:rPr>
          <w:t>Page</w:t>
        </w:r>
      </w:p>
    </w:sdtContent>
  </w:sdt>
  <w:p w14:paraId="1A124883" w14:textId="77777777" w:rsidR="00B96FCD" w:rsidRDefault="00B96F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4F6"/>
    <w:rsid w:val="0004239E"/>
    <w:rsid w:val="000D1793"/>
    <w:rsid w:val="000E6EAF"/>
    <w:rsid w:val="00133C26"/>
    <w:rsid w:val="00195B9B"/>
    <w:rsid w:val="001A2D64"/>
    <w:rsid w:val="00227206"/>
    <w:rsid w:val="0023281C"/>
    <w:rsid w:val="00264F4C"/>
    <w:rsid w:val="00266DAE"/>
    <w:rsid w:val="002C213D"/>
    <w:rsid w:val="002F0637"/>
    <w:rsid w:val="00300EFA"/>
    <w:rsid w:val="00430005"/>
    <w:rsid w:val="00496627"/>
    <w:rsid w:val="005147CF"/>
    <w:rsid w:val="005D08DC"/>
    <w:rsid w:val="005D4FB4"/>
    <w:rsid w:val="00673B10"/>
    <w:rsid w:val="006A1E59"/>
    <w:rsid w:val="006C0C5D"/>
    <w:rsid w:val="006F1DEA"/>
    <w:rsid w:val="007246B0"/>
    <w:rsid w:val="0081372D"/>
    <w:rsid w:val="008513BE"/>
    <w:rsid w:val="00875CA7"/>
    <w:rsid w:val="008C57AA"/>
    <w:rsid w:val="008E24FF"/>
    <w:rsid w:val="00951608"/>
    <w:rsid w:val="009517D2"/>
    <w:rsid w:val="00972DA5"/>
    <w:rsid w:val="00A60637"/>
    <w:rsid w:val="00AD281F"/>
    <w:rsid w:val="00B96FCD"/>
    <w:rsid w:val="00C768F3"/>
    <w:rsid w:val="00C964B4"/>
    <w:rsid w:val="00CC454D"/>
    <w:rsid w:val="00D820CE"/>
    <w:rsid w:val="00E351D8"/>
    <w:rsid w:val="00E54F5C"/>
    <w:rsid w:val="00E568B8"/>
    <w:rsid w:val="00ED5FA9"/>
    <w:rsid w:val="00ED68B0"/>
    <w:rsid w:val="00F73AFB"/>
    <w:rsid w:val="00F874F6"/>
    <w:rsid w:val="00FD0A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2226E"/>
  <w15:chartTrackingRefBased/>
  <w15:docId w15:val="{69C72A3C-A15B-4EE5-8A33-A1FA6DCE2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EA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E6EAF"/>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0E6EAF"/>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EAF"/>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0E6EAF"/>
    <w:rPr>
      <w:rFonts w:ascii="Times New Roman" w:eastAsiaTheme="majorEastAsia" w:hAnsi="Times New Roman" w:cstheme="majorBidi"/>
      <w:b/>
      <w:color w:val="000000" w:themeColor="text1"/>
      <w:sz w:val="28"/>
      <w:szCs w:val="26"/>
    </w:rPr>
  </w:style>
  <w:style w:type="paragraph" w:styleId="TOCHeading">
    <w:name w:val="TOC Heading"/>
    <w:basedOn w:val="Heading1"/>
    <w:next w:val="Normal"/>
    <w:uiPriority w:val="39"/>
    <w:unhideWhenUsed/>
    <w:qFormat/>
    <w:rsid w:val="000E6EAF"/>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0E6EAF"/>
    <w:pPr>
      <w:spacing w:after="100"/>
    </w:pPr>
  </w:style>
  <w:style w:type="paragraph" w:styleId="TOC2">
    <w:name w:val="toc 2"/>
    <w:basedOn w:val="Normal"/>
    <w:next w:val="Normal"/>
    <w:autoRedefine/>
    <w:uiPriority w:val="39"/>
    <w:unhideWhenUsed/>
    <w:rsid w:val="000E6EAF"/>
    <w:pPr>
      <w:spacing w:after="100"/>
      <w:ind w:left="240"/>
    </w:pPr>
  </w:style>
  <w:style w:type="character" w:styleId="Hyperlink">
    <w:name w:val="Hyperlink"/>
    <w:basedOn w:val="DefaultParagraphFont"/>
    <w:uiPriority w:val="99"/>
    <w:unhideWhenUsed/>
    <w:rsid w:val="000E6EAF"/>
    <w:rPr>
      <w:color w:val="0563C1" w:themeColor="hyperlink"/>
      <w:u w:val="single"/>
    </w:rPr>
  </w:style>
  <w:style w:type="paragraph" w:styleId="Header">
    <w:name w:val="header"/>
    <w:basedOn w:val="Normal"/>
    <w:link w:val="HeaderChar"/>
    <w:uiPriority w:val="99"/>
    <w:unhideWhenUsed/>
    <w:rsid w:val="000E6E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6EAF"/>
    <w:rPr>
      <w:rFonts w:ascii="Times New Roman" w:hAnsi="Times New Roman"/>
      <w:sz w:val="24"/>
    </w:rPr>
  </w:style>
  <w:style w:type="paragraph" w:styleId="Footer">
    <w:name w:val="footer"/>
    <w:basedOn w:val="Normal"/>
    <w:link w:val="FooterChar"/>
    <w:uiPriority w:val="99"/>
    <w:unhideWhenUsed/>
    <w:rsid w:val="000E6E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6EAF"/>
    <w:rPr>
      <w:rFonts w:ascii="Times New Roman" w:hAnsi="Times New Roman"/>
      <w:sz w:val="24"/>
    </w:rPr>
  </w:style>
  <w:style w:type="paragraph" w:styleId="NoSpacing">
    <w:name w:val="No Spacing"/>
    <w:uiPriority w:val="1"/>
    <w:qFormat/>
    <w:rsid w:val="00F73AFB"/>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11400">
      <w:bodyDiv w:val="1"/>
      <w:marLeft w:val="0"/>
      <w:marRight w:val="0"/>
      <w:marTop w:val="0"/>
      <w:marBottom w:val="0"/>
      <w:divBdr>
        <w:top w:val="none" w:sz="0" w:space="0" w:color="auto"/>
        <w:left w:val="none" w:sz="0" w:space="0" w:color="auto"/>
        <w:bottom w:val="none" w:sz="0" w:space="0" w:color="auto"/>
        <w:right w:val="none" w:sz="0" w:space="0" w:color="auto"/>
      </w:divBdr>
    </w:div>
    <w:div w:id="786201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1" ma:contentTypeDescription="Create a new document." ma:contentTypeScope="" ma:versionID="b3150c2502d5c5bded1012c7d260463e">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eb7653280e902105927d1b202b709990"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B69C2A-083D-44A3-98C0-6587F0915B88}">
  <ds:schemaRefs>
    <ds:schemaRef ds:uri="http://schemas.openxmlformats.org/officeDocument/2006/bibliography"/>
  </ds:schemaRefs>
</ds:datastoreItem>
</file>

<file path=customXml/itemProps2.xml><?xml version="1.0" encoding="utf-8"?>
<ds:datastoreItem xmlns:ds="http://schemas.openxmlformats.org/officeDocument/2006/customXml" ds:itemID="{D1411D5E-DAC2-47C6-A145-59395AAE30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FB3B09-02A8-444E-9599-9878EE9CF861}">
  <ds:schemaRefs>
    <ds:schemaRef ds:uri="http://schemas.microsoft.com/sharepoint/v3/contenttype/forms"/>
  </ds:schemaRefs>
</ds:datastoreItem>
</file>

<file path=customXml/itemProps4.xml><?xml version="1.0" encoding="utf-8"?>
<ds:datastoreItem xmlns:ds="http://schemas.openxmlformats.org/officeDocument/2006/customXml" ds:itemID="{1DCA9FAE-FE68-42BC-87D4-528D0BB225EA}">
  <ds:schemaRefs>
    <ds:schemaRef ds:uri="http://schemas.openxmlformats.org/package/2006/metadata/core-properties"/>
    <ds:schemaRef ds:uri="http://schemas.microsoft.com/office/2006/metadata/properties"/>
    <ds:schemaRef ds:uri="http://purl.org/dc/dcmitype/"/>
    <ds:schemaRef ds:uri="http://www.w3.org/XML/1998/namespace"/>
    <ds:schemaRef ds:uri="6730e359-ea60-4bf4-a90a-e46339816358"/>
    <ds:schemaRef ds:uri="http://schemas.microsoft.com/office/2006/documentManagement/types"/>
    <ds:schemaRef ds:uri="http://schemas.microsoft.com/office/infopath/2007/PartnerControls"/>
    <ds:schemaRef ds:uri="5e11eeeb-aea2-48d1-b3ff-7dffc84c1762"/>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2361</Words>
  <Characters>13463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G-Tech</dc:creator>
  <cp:keywords/>
  <dc:description/>
  <cp:lastModifiedBy>KAZI YOUSUF</cp:lastModifiedBy>
  <cp:revision>2</cp:revision>
  <dcterms:created xsi:type="dcterms:W3CDTF">2022-05-31T02:41:00Z</dcterms:created>
  <dcterms:modified xsi:type="dcterms:W3CDTF">2022-05-31T02:41:00Z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