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2D832E4">
      <w:pPr>
        <w:pStyle w:val="3"/>
        <w:spacing w:line="360" w:lineRule="auto"/>
        <w:jc w:val="center"/>
        <w:rPr>
          <w:b/>
          <w:bCs/>
          <w:sz w:val="40"/>
          <w:szCs w:val="40"/>
        </w:rPr>
      </w:pPr>
    </w:p>
    <w:p w14:paraId="2DF8C93B">
      <w:pPr>
        <w:pStyle w:val="3"/>
        <w:spacing w:line="360" w:lineRule="auto"/>
        <w:jc w:val="center"/>
        <w:rPr>
          <w:b/>
          <w:bCs/>
          <w:sz w:val="40"/>
          <w:szCs w:val="40"/>
        </w:rPr>
      </w:pPr>
    </w:p>
    <w:p w14:paraId="1E36D610">
      <w:pPr>
        <w:pStyle w:val="3"/>
        <w:spacing w:line="360" w:lineRule="auto"/>
        <w:jc w:val="center"/>
        <w:rPr>
          <w:b/>
          <w:bCs/>
          <w:sz w:val="40"/>
          <w:szCs w:val="40"/>
        </w:rPr>
      </w:pPr>
    </w:p>
    <w:p w14:paraId="5AD5F329">
      <w:pPr>
        <w:pStyle w:val="3"/>
        <w:spacing w:line="360" w:lineRule="auto"/>
        <w:jc w:val="center"/>
        <w:rPr>
          <w:b/>
          <w:bCs/>
          <w:sz w:val="40"/>
          <w:szCs w:val="40"/>
        </w:rPr>
      </w:pPr>
    </w:p>
    <w:p w14:paraId="6AA995A5">
      <w:pPr>
        <w:pStyle w:val="3"/>
        <w:spacing w:line="360" w:lineRule="auto"/>
        <w:jc w:val="center"/>
        <w:rPr>
          <w:b/>
          <w:bCs/>
          <w:sz w:val="40"/>
          <w:szCs w:val="40"/>
        </w:rPr>
      </w:pPr>
    </w:p>
    <w:p w14:paraId="405B79E4">
      <w:pPr>
        <w:pStyle w:val="3"/>
        <w:spacing w:line="360" w:lineRule="auto"/>
        <w:jc w:val="center"/>
        <w:rPr>
          <w:b/>
          <w:bCs/>
          <w:sz w:val="40"/>
          <w:szCs w:val="40"/>
        </w:rPr>
      </w:pPr>
    </w:p>
    <w:p w14:paraId="4857C2D2">
      <w:pPr>
        <w:jc w:val="center"/>
        <w:rPr>
          <w:rFonts w:asciiTheme="minorBidi" w:hAnsiTheme="minorBidi"/>
        </w:rPr>
      </w:pPr>
      <w:r>
        <w:rPr>
          <w:rFonts w:asciiTheme="minorBidi" w:hAnsiTheme="minorBidi"/>
        </w:rP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rPr>
          <w:rFonts w:asciiTheme="minorBidi" w:hAnsiTheme="minorBidi"/>
        </w:rPr>
        <w:fldChar w:fldCharType="begin"/>
      </w:r>
      <w:r>
        <w:rPr>
          <w:rFonts w:asciiTheme="minorBidi" w:hAnsiTheme="minorBidi"/>
        </w:rPr>
        <w:instrText xml:space="preserve"> INCLUDEPICTURE "C:\\Users\\AzZedin01\\Library\\Group Containers\\UBF8T346G9.ms\\WebArchiveCopyPasteTempFiles\\com.microsoft.Word\\8P2xdp3q1g646AAAAAElFTkSuQmCC" \* MERGEFORMAT </w:instrText>
      </w:r>
      <w:r>
        <w:rPr>
          <w:rFonts w:asciiTheme="minorBidi" w:hAnsiTheme="minorBidi"/>
        </w:rPr>
        <w:fldChar w:fldCharType="separate"/>
      </w:r>
      <w:r>
        <w:rPr>
          <w:rFonts w:asciiTheme="minorBidi" w:hAnsiTheme="minorBidi"/>
        </w:rPr>
        <w:fldChar w:fldCharType="end"/>
      </w:r>
    </w:p>
    <w:p w14:paraId="020B9CFF">
      <w:pPr>
        <w:jc w:val="center"/>
        <w:rPr>
          <w:rFonts w:hint="default" w:asciiTheme="minorBidi" w:hAnsiTheme="minorBidi"/>
          <w:b/>
          <w:bCs/>
          <w:sz w:val="28"/>
          <w:szCs w:val="28"/>
          <w:lang w:val="en-IN"/>
        </w:rPr>
      </w:pPr>
      <w:r>
        <w:rPr>
          <w:rFonts w:asciiTheme="minorBidi" w:hAnsiTheme="minorBidi"/>
          <w:b/>
          <w:bCs/>
          <w:sz w:val="28"/>
          <w:szCs w:val="28"/>
        </w:rPr>
        <w:t>Student Name:</w:t>
      </w:r>
      <w:r>
        <w:rPr>
          <w:rFonts w:hint="default" w:asciiTheme="minorBidi" w:hAnsiTheme="minorBidi"/>
          <w:b/>
          <w:bCs/>
          <w:sz w:val="28"/>
          <w:szCs w:val="28"/>
          <w:lang w:val="en-IN"/>
        </w:rPr>
        <w:t xml:space="preserve"> Kavya Raghuraman</w:t>
      </w:r>
    </w:p>
    <w:p w14:paraId="2AAC98E7">
      <w:pPr>
        <w:jc w:val="center"/>
        <w:rPr>
          <w:rFonts w:asciiTheme="minorBidi" w:hAnsiTheme="minorBidi"/>
          <w:b/>
          <w:bCs/>
          <w:sz w:val="28"/>
          <w:szCs w:val="28"/>
        </w:rPr>
      </w:pPr>
    </w:p>
    <w:p w14:paraId="6F85115E">
      <w:pPr>
        <w:jc w:val="center"/>
        <w:rPr>
          <w:rFonts w:asciiTheme="minorBidi" w:hAnsiTheme="minorBidi"/>
          <w:b/>
          <w:bCs/>
          <w:sz w:val="28"/>
          <w:szCs w:val="28"/>
        </w:rPr>
      </w:pPr>
    </w:p>
    <w:p w14:paraId="586C6996">
      <w:pPr>
        <w:jc w:val="center"/>
        <w:rPr>
          <w:rFonts w:hint="default" w:asciiTheme="minorBidi" w:hAnsiTheme="minorBidi"/>
          <w:b/>
          <w:bCs/>
          <w:sz w:val="28"/>
          <w:szCs w:val="28"/>
          <w:lang w:val="en-IN"/>
        </w:rPr>
      </w:pPr>
      <w:r>
        <w:rPr>
          <w:rFonts w:asciiTheme="minorBidi" w:hAnsiTheme="minorBidi"/>
          <w:b/>
          <w:bCs/>
          <w:sz w:val="28"/>
          <w:szCs w:val="28"/>
        </w:rPr>
        <w:t>Student ID:</w:t>
      </w:r>
      <w:r>
        <w:rPr>
          <w:rFonts w:hint="default" w:asciiTheme="minorBidi" w:hAnsiTheme="minorBidi"/>
          <w:b/>
          <w:bCs/>
          <w:sz w:val="28"/>
          <w:szCs w:val="28"/>
          <w:lang w:val="en-IN"/>
        </w:rPr>
        <w:t xml:space="preserve"> 2519354</w:t>
      </w:r>
    </w:p>
    <w:p w14:paraId="27AE9133">
      <w:pPr>
        <w:jc w:val="center"/>
        <w:rPr>
          <w:rFonts w:asciiTheme="minorBidi" w:hAnsiTheme="minorBidi"/>
          <w:b/>
          <w:bCs/>
          <w:sz w:val="28"/>
          <w:szCs w:val="28"/>
        </w:rPr>
      </w:pPr>
    </w:p>
    <w:p w14:paraId="15BE9E9E">
      <w:pPr>
        <w:jc w:val="center"/>
        <w:rPr>
          <w:rFonts w:asciiTheme="minorBidi" w:hAnsiTheme="minorBidi"/>
          <w:b/>
          <w:bCs/>
          <w:sz w:val="28"/>
          <w:szCs w:val="28"/>
        </w:rPr>
      </w:pPr>
    </w:p>
    <w:p w14:paraId="37F10C9F">
      <w:pPr>
        <w:jc w:val="center"/>
        <w:rPr>
          <w:rFonts w:hint="default" w:asciiTheme="minorBidi" w:hAnsiTheme="minorBidi"/>
          <w:b/>
          <w:bCs/>
          <w:sz w:val="28"/>
          <w:szCs w:val="28"/>
          <w:lang w:val="en-IN"/>
        </w:rPr>
      </w:pPr>
      <w:r>
        <w:rPr>
          <w:rFonts w:asciiTheme="minorBidi" w:hAnsiTheme="minorBidi"/>
          <w:b/>
          <w:bCs/>
          <w:sz w:val="28"/>
          <w:szCs w:val="28"/>
        </w:rPr>
        <w:t>Module Name:</w:t>
      </w:r>
      <w:r>
        <w:rPr>
          <w:rFonts w:hint="default" w:asciiTheme="minorBidi" w:hAnsiTheme="minorBidi"/>
          <w:b/>
          <w:bCs/>
          <w:sz w:val="28"/>
          <w:szCs w:val="28"/>
          <w:lang w:val="en-IN"/>
        </w:rPr>
        <w:t xml:space="preserve"> Financial Management</w:t>
      </w:r>
    </w:p>
    <w:p w14:paraId="7D2ED74E">
      <w:pPr>
        <w:jc w:val="center"/>
        <w:rPr>
          <w:rFonts w:asciiTheme="minorBidi" w:hAnsiTheme="minorBidi"/>
          <w:b/>
          <w:bCs/>
          <w:sz w:val="28"/>
          <w:szCs w:val="28"/>
        </w:rPr>
      </w:pPr>
    </w:p>
    <w:p w14:paraId="7488BFED">
      <w:pPr>
        <w:jc w:val="center"/>
        <w:rPr>
          <w:rFonts w:asciiTheme="minorBidi" w:hAnsiTheme="minorBidi"/>
          <w:b/>
          <w:bCs/>
          <w:sz w:val="28"/>
          <w:szCs w:val="28"/>
        </w:rPr>
      </w:pPr>
    </w:p>
    <w:p w14:paraId="0794A99E">
      <w:pPr>
        <w:jc w:val="center"/>
        <w:rPr>
          <w:rFonts w:hint="default" w:asciiTheme="minorBidi" w:hAnsiTheme="minorBidi"/>
          <w:b/>
          <w:bCs/>
          <w:sz w:val="28"/>
          <w:szCs w:val="28"/>
          <w:lang w:val="en-IN"/>
        </w:rPr>
      </w:pPr>
      <w:r>
        <w:rPr>
          <w:rFonts w:asciiTheme="minorBidi" w:hAnsiTheme="minorBidi"/>
          <w:b/>
          <w:bCs/>
          <w:sz w:val="28"/>
          <w:szCs w:val="28"/>
        </w:rPr>
        <w:t>Module Code: LCMB70</w:t>
      </w:r>
      <w:r>
        <w:rPr>
          <w:rFonts w:hint="default" w:asciiTheme="minorBidi" w:hAnsiTheme="minorBidi"/>
          <w:b/>
          <w:bCs/>
          <w:sz w:val="28"/>
          <w:szCs w:val="28"/>
          <w:lang w:val="en-IN"/>
        </w:rPr>
        <w:t>02</w:t>
      </w:r>
    </w:p>
    <w:p w14:paraId="3A1895AB">
      <w:pPr>
        <w:jc w:val="center"/>
        <w:rPr>
          <w:rFonts w:hint="default" w:asciiTheme="minorBidi" w:hAnsiTheme="minorBidi"/>
          <w:b/>
          <w:bCs/>
          <w:sz w:val="28"/>
          <w:szCs w:val="28"/>
          <w:lang w:val="en-IN"/>
        </w:rPr>
      </w:pPr>
    </w:p>
    <w:p w14:paraId="242318AB">
      <w:pPr>
        <w:jc w:val="center"/>
        <w:rPr>
          <w:rFonts w:asciiTheme="minorBidi" w:hAnsiTheme="minorBidi"/>
          <w:b/>
          <w:bCs/>
          <w:sz w:val="28"/>
          <w:szCs w:val="28"/>
        </w:rPr>
      </w:pPr>
    </w:p>
    <w:p w14:paraId="26CFA32B">
      <w:pPr>
        <w:jc w:val="center"/>
        <w:rPr>
          <w:rFonts w:hint="default" w:asciiTheme="minorBidi" w:hAnsiTheme="minorBidi"/>
          <w:b/>
          <w:bCs/>
          <w:sz w:val="28"/>
          <w:szCs w:val="28"/>
          <w:lang w:val="en-IN"/>
        </w:rPr>
      </w:pPr>
      <w:r>
        <w:rPr>
          <w:rFonts w:asciiTheme="minorBidi" w:hAnsiTheme="minorBidi"/>
          <w:b/>
          <w:bCs/>
          <w:sz w:val="28"/>
          <w:szCs w:val="28"/>
        </w:rPr>
        <w:t>Lecturer’s Name:</w:t>
      </w:r>
      <w:r>
        <w:rPr>
          <w:rFonts w:hint="default" w:asciiTheme="minorBidi" w:hAnsiTheme="minorBidi"/>
          <w:b/>
          <w:bCs/>
          <w:sz w:val="28"/>
          <w:szCs w:val="28"/>
          <w:lang w:val="en-IN"/>
        </w:rPr>
        <w:t xml:space="preserve"> Dr Shengfeng Mei </w:t>
      </w:r>
    </w:p>
    <w:p w14:paraId="63E2497F">
      <w:pPr>
        <w:jc w:val="center"/>
        <w:rPr>
          <w:rFonts w:hint="default" w:asciiTheme="minorBidi" w:hAnsiTheme="minorBidi"/>
          <w:b/>
          <w:bCs/>
          <w:sz w:val="28"/>
          <w:szCs w:val="28"/>
          <w:lang w:val="en-IN"/>
        </w:rPr>
      </w:pPr>
    </w:p>
    <w:p w14:paraId="6FE88D0E">
      <w:pPr>
        <w:jc w:val="center"/>
        <w:rPr>
          <w:rFonts w:hint="default" w:asciiTheme="minorBidi" w:hAnsiTheme="minorBidi"/>
          <w:b/>
          <w:bCs/>
          <w:sz w:val="28"/>
          <w:szCs w:val="28"/>
          <w:lang w:val="en-IN"/>
        </w:rPr>
      </w:pPr>
    </w:p>
    <w:p w14:paraId="150FD1AE">
      <w:pPr>
        <w:spacing w:line="360" w:lineRule="auto"/>
        <w:jc w:val="center"/>
        <w:rPr>
          <w:b/>
          <w:bCs/>
          <w:sz w:val="40"/>
          <w:szCs w:val="40"/>
        </w:rPr>
      </w:pPr>
      <w:bookmarkStart w:id="23" w:name="_GoBack"/>
      <w:bookmarkEnd w:id="23"/>
      <w:r>
        <w:rPr>
          <w:b/>
          <w:bCs/>
          <w:sz w:val="40"/>
          <w:szCs w:val="40"/>
        </w:rPr>
        <w:br w:type="page"/>
      </w:r>
    </w:p>
    <w:sdt>
      <w:sdtPr>
        <w:rPr>
          <w:rFonts w:ascii="Arial" w:hAnsi="Arial" w:cs="Arial"/>
          <w:color w:val="auto"/>
        </w:rPr>
        <w:id w:val="168694033"/>
        <w:docPartObj>
          <w:docPartGallery w:val="Table of Contents"/>
          <w:docPartUnique/>
        </w:docPartObj>
      </w:sdtPr>
      <w:sdtEndPr>
        <w:rPr>
          <w:rFonts w:ascii="Arial" w:hAnsi="Arial" w:eastAsia="Arial" w:cs="Arial"/>
          <w:b w:val="0"/>
          <w:bCs w:val="0"/>
          <w:color w:val="auto"/>
          <w:sz w:val="22"/>
          <w:szCs w:val="22"/>
        </w:rPr>
      </w:sdtEndPr>
      <w:sdtContent>
        <w:p w14:paraId="13BF562F">
          <w:pPr>
            <w:pStyle w:val="23"/>
            <w:spacing w:line="360" w:lineRule="auto"/>
            <w:jc w:val="center"/>
            <w:rPr>
              <w:rFonts w:ascii="Arial" w:hAnsi="Arial" w:cs="Arial"/>
              <w:color w:val="auto"/>
            </w:rPr>
          </w:pPr>
          <w:r>
            <w:rPr>
              <w:rFonts w:ascii="Arial" w:hAnsi="Arial" w:cs="Arial"/>
              <w:color w:val="auto"/>
            </w:rPr>
            <w:t>Table of Contents</w:t>
          </w:r>
        </w:p>
        <w:p w14:paraId="36E008D7">
          <w:pPr>
            <w:pStyle w:val="17"/>
            <w:tabs>
              <w:tab w:val="right" w:leader="dot" w:pos="9350"/>
            </w:tabs>
            <w:spacing w:line="360" w:lineRule="auto"/>
            <w:jc w:val="both"/>
            <w:rPr>
              <w:sz w:val="24"/>
              <w:szCs w:val="24"/>
            </w:rPr>
          </w:pPr>
          <w:r>
            <w:rPr>
              <w:sz w:val="24"/>
              <w:szCs w:val="24"/>
            </w:rPr>
            <w:fldChar w:fldCharType="begin"/>
          </w:r>
          <w:r>
            <w:rPr>
              <w:sz w:val="24"/>
              <w:szCs w:val="24"/>
            </w:rPr>
            <w:instrText xml:space="preserve"> TOC \o "1-3" \h \z \u </w:instrText>
          </w:r>
          <w:r>
            <w:rPr>
              <w:sz w:val="24"/>
              <w:szCs w:val="24"/>
            </w:rPr>
            <w:fldChar w:fldCharType="separate"/>
          </w:r>
          <w:r>
            <w:fldChar w:fldCharType="begin"/>
          </w:r>
          <w:r>
            <w:instrText xml:space="preserve"> HYPERLINK \l "_Toc225413781" </w:instrText>
          </w:r>
          <w:r>
            <w:fldChar w:fldCharType="separate"/>
          </w:r>
          <w:r>
            <w:rPr>
              <w:rStyle w:val="14"/>
              <w:sz w:val="24"/>
              <w:szCs w:val="24"/>
            </w:rPr>
            <w:t>Introduction</w:t>
          </w:r>
          <w:r>
            <w:rPr>
              <w:sz w:val="24"/>
              <w:szCs w:val="24"/>
            </w:rPr>
            <w:tab/>
          </w:r>
          <w:r>
            <w:rPr>
              <w:sz w:val="24"/>
              <w:szCs w:val="24"/>
            </w:rPr>
            <w:fldChar w:fldCharType="begin"/>
          </w:r>
          <w:r>
            <w:rPr>
              <w:sz w:val="24"/>
              <w:szCs w:val="24"/>
            </w:rPr>
            <w:instrText xml:space="preserve"> PAGEREF _Toc225413781 \h </w:instrText>
          </w:r>
          <w:r>
            <w:rPr>
              <w:sz w:val="24"/>
              <w:szCs w:val="24"/>
            </w:rPr>
            <w:fldChar w:fldCharType="separate"/>
          </w:r>
          <w:r>
            <w:rPr>
              <w:sz w:val="24"/>
              <w:szCs w:val="24"/>
            </w:rPr>
            <w:t>3</w:t>
          </w:r>
          <w:r>
            <w:rPr>
              <w:sz w:val="24"/>
              <w:szCs w:val="24"/>
            </w:rPr>
            <w:fldChar w:fldCharType="end"/>
          </w:r>
          <w:r>
            <w:rPr>
              <w:sz w:val="24"/>
              <w:szCs w:val="24"/>
            </w:rPr>
            <w:fldChar w:fldCharType="end"/>
          </w:r>
        </w:p>
        <w:p w14:paraId="33D9FB9F">
          <w:pPr>
            <w:pStyle w:val="17"/>
            <w:tabs>
              <w:tab w:val="right" w:leader="dot" w:pos="9350"/>
            </w:tabs>
            <w:spacing w:line="360" w:lineRule="auto"/>
            <w:jc w:val="both"/>
            <w:rPr>
              <w:sz w:val="24"/>
              <w:szCs w:val="24"/>
            </w:rPr>
          </w:pPr>
          <w:r>
            <w:fldChar w:fldCharType="begin"/>
          </w:r>
          <w:r>
            <w:instrText xml:space="preserve"> HYPERLINK \l "_Toc225413782" </w:instrText>
          </w:r>
          <w:r>
            <w:fldChar w:fldCharType="separate"/>
          </w:r>
          <w:r>
            <w:rPr>
              <w:rStyle w:val="14"/>
              <w:sz w:val="24"/>
              <w:szCs w:val="24"/>
            </w:rPr>
            <w:t>1. Financial Health Check</w:t>
          </w:r>
          <w:r>
            <w:rPr>
              <w:sz w:val="24"/>
              <w:szCs w:val="24"/>
            </w:rPr>
            <w:tab/>
          </w:r>
          <w:r>
            <w:rPr>
              <w:sz w:val="24"/>
              <w:szCs w:val="24"/>
            </w:rPr>
            <w:fldChar w:fldCharType="begin"/>
          </w:r>
          <w:r>
            <w:rPr>
              <w:sz w:val="24"/>
              <w:szCs w:val="24"/>
            </w:rPr>
            <w:instrText xml:space="preserve"> PAGEREF _Toc225413782 \h </w:instrText>
          </w:r>
          <w:r>
            <w:rPr>
              <w:sz w:val="24"/>
              <w:szCs w:val="24"/>
            </w:rPr>
            <w:fldChar w:fldCharType="separate"/>
          </w:r>
          <w:r>
            <w:rPr>
              <w:sz w:val="24"/>
              <w:szCs w:val="24"/>
            </w:rPr>
            <w:t>3</w:t>
          </w:r>
          <w:r>
            <w:rPr>
              <w:sz w:val="24"/>
              <w:szCs w:val="24"/>
            </w:rPr>
            <w:fldChar w:fldCharType="end"/>
          </w:r>
          <w:r>
            <w:rPr>
              <w:sz w:val="24"/>
              <w:szCs w:val="24"/>
            </w:rPr>
            <w:fldChar w:fldCharType="end"/>
          </w:r>
        </w:p>
        <w:p w14:paraId="502774EF">
          <w:pPr>
            <w:pStyle w:val="18"/>
            <w:tabs>
              <w:tab w:val="right" w:leader="dot" w:pos="9350"/>
            </w:tabs>
            <w:spacing w:line="360" w:lineRule="auto"/>
            <w:jc w:val="both"/>
            <w:rPr>
              <w:sz w:val="24"/>
              <w:szCs w:val="24"/>
            </w:rPr>
          </w:pPr>
          <w:r>
            <w:fldChar w:fldCharType="begin"/>
          </w:r>
          <w:r>
            <w:instrText xml:space="preserve"> HYPERLINK \l "_Toc225413783" </w:instrText>
          </w:r>
          <w:r>
            <w:fldChar w:fldCharType="separate"/>
          </w:r>
          <w:r>
            <w:rPr>
              <w:rStyle w:val="14"/>
              <w:sz w:val="24"/>
              <w:szCs w:val="24"/>
            </w:rPr>
            <w:t>Past five-year financial statements of Volkswagen</w:t>
          </w:r>
          <w:r>
            <w:rPr>
              <w:sz w:val="24"/>
              <w:szCs w:val="24"/>
            </w:rPr>
            <w:tab/>
          </w:r>
          <w:r>
            <w:rPr>
              <w:sz w:val="24"/>
              <w:szCs w:val="24"/>
            </w:rPr>
            <w:fldChar w:fldCharType="begin"/>
          </w:r>
          <w:r>
            <w:rPr>
              <w:sz w:val="24"/>
              <w:szCs w:val="24"/>
            </w:rPr>
            <w:instrText xml:space="preserve"> PAGEREF _Toc225413783 \h </w:instrText>
          </w:r>
          <w:r>
            <w:rPr>
              <w:sz w:val="24"/>
              <w:szCs w:val="24"/>
            </w:rPr>
            <w:fldChar w:fldCharType="separate"/>
          </w:r>
          <w:r>
            <w:rPr>
              <w:sz w:val="24"/>
              <w:szCs w:val="24"/>
            </w:rPr>
            <w:t>3</w:t>
          </w:r>
          <w:r>
            <w:rPr>
              <w:sz w:val="24"/>
              <w:szCs w:val="24"/>
            </w:rPr>
            <w:fldChar w:fldCharType="end"/>
          </w:r>
          <w:r>
            <w:rPr>
              <w:sz w:val="24"/>
              <w:szCs w:val="24"/>
            </w:rPr>
            <w:fldChar w:fldCharType="end"/>
          </w:r>
        </w:p>
        <w:p w14:paraId="759EDEBA">
          <w:pPr>
            <w:pStyle w:val="18"/>
            <w:tabs>
              <w:tab w:val="right" w:leader="dot" w:pos="9350"/>
            </w:tabs>
            <w:spacing w:line="360" w:lineRule="auto"/>
            <w:jc w:val="both"/>
            <w:rPr>
              <w:sz w:val="24"/>
              <w:szCs w:val="24"/>
            </w:rPr>
          </w:pPr>
          <w:r>
            <w:fldChar w:fldCharType="begin"/>
          </w:r>
          <w:r>
            <w:instrText xml:space="preserve"> HYPERLINK \l "_Toc225413784" </w:instrText>
          </w:r>
          <w:r>
            <w:fldChar w:fldCharType="separate"/>
          </w:r>
          <w:r>
            <w:rPr>
              <w:rStyle w:val="14"/>
              <w:sz w:val="24"/>
              <w:szCs w:val="24"/>
            </w:rPr>
            <w:t>Ratio Analysis</w:t>
          </w:r>
          <w:r>
            <w:rPr>
              <w:sz w:val="24"/>
              <w:szCs w:val="24"/>
            </w:rPr>
            <w:tab/>
          </w:r>
          <w:r>
            <w:rPr>
              <w:sz w:val="24"/>
              <w:szCs w:val="24"/>
            </w:rPr>
            <w:fldChar w:fldCharType="begin"/>
          </w:r>
          <w:r>
            <w:rPr>
              <w:sz w:val="24"/>
              <w:szCs w:val="24"/>
            </w:rPr>
            <w:instrText xml:space="preserve"> PAGEREF _Toc225413784 \h </w:instrText>
          </w:r>
          <w:r>
            <w:rPr>
              <w:sz w:val="24"/>
              <w:szCs w:val="24"/>
            </w:rPr>
            <w:fldChar w:fldCharType="separate"/>
          </w:r>
          <w:r>
            <w:rPr>
              <w:sz w:val="24"/>
              <w:szCs w:val="24"/>
            </w:rPr>
            <w:t>4</w:t>
          </w:r>
          <w:r>
            <w:rPr>
              <w:sz w:val="24"/>
              <w:szCs w:val="24"/>
            </w:rPr>
            <w:fldChar w:fldCharType="end"/>
          </w:r>
          <w:r>
            <w:rPr>
              <w:sz w:val="24"/>
              <w:szCs w:val="24"/>
            </w:rPr>
            <w:fldChar w:fldCharType="end"/>
          </w:r>
        </w:p>
        <w:p w14:paraId="34B6E4B3">
          <w:pPr>
            <w:pStyle w:val="18"/>
            <w:tabs>
              <w:tab w:val="right" w:leader="dot" w:pos="9350"/>
            </w:tabs>
            <w:spacing w:line="360" w:lineRule="auto"/>
            <w:jc w:val="both"/>
            <w:rPr>
              <w:sz w:val="24"/>
              <w:szCs w:val="24"/>
            </w:rPr>
          </w:pPr>
          <w:r>
            <w:fldChar w:fldCharType="begin"/>
          </w:r>
          <w:r>
            <w:instrText xml:space="preserve"> HYPERLINK \l "_Toc225413785" </w:instrText>
          </w:r>
          <w:r>
            <w:fldChar w:fldCharType="separate"/>
          </w:r>
          <w:r>
            <w:rPr>
              <w:rStyle w:val="14"/>
              <w:sz w:val="24"/>
              <w:szCs w:val="24"/>
            </w:rPr>
            <w:t>Cash Flow</w:t>
          </w:r>
          <w:r>
            <w:rPr>
              <w:sz w:val="24"/>
              <w:szCs w:val="24"/>
            </w:rPr>
            <w:tab/>
          </w:r>
          <w:r>
            <w:rPr>
              <w:sz w:val="24"/>
              <w:szCs w:val="24"/>
            </w:rPr>
            <w:fldChar w:fldCharType="begin"/>
          </w:r>
          <w:r>
            <w:rPr>
              <w:sz w:val="24"/>
              <w:szCs w:val="24"/>
            </w:rPr>
            <w:instrText xml:space="preserve"> PAGEREF _Toc225413785 \h </w:instrText>
          </w:r>
          <w:r>
            <w:rPr>
              <w:sz w:val="24"/>
              <w:szCs w:val="24"/>
            </w:rPr>
            <w:fldChar w:fldCharType="separate"/>
          </w:r>
          <w:r>
            <w:rPr>
              <w:sz w:val="24"/>
              <w:szCs w:val="24"/>
            </w:rPr>
            <w:t>9</w:t>
          </w:r>
          <w:r>
            <w:rPr>
              <w:sz w:val="24"/>
              <w:szCs w:val="24"/>
            </w:rPr>
            <w:fldChar w:fldCharType="end"/>
          </w:r>
          <w:r>
            <w:rPr>
              <w:sz w:val="24"/>
              <w:szCs w:val="24"/>
            </w:rPr>
            <w:fldChar w:fldCharType="end"/>
          </w:r>
        </w:p>
        <w:p w14:paraId="7EC94E35">
          <w:pPr>
            <w:pStyle w:val="17"/>
            <w:tabs>
              <w:tab w:val="right" w:leader="dot" w:pos="9350"/>
            </w:tabs>
            <w:spacing w:line="360" w:lineRule="auto"/>
            <w:jc w:val="both"/>
            <w:rPr>
              <w:sz w:val="24"/>
              <w:szCs w:val="24"/>
            </w:rPr>
          </w:pPr>
          <w:r>
            <w:fldChar w:fldCharType="begin"/>
          </w:r>
          <w:r>
            <w:instrText xml:space="preserve"> HYPERLINK \l "_Toc225413786" </w:instrText>
          </w:r>
          <w:r>
            <w:fldChar w:fldCharType="separate"/>
          </w:r>
          <w:r>
            <w:rPr>
              <w:rStyle w:val="14"/>
              <w:sz w:val="24"/>
              <w:szCs w:val="24"/>
            </w:rPr>
            <w:t>2. Working Capital Management Analysis</w:t>
          </w:r>
          <w:r>
            <w:rPr>
              <w:sz w:val="24"/>
              <w:szCs w:val="24"/>
            </w:rPr>
            <w:tab/>
          </w:r>
          <w:r>
            <w:rPr>
              <w:sz w:val="24"/>
              <w:szCs w:val="24"/>
            </w:rPr>
            <w:fldChar w:fldCharType="begin"/>
          </w:r>
          <w:r>
            <w:rPr>
              <w:sz w:val="24"/>
              <w:szCs w:val="24"/>
            </w:rPr>
            <w:instrText xml:space="preserve"> PAGEREF _Toc225413786 \h </w:instrText>
          </w:r>
          <w:r>
            <w:rPr>
              <w:sz w:val="24"/>
              <w:szCs w:val="24"/>
            </w:rPr>
            <w:fldChar w:fldCharType="separate"/>
          </w:r>
          <w:r>
            <w:rPr>
              <w:sz w:val="24"/>
              <w:szCs w:val="24"/>
            </w:rPr>
            <w:t>10</w:t>
          </w:r>
          <w:r>
            <w:rPr>
              <w:sz w:val="24"/>
              <w:szCs w:val="24"/>
            </w:rPr>
            <w:fldChar w:fldCharType="end"/>
          </w:r>
          <w:r>
            <w:rPr>
              <w:sz w:val="24"/>
              <w:szCs w:val="24"/>
            </w:rPr>
            <w:fldChar w:fldCharType="end"/>
          </w:r>
        </w:p>
        <w:p w14:paraId="1DAA07B5">
          <w:pPr>
            <w:pStyle w:val="18"/>
            <w:tabs>
              <w:tab w:val="right" w:leader="dot" w:pos="9350"/>
            </w:tabs>
            <w:spacing w:line="360" w:lineRule="auto"/>
            <w:jc w:val="both"/>
            <w:rPr>
              <w:sz w:val="24"/>
              <w:szCs w:val="24"/>
            </w:rPr>
          </w:pPr>
          <w:r>
            <w:fldChar w:fldCharType="begin"/>
          </w:r>
          <w:r>
            <w:instrText xml:space="preserve"> HYPERLINK \l "_Toc225413787" </w:instrText>
          </w:r>
          <w:r>
            <w:fldChar w:fldCharType="separate"/>
          </w:r>
          <w:r>
            <w:rPr>
              <w:rStyle w:val="14"/>
              <w:sz w:val="24"/>
              <w:szCs w:val="24"/>
            </w:rPr>
            <w:t>Assessment of the cash operating cycle</w:t>
          </w:r>
          <w:r>
            <w:rPr>
              <w:sz w:val="24"/>
              <w:szCs w:val="24"/>
            </w:rPr>
            <w:tab/>
          </w:r>
          <w:r>
            <w:rPr>
              <w:sz w:val="24"/>
              <w:szCs w:val="24"/>
            </w:rPr>
            <w:fldChar w:fldCharType="begin"/>
          </w:r>
          <w:r>
            <w:rPr>
              <w:sz w:val="24"/>
              <w:szCs w:val="24"/>
            </w:rPr>
            <w:instrText xml:space="preserve"> PAGEREF _Toc225413787 \h </w:instrText>
          </w:r>
          <w:r>
            <w:rPr>
              <w:sz w:val="24"/>
              <w:szCs w:val="24"/>
            </w:rPr>
            <w:fldChar w:fldCharType="separate"/>
          </w:r>
          <w:r>
            <w:rPr>
              <w:sz w:val="24"/>
              <w:szCs w:val="24"/>
            </w:rPr>
            <w:t>10</w:t>
          </w:r>
          <w:r>
            <w:rPr>
              <w:sz w:val="24"/>
              <w:szCs w:val="24"/>
            </w:rPr>
            <w:fldChar w:fldCharType="end"/>
          </w:r>
          <w:r>
            <w:rPr>
              <w:sz w:val="24"/>
              <w:szCs w:val="24"/>
            </w:rPr>
            <w:fldChar w:fldCharType="end"/>
          </w:r>
        </w:p>
        <w:p w14:paraId="7A33F5E1">
          <w:pPr>
            <w:pStyle w:val="18"/>
            <w:tabs>
              <w:tab w:val="right" w:leader="dot" w:pos="9350"/>
            </w:tabs>
            <w:spacing w:line="360" w:lineRule="auto"/>
            <w:jc w:val="both"/>
            <w:rPr>
              <w:sz w:val="24"/>
              <w:szCs w:val="24"/>
            </w:rPr>
          </w:pPr>
          <w:r>
            <w:fldChar w:fldCharType="begin"/>
          </w:r>
          <w:r>
            <w:instrText xml:space="preserve"> HYPERLINK \l "_Toc225413788" </w:instrText>
          </w:r>
          <w:r>
            <w:fldChar w:fldCharType="separate"/>
          </w:r>
          <w:r>
            <w:rPr>
              <w:rStyle w:val="14"/>
              <w:sz w:val="24"/>
              <w:szCs w:val="24"/>
            </w:rPr>
            <w:t>Recommended strategies to improve liquidity through working capital reforms</w:t>
          </w:r>
          <w:r>
            <w:rPr>
              <w:sz w:val="24"/>
              <w:szCs w:val="24"/>
            </w:rPr>
            <w:tab/>
          </w:r>
          <w:r>
            <w:rPr>
              <w:sz w:val="24"/>
              <w:szCs w:val="24"/>
            </w:rPr>
            <w:fldChar w:fldCharType="begin"/>
          </w:r>
          <w:r>
            <w:rPr>
              <w:sz w:val="24"/>
              <w:szCs w:val="24"/>
            </w:rPr>
            <w:instrText xml:space="preserve"> PAGEREF _Toc225413788 \h </w:instrText>
          </w:r>
          <w:r>
            <w:rPr>
              <w:sz w:val="24"/>
              <w:szCs w:val="24"/>
            </w:rPr>
            <w:fldChar w:fldCharType="separate"/>
          </w:r>
          <w:r>
            <w:rPr>
              <w:sz w:val="24"/>
              <w:szCs w:val="24"/>
            </w:rPr>
            <w:t>11</w:t>
          </w:r>
          <w:r>
            <w:rPr>
              <w:sz w:val="24"/>
              <w:szCs w:val="24"/>
            </w:rPr>
            <w:fldChar w:fldCharType="end"/>
          </w:r>
          <w:r>
            <w:rPr>
              <w:sz w:val="24"/>
              <w:szCs w:val="24"/>
            </w:rPr>
            <w:fldChar w:fldCharType="end"/>
          </w:r>
        </w:p>
        <w:p w14:paraId="7B4EF058">
          <w:pPr>
            <w:pStyle w:val="18"/>
            <w:tabs>
              <w:tab w:val="right" w:leader="dot" w:pos="9350"/>
            </w:tabs>
            <w:spacing w:line="360" w:lineRule="auto"/>
            <w:jc w:val="both"/>
            <w:rPr>
              <w:sz w:val="24"/>
              <w:szCs w:val="24"/>
            </w:rPr>
          </w:pPr>
          <w:r>
            <w:fldChar w:fldCharType="begin"/>
          </w:r>
          <w:r>
            <w:instrText xml:space="preserve"> HYPERLINK \l "_Toc225413789" </w:instrText>
          </w:r>
          <w:r>
            <w:fldChar w:fldCharType="separate"/>
          </w:r>
          <w:r>
            <w:rPr>
              <w:rStyle w:val="14"/>
              <w:sz w:val="24"/>
              <w:szCs w:val="24"/>
            </w:rPr>
            <w:t>Comparison of short-term and long-term financing options</w:t>
          </w:r>
          <w:r>
            <w:rPr>
              <w:sz w:val="24"/>
              <w:szCs w:val="24"/>
            </w:rPr>
            <w:tab/>
          </w:r>
          <w:r>
            <w:rPr>
              <w:sz w:val="24"/>
              <w:szCs w:val="24"/>
            </w:rPr>
            <w:fldChar w:fldCharType="begin"/>
          </w:r>
          <w:r>
            <w:rPr>
              <w:sz w:val="24"/>
              <w:szCs w:val="24"/>
            </w:rPr>
            <w:instrText xml:space="preserve"> PAGEREF _Toc225413789 \h </w:instrText>
          </w:r>
          <w:r>
            <w:rPr>
              <w:sz w:val="24"/>
              <w:szCs w:val="24"/>
            </w:rPr>
            <w:fldChar w:fldCharType="separate"/>
          </w:r>
          <w:r>
            <w:rPr>
              <w:sz w:val="24"/>
              <w:szCs w:val="24"/>
            </w:rPr>
            <w:t>12</w:t>
          </w:r>
          <w:r>
            <w:rPr>
              <w:sz w:val="24"/>
              <w:szCs w:val="24"/>
            </w:rPr>
            <w:fldChar w:fldCharType="end"/>
          </w:r>
          <w:r>
            <w:rPr>
              <w:sz w:val="24"/>
              <w:szCs w:val="24"/>
            </w:rPr>
            <w:fldChar w:fldCharType="end"/>
          </w:r>
        </w:p>
        <w:p w14:paraId="56A73C53">
          <w:pPr>
            <w:pStyle w:val="17"/>
            <w:tabs>
              <w:tab w:val="right" w:leader="dot" w:pos="9350"/>
            </w:tabs>
            <w:spacing w:line="360" w:lineRule="auto"/>
            <w:jc w:val="both"/>
            <w:rPr>
              <w:sz w:val="24"/>
              <w:szCs w:val="24"/>
            </w:rPr>
          </w:pPr>
          <w:r>
            <w:fldChar w:fldCharType="begin"/>
          </w:r>
          <w:r>
            <w:instrText xml:space="preserve"> HYPERLINK \l "_Toc225413790" </w:instrText>
          </w:r>
          <w:r>
            <w:fldChar w:fldCharType="separate"/>
          </w:r>
          <w:r>
            <w:rPr>
              <w:rStyle w:val="14"/>
              <w:sz w:val="24"/>
              <w:szCs w:val="24"/>
            </w:rPr>
            <w:t>3. Strategic Financial Restructuring Plan</w:t>
          </w:r>
          <w:r>
            <w:rPr>
              <w:sz w:val="24"/>
              <w:szCs w:val="24"/>
            </w:rPr>
            <w:tab/>
          </w:r>
          <w:r>
            <w:rPr>
              <w:sz w:val="24"/>
              <w:szCs w:val="24"/>
            </w:rPr>
            <w:fldChar w:fldCharType="begin"/>
          </w:r>
          <w:r>
            <w:rPr>
              <w:sz w:val="24"/>
              <w:szCs w:val="24"/>
            </w:rPr>
            <w:instrText xml:space="preserve"> PAGEREF _Toc225413790 \h </w:instrText>
          </w:r>
          <w:r>
            <w:rPr>
              <w:sz w:val="24"/>
              <w:szCs w:val="24"/>
            </w:rPr>
            <w:fldChar w:fldCharType="separate"/>
          </w:r>
          <w:r>
            <w:rPr>
              <w:sz w:val="24"/>
              <w:szCs w:val="24"/>
            </w:rPr>
            <w:t>13</w:t>
          </w:r>
          <w:r>
            <w:rPr>
              <w:sz w:val="24"/>
              <w:szCs w:val="24"/>
            </w:rPr>
            <w:fldChar w:fldCharType="end"/>
          </w:r>
          <w:r>
            <w:rPr>
              <w:sz w:val="24"/>
              <w:szCs w:val="24"/>
            </w:rPr>
            <w:fldChar w:fldCharType="end"/>
          </w:r>
        </w:p>
        <w:p w14:paraId="2D5C2148">
          <w:pPr>
            <w:pStyle w:val="18"/>
            <w:tabs>
              <w:tab w:val="right" w:leader="dot" w:pos="9350"/>
            </w:tabs>
            <w:spacing w:line="360" w:lineRule="auto"/>
            <w:jc w:val="both"/>
            <w:rPr>
              <w:sz w:val="24"/>
              <w:szCs w:val="24"/>
            </w:rPr>
          </w:pPr>
          <w:r>
            <w:fldChar w:fldCharType="begin"/>
          </w:r>
          <w:r>
            <w:instrText xml:space="preserve"> HYPERLINK \l "_Toc225413791" </w:instrText>
          </w:r>
          <w:r>
            <w:fldChar w:fldCharType="separate"/>
          </w:r>
          <w:r>
            <w:rPr>
              <w:rStyle w:val="14"/>
              <w:sz w:val="24"/>
              <w:szCs w:val="24"/>
            </w:rPr>
            <w:t>Recommended financial restructuring options</w:t>
          </w:r>
          <w:r>
            <w:rPr>
              <w:sz w:val="24"/>
              <w:szCs w:val="24"/>
            </w:rPr>
            <w:tab/>
          </w:r>
          <w:r>
            <w:rPr>
              <w:sz w:val="24"/>
              <w:szCs w:val="24"/>
            </w:rPr>
            <w:fldChar w:fldCharType="begin"/>
          </w:r>
          <w:r>
            <w:rPr>
              <w:sz w:val="24"/>
              <w:szCs w:val="24"/>
            </w:rPr>
            <w:instrText xml:space="preserve"> PAGEREF _Toc225413791 \h </w:instrText>
          </w:r>
          <w:r>
            <w:rPr>
              <w:sz w:val="24"/>
              <w:szCs w:val="24"/>
            </w:rPr>
            <w:fldChar w:fldCharType="separate"/>
          </w:r>
          <w:r>
            <w:rPr>
              <w:sz w:val="24"/>
              <w:szCs w:val="24"/>
            </w:rPr>
            <w:t>13</w:t>
          </w:r>
          <w:r>
            <w:rPr>
              <w:sz w:val="24"/>
              <w:szCs w:val="24"/>
            </w:rPr>
            <w:fldChar w:fldCharType="end"/>
          </w:r>
          <w:r>
            <w:rPr>
              <w:sz w:val="24"/>
              <w:szCs w:val="24"/>
            </w:rPr>
            <w:fldChar w:fldCharType="end"/>
          </w:r>
        </w:p>
        <w:p w14:paraId="016322DE">
          <w:pPr>
            <w:pStyle w:val="18"/>
            <w:tabs>
              <w:tab w:val="right" w:leader="dot" w:pos="9350"/>
            </w:tabs>
            <w:spacing w:line="360" w:lineRule="auto"/>
            <w:jc w:val="both"/>
            <w:rPr>
              <w:sz w:val="24"/>
              <w:szCs w:val="24"/>
            </w:rPr>
          </w:pPr>
          <w:r>
            <w:fldChar w:fldCharType="begin"/>
          </w:r>
          <w:r>
            <w:instrText xml:space="preserve"> HYPERLINK \l "_Toc225413792" </w:instrText>
          </w:r>
          <w:r>
            <w:fldChar w:fldCharType="separate"/>
          </w:r>
          <w:r>
            <w:rPr>
              <w:rStyle w:val="14"/>
              <w:sz w:val="24"/>
              <w:szCs w:val="24"/>
            </w:rPr>
            <w:t>Evaluation of the impact on shareholder value, debt structure, and operational flexibility</w:t>
          </w:r>
          <w:r>
            <w:rPr>
              <w:sz w:val="24"/>
              <w:szCs w:val="24"/>
            </w:rPr>
            <w:tab/>
          </w:r>
          <w:r>
            <w:rPr>
              <w:sz w:val="24"/>
              <w:szCs w:val="24"/>
            </w:rPr>
            <w:fldChar w:fldCharType="begin"/>
          </w:r>
          <w:r>
            <w:rPr>
              <w:sz w:val="24"/>
              <w:szCs w:val="24"/>
            </w:rPr>
            <w:instrText xml:space="preserve"> PAGEREF _Toc225413792 \h </w:instrText>
          </w:r>
          <w:r>
            <w:rPr>
              <w:sz w:val="24"/>
              <w:szCs w:val="24"/>
            </w:rPr>
            <w:fldChar w:fldCharType="separate"/>
          </w:r>
          <w:r>
            <w:rPr>
              <w:sz w:val="24"/>
              <w:szCs w:val="24"/>
            </w:rPr>
            <w:t>14</w:t>
          </w:r>
          <w:r>
            <w:rPr>
              <w:sz w:val="24"/>
              <w:szCs w:val="24"/>
            </w:rPr>
            <w:fldChar w:fldCharType="end"/>
          </w:r>
          <w:r>
            <w:rPr>
              <w:sz w:val="24"/>
              <w:szCs w:val="24"/>
            </w:rPr>
            <w:fldChar w:fldCharType="end"/>
          </w:r>
        </w:p>
        <w:p w14:paraId="53080A71">
          <w:pPr>
            <w:pStyle w:val="18"/>
            <w:tabs>
              <w:tab w:val="right" w:leader="dot" w:pos="9350"/>
            </w:tabs>
            <w:spacing w:line="360" w:lineRule="auto"/>
            <w:jc w:val="both"/>
            <w:rPr>
              <w:sz w:val="24"/>
              <w:szCs w:val="24"/>
            </w:rPr>
          </w:pPr>
          <w:r>
            <w:fldChar w:fldCharType="begin"/>
          </w:r>
          <w:r>
            <w:instrText xml:space="preserve"> HYPERLINK \l "_Toc225413793" </w:instrText>
          </w:r>
          <w:r>
            <w:fldChar w:fldCharType="separate"/>
          </w:r>
          <w:r>
            <w:rPr>
              <w:rStyle w:val="14"/>
              <w:sz w:val="24"/>
              <w:szCs w:val="24"/>
            </w:rPr>
            <w:t>Inclusion of international and ethical considerations</w:t>
          </w:r>
          <w:r>
            <w:rPr>
              <w:sz w:val="24"/>
              <w:szCs w:val="24"/>
            </w:rPr>
            <w:tab/>
          </w:r>
          <w:r>
            <w:rPr>
              <w:sz w:val="24"/>
              <w:szCs w:val="24"/>
            </w:rPr>
            <w:fldChar w:fldCharType="begin"/>
          </w:r>
          <w:r>
            <w:rPr>
              <w:sz w:val="24"/>
              <w:szCs w:val="24"/>
            </w:rPr>
            <w:instrText xml:space="preserve"> PAGEREF _Toc225413793 \h </w:instrText>
          </w:r>
          <w:r>
            <w:rPr>
              <w:sz w:val="24"/>
              <w:szCs w:val="24"/>
            </w:rPr>
            <w:fldChar w:fldCharType="separate"/>
          </w:r>
          <w:r>
            <w:rPr>
              <w:sz w:val="24"/>
              <w:szCs w:val="24"/>
            </w:rPr>
            <w:t>15</w:t>
          </w:r>
          <w:r>
            <w:rPr>
              <w:sz w:val="24"/>
              <w:szCs w:val="24"/>
            </w:rPr>
            <w:fldChar w:fldCharType="end"/>
          </w:r>
          <w:r>
            <w:rPr>
              <w:sz w:val="24"/>
              <w:szCs w:val="24"/>
            </w:rPr>
            <w:fldChar w:fldCharType="end"/>
          </w:r>
        </w:p>
        <w:p w14:paraId="1532801C">
          <w:pPr>
            <w:pStyle w:val="17"/>
            <w:tabs>
              <w:tab w:val="right" w:leader="dot" w:pos="9350"/>
            </w:tabs>
            <w:spacing w:line="360" w:lineRule="auto"/>
            <w:jc w:val="both"/>
            <w:rPr>
              <w:sz w:val="24"/>
              <w:szCs w:val="24"/>
            </w:rPr>
          </w:pPr>
          <w:r>
            <w:fldChar w:fldCharType="begin"/>
          </w:r>
          <w:r>
            <w:instrText xml:space="preserve"> HYPERLINK \l "_Toc225413794" </w:instrText>
          </w:r>
          <w:r>
            <w:fldChar w:fldCharType="separate"/>
          </w:r>
          <w:r>
            <w:rPr>
              <w:rStyle w:val="14"/>
              <w:sz w:val="24"/>
              <w:szCs w:val="24"/>
            </w:rPr>
            <w:t>4. Investment Appraisal and Capital Budgeting</w:t>
          </w:r>
          <w:r>
            <w:rPr>
              <w:sz w:val="24"/>
              <w:szCs w:val="24"/>
            </w:rPr>
            <w:tab/>
          </w:r>
          <w:r>
            <w:rPr>
              <w:sz w:val="24"/>
              <w:szCs w:val="24"/>
            </w:rPr>
            <w:fldChar w:fldCharType="begin"/>
          </w:r>
          <w:r>
            <w:rPr>
              <w:sz w:val="24"/>
              <w:szCs w:val="24"/>
            </w:rPr>
            <w:instrText xml:space="preserve"> PAGEREF _Toc225413794 \h </w:instrText>
          </w:r>
          <w:r>
            <w:rPr>
              <w:sz w:val="24"/>
              <w:szCs w:val="24"/>
            </w:rPr>
            <w:fldChar w:fldCharType="separate"/>
          </w:r>
          <w:r>
            <w:rPr>
              <w:sz w:val="24"/>
              <w:szCs w:val="24"/>
            </w:rPr>
            <w:t>16</w:t>
          </w:r>
          <w:r>
            <w:rPr>
              <w:sz w:val="24"/>
              <w:szCs w:val="24"/>
            </w:rPr>
            <w:fldChar w:fldCharType="end"/>
          </w:r>
          <w:r>
            <w:rPr>
              <w:sz w:val="24"/>
              <w:szCs w:val="24"/>
            </w:rPr>
            <w:fldChar w:fldCharType="end"/>
          </w:r>
        </w:p>
        <w:p w14:paraId="66916518">
          <w:pPr>
            <w:pStyle w:val="18"/>
            <w:tabs>
              <w:tab w:val="right" w:leader="dot" w:pos="9350"/>
            </w:tabs>
            <w:spacing w:line="360" w:lineRule="auto"/>
            <w:jc w:val="both"/>
            <w:rPr>
              <w:sz w:val="24"/>
              <w:szCs w:val="24"/>
            </w:rPr>
          </w:pPr>
          <w:r>
            <w:fldChar w:fldCharType="begin"/>
          </w:r>
          <w:r>
            <w:instrText xml:space="preserve"> HYPERLINK \l "_Toc225413795" </w:instrText>
          </w:r>
          <w:r>
            <w:fldChar w:fldCharType="separate"/>
          </w:r>
          <w:r>
            <w:rPr>
              <w:rStyle w:val="14"/>
              <w:sz w:val="24"/>
              <w:szCs w:val="24"/>
            </w:rPr>
            <w:t>Selection between three proposed investment projects</w:t>
          </w:r>
          <w:r>
            <w:rPr>
              <w:sz w:val="24"/>
              <w:szCs w:val="24"/>
            </w:rPr>
            <w:tab/>
          </w:r>
          <w:r>
            <w:rPr>
              <w:sz w:val="24"/>
              <w:szCs w:val="24"/>
            </w:rPr>
            <w:fldChar w:fldCharType="begin"/>
          </w:r>
          <w:r>
            <w:rPr>
              <w:sz w:val="24"/>
              <w:szCs w:val="24"/>
            </w:rPr>
            <w:instrText xml:space="preserve"> PAGEREF _Toc225413795 \h </w:instrText>
          </w:r>
          <w:r>
            <w:rPr>
              <w:sz w:val="24"/>
              <w:szCs w:val="24"/>
            </w:rPr>
            <w:fldChar w:fldCharType="separate"/>
          </w:r>
          <w:r>
            <w:rPr>
              <w:sz w:val="24"/>
              <w:szCs w:val="24"/>
            </w:rPr>
            <w:t>16</w:t>
          </w:r>
          <w:r>
            <w:rPr>
              <w:sz w:val="24"/>
              <w:szCs w:val="24"/>
            </w:rPr>
            <w:fldChar w:fldCharType="end"/>
          </w:r>
          <w:r>
            <w:rPr>
              <w:sz w:val="24"/>
              <w:szCs w:val="24"/>
            </w:rPr>
            <w:fldChar w:fldCharType="end"/>
          </w:r>
        </w:p>
        <w:p w14:paraId="326A9F46">
          <w:pPr>
            <w:pStyle w:val="18"/>
            <w:tabs>
              <w:tab w:val="right" w:leader="dot" w:pos="9350"/>
            </w:tabs>
            <w:spacing w:line="360" w:lineRule="auto"/>
            <w:jc w:val="both"/>
            <w:rPr>
              <w:sz w:val="24"/>
              <w:szCs w:val="24"/>
            </w:rPr>
          </w:pPr>
          <w:r>
            <w:fldChar w:fldCharType="begin"/>
          </w:r>
          <w:r>
            <w:instrText xml:space="preserve"> HYPERLINK \l "_Toc225413796" </w:instrText>
          </w:r>
          <w:r>
            <w:fldChar w:fldCharType="separate"/>
          </w:r>
          <w:r>
            <w:rPr>
              <w:rStyle w:val="14"/>
              <w:sz w:val="24"/>
              <w:szCs w:val="24"/>
            </w:rPr>
            <w:t>Project Recommendation with Reference to Financial Performance and Non-Financial Risks</w:t>
          </w:r>
          <w:r>
            <w:rPr>
              <w:sz w:val="24"/>
              <w:szCs w:val="24"/>
            </w:rPr>
            <w:tab/>
          </w:r>
          <w:r>
            <w:rPr>
              <w:sz w:val="24"/>
              <w:szCs w:val="24"/>
            </w:rPr>
            <w:fldChar w:fldCharType="begin"/>
          </w:r>
          <w:r>
            <w:rPr>
              <w:sz w:val="24"/>
              <w:szCs w:val="24"/>
            </w:rPr>
            <w:instrText xml:space="preserve"> PAGEREF _Toc225413796 \h </w:instrText>
          </w:r>
          <w:r>
            <w:rPr>
              <w:sz w:val="24"/>
              <w:szCs w:val="24"/>
            </w:rPr>
            <w:fldChar w:fldCharType="separate"/>
          </w:r>
          <w:r>
            <w:rPr>
              <w:sz w:val="24"/>
              <w:szCs w:val="24"/>
            </w:rPr>
            <w:t>19</w:t>
          </w:r>
          <w:r>
            <w:rPr>
              <w:sz w:val="24"/>
              <w:szCs w:val="24"/>
            </w:rPr>
            <w:fldChar w:fldCharType="end"/>
          </w:r>
          <w:r>
            <w:rPr>
              <w:sz w:val="24"/>
              <w:szCs w:val="24"/>
            </w:rPr>
            <w:fldChar w:fldCharType="end"/>
          </w:r>
        </w:p>
        <w:p w14:paraId="0D16CAC2">
          <w:pPr>
            <w:pStyle w:val="18"/>
            <w:tabs>
              <w:tab w:val="right" w:leader="dot" w:pos="9350"/>
            </w:tabs>
            <w:spacing w:line="360" w:lineRule="auto"/>
            <w:jc w:val="both"/>
            <w:rPr>
              <w:sz w:val="24"/>
              <w:szCs w:val="24"/>
            </w:rPr>
          </w:pPr>
          <w:r>
            <w:fldChar w:fldCharType="begin"/>
          </w:r>
          <w:r>
            <w:instrText xml:space="preserve"> HYPERLINK \l "_Toc225413797" </w:instrText>
          </w:r>
          <w:r>
            <w:fldChar w:fldCharType="separate"/>
          </w:r>
          <w:r>
            <w:rPr>
              <w:rStyle w:val="14"/>
              <w:sz w:val="24"/>
              <w:szCs w:val="24"/>
            </w:rPr>
            <w:t>Investment Combination and Capital Rationing</w:t>
          </w:r>
          <w:r>
            <w:rPr>
              <w:sz w:val="24"/>
              <w:szCs w:val="24"/>
            </w:rPr>
            <w:tab/>
          </w:r>
          <w:r>
            <w:rPr>
              <w:sz w:val="24"/>
              <w:szCs w:val="24"/>
            </w:rPr>
            <w:fldChar w:fldCharType="begin"/>
          </w:r>
          <w:r>
            <w:rPr>
              <w:sz w:val="24"/>
              <w:szCs w:val="24"/>
            </w:rPr>
            <w:instrText xml:space="preserve"> PAGEREF _Toc225413797 \h </w:instrText>
          </w:r>
          <w:r>
            <w:rPr>
              <w:sz w:val="24"/>
              <w:szCs w:val="24"/>
            </w:rPr>
            <w:fldChar w:fldCharType="separate"/>
          </w:r>
          <w:r>
            <w:rPr>
              <w:sz w:val="24"/>
              <w:szCs w:val="24"/>
            </w:rPr>
            <w:t>21</w:t>
          </w:r>
          <w:r>
            <w:rPr>
              <w:sz w:val="24"/>
              <w:szCs w:val="24"/>
            </w:rPr>
            <w:fldChar w:fldCharType="end"/>
          </w:r>
          <w:r>
            <w:rPr>
              <w:sz w:val="24"/>
              <w:szCs w:val="24"/>
            </w:rPr>
            <w:fldChar w:fldCharType="end"/>
          </w:r>
        </w:p>
        <w:p w14:paraId="74DA0224">
          <w:pPr>
            <w:pStyle w:val="17"/>
            <w:tabs>
              <w:tab w:val="right" w:leader="dot" w:pos="9350"/>
            </w:tabs>
            <w:spacing w:line="360" w:lineRule="auto"/>
            <w:jc w:val="both"/>
            <w:rPr>
              <w:sz w:val="24"/>
              <w:szCs w:val="24"/>
            </w:rPr>
          </w:pPr>
          <w:r>
            <w:fldChar w:fldCharType="begin"/>
          </w:r>
          <w:r>
            <w:instrText xml:space="preserve"> HYPERLINK \l "_Toc225413798" </w:instrText>
          </w:r>
          <w:r>
            <w:fldChar w:fldCharType="separate"/>
          </w:r>
          <w:r>
            <w:rPr>
              <w:rStyle w:val="14"/>
              <w:sz w:val="24"/>
              <w:szCs w:val="24"/>
            </w:rPr>
            <w:t>Conclusion</w:t>
          </w:r>
          <w:r>
            <w:rPr>
              <w:sz w:val="24"/>
              <w:szCs w:val="24"/>
            </w:rPr>
            <w:tab/>
          </w:r>
          <w:r>
            <w:rPr>
              <w:sz w:val="24"/>
              <w:szCs w:val="24"/>
            </w:rPr>
            <w:fldChar w:fldCharType="begin"/>
          </w:r>
          <w:r>
            <w:rPr>
              <w:sz w:val="24"/>
              <w:szCs w:val="24"/>
            </w:rPr>
            <w:instrText xml:space="preserve"> PAGEREF _Toc225413798 \h </w:instrText>
          </w:r>
          <w:r>
            <w:rPr>
              <w:sz w:val="24"/>
              <w:szCs w:val="24"/>
            </w:rPr>
            <w:fldChar w:fldCharType="separate"/>
          </w:r>
          <w:r>
            <w:rPr>
              <w:sz w:val="24"/>
              <w:szCs w:val="24"/>
            </w:rPr>
            <w:t>21</w:t>
          </w:r>
          <w:r>
            <w:rPr>
              <w:sz w:val="24"/>
              <w:szCs w:val="24"/>
            </w:rPr>
            <w:fldChar w:fldCharType="end"/>
          </w:r>
          <w:r>
            <w:rPr>
              <w:sz w:val="24"/>
              <w:szCs w:val="24"/>
            </w:rPr>
            <w:fldChar w:fldCharType="end"/>
          </w:r>
        </w:p>
        <w:p w14:paraId="2FC79CB7">
          <w:pPr>
            <w:pStyle w:val="17"/>
            <w:tabs>
              <w:tab w:val="right" w:leader="dot" w:pos="9350"/>
            </w:tabs>
            <w:spacing w:line="360" w:lineRule="auto"/>
            <w:jc w:val="both"/>
            <w:rPr>
              <w:sz w:val="24"/>
              <w:szCs w:val="24"/>
            </w:rPr>
          </w:pPr>
          <w:r>
            <w:fldChar w:fldCharType="begin"/>
          </w:r>
          <w:r>
            <w:instrText xml:space="preserve"> HYPERLINK \l "_Toc225413799" </w:instrText>
          </w:r>
          <w:r>
            <w:fldChar w:fldCharType="separate"/>
          </w:r>
          <w:r>
            <w:rPr>
              <w:rStyle w:val="14"/>
              <w:sz w:val="24"/>
              <w:szCs w:val="24"/>
            </w:rPr>
            <w:t>References</w:t>
          </w:r>
          <w:r>
            <w:rPr>
              <w:sz w:val="24"/>
              <w:szCs w:val="24"/>
            </w:rPr>
            <w:tab/>
          </w:r>
          <w:r>
            <w:rPr>
              <w:sz w:val="24"/>
              <w:szCs w:val="24"/>
            </w:rPr>
            <w:fldChar w:fldCharType="begin"/>
          </w:r>
          <w:r>
            <w:rPr>
              <w:sz w:val="24"/>
              <w:szCs w:val="24"/>
            </w:rPr>
            <w:instrText xml:space="preserve"> PAGEREF _Toc225413799 \h </w:instrText>
          </w:r>
          <w:r>
            <w:rPr>
              <w:sz w:val="24"/>
              <w:szCs w:val="24"/>
            </w:rPr>
            <w:fldChar w:fldCharType="separate"/>
          </w:r>
          <w:r>
            <w:rPr>
              <w:sz w:val="24"/>
              <w:szCs w:val="24"/>
            </w:rPr>
            <w:t>23</w:t>
          </w:r>
          <w:r>
            <w:rPr>
              <w:sz w:val="24"/>
              <w:szCs w:val="24"/>
            </w:rPr>
            <w:fldChar w:fldCharType="end"/>
          </w:r>
          <w:r>
            <w:rPr>
              <w:sz w:val="24"/>
              <w:szCs w:val="24"/>
            </w:rPr>
            <w:fldChar w:fldCharType="end"/>
          </w:r>
        </w:p>
        <w:p w14:paraId="24987B29">
          <w:pPr>
            <w:pStyle w:val="17"/>
            <w:tabs>
              <w:tab w:val="right" w:leader="dot" w:pos="9350"/>
            </w:tabs>
            <w:spacing w:line="360" w:lineRule="auto"/>
            <w:jc w:val="both"/>
            <w:rPr>
              <w:sz w:val="24"/>
              <w:szCs w:val="24"/>
            </w:rPr>
          </w:pPr>
          <w:r>
            <w:fldChar w:fldCharType="begin"/>
          </w:r>
          <w:r>
            <w:instrText xml:space="preserve"> HYPERLINK \l "_Toc225413800" </w:instrText>
          </w:r>
          <w:r>
            <w:fldChar w:fldCharType="separate"/>
          </w:r>
          <w:r>
            <w:rPr>
              <w:rStyle w:val="14"/>
              <w:sz w:val="24"/>
              <w:szCs w:val="24"/>
            </w:rPr>
            <w:t>Appendices</w:t>
          </w:r>
          <w:r>
            <w:rPr>
              <w:sz w:val="24"/>
              <w:szCs w:val="24"/>
            </w:rPr>
            <w:tab/>
          </w:r>
          <w:r>
            <w:rPr>
              <w:sz w:val="24"/>
              <w:szCs w:val="24"/>
            </w:rPr>
            <w:fldChar w:fldCharType="begin"/>
          </w:r>
          <w:r>
            <w:rPr>
              <w:sz w:val="24"/>
              <w:szCs w:val="24"/>
            </w:rPr>
            <w:instrText xml:space="preserve"> PAGEREF _Toc225413800 \h </w:instrText>
          </w:r>
          <w:r>
            <w:rPr>
              <w:sz w:val="24"/>
              <w:szCs w:val="24"/>
            </w:rPr>
            <w:fldChar w:fldCharType="separate"/>
          </w:r>
          <w:r>
            <w:rPr>
              <w:sz w:val="24"/>
              <w:szCs w:val="24"/>
            </w:rPr>
            <w:t>27</w:t>
          </w:r>
          <w:r>
            <w:rPr>
              <w:sz w:val="24"/>
              <w:szCs w:val="24"/>
            </w:rPr>
            <w:fldChar w:fldCharType="end"/>
          </w:r>
          <w:r>
            <w:rPr>
              <w:sz w:val="24"/>
              <w:szCs w:val="24"/>
            </w:rPr>
            <w:fldChar w:fldCharType="end"/>
          </w:r>
        </w:p>
        <w:p w14:paraId="7EF80048">
          <w:pPr>
            <w:pStyle w:val="18"/>
            <w:tabs>
              <w:tab w:val="right" w:leader="dot" w:pos="9350"/>
            </w:tabs>
            <w:spacing w:line="360" w:lineRule="auto"/>
            <w:jc w:val="both"/>
            <w:rPr>
              <w:sz w:val="24"/>
              <w:szCs w:val="24"/>
            </w:rPr>
          </w:pPr>
          <w:r>
            <w:fldChar w:fldCharType="begin"/>
          </w:r>
          <w:r>
            <w:instrText xml:space="preserve"> HYPERLINK \l "_Toc225413801" </w:instrText>
          </w:r>
          <w:r>
            <w:fldChar w:fldCharType="separate"/>
          </w:r>
          <w:r>
            <w:rPr>
              <w:rStyle w:val="14"/>
              <w:sz w:val="24"/>
              <w:szCs w:val="24"/>
            </w:rPr>
            <w:t>Ratio Calculations</w:t>
          </w:r>
          <w:r>
            <w:rPr>
              <w:sz w:val="24"/>
              <w:szCs w:val="24"/>
            </w:rPr>
            <w:tab/>
          </w:r>
          <w:r>
            <w:rPr>
              <w:sz w:val="24"/>
              <w:szCs w:val="24"/>
            </w:rPr>
            <w:fldChar w:fldCharType="begin"/>
          </w:r>
          <w:r>
            <w:rPr>
              <w:sz w:val="24"/>
              <w:szCs w:val="24"/>
            </w:rPr>
            <w:instrText xml:space="preserve"> PAGEREF _Toc225413801 \h </w:instrText>
          </w:r>
          <w:r>
            <w:rPr>
              <w:sz w:val="24"/>
              <w:szCs w:val="24"/>
            </w:rPr>
            <w:fldChar w:fldCharType="separate"/>
          </w:r>
          <w:r>
            <w:rPr>
              <w:sz w:val="24"/>
              <w:szCs w:val="24"/>
            </w:rPr>
            <w:t>27</w:t>
          </w:r>
          <w:r>
            <w:rPr>
              <w:sz w:val="24"/>
              <w:szCs w:val="24"/>
            </w:rPr>
            <w:fldChar w:fldCharType="end"/>
          </w:r>
          <w:r>
            <w:rPr>
              <w:sz w:val="24"/>
              <w:szCs w:val="24"/>
            </w:rPr>
            <w:fldChar w:fldCharType="end"/>
          </w:r>
        </w:p>
        <w:p w14:paraId="04FF15A5">
          <w:pPr>
            <w:pStyle w:val="18"/>
            <w:tabs>
              <w:tab w:val="right" w:leader="dot" w:pos="9350"/>
            </w:tabs>
            <w:spacing w:line="360" w:lineRule="auto"/>
            <w:jc w:val="both"/>
            <w:rPr>
              <w:sz w:val="24"/>
              <w:szCs w:val="24"/>
            </w:rPr>
          </w:pPr>
          <w:r>
            <w:fldChar w:fldCharType="begin"/>
          </w:r>
          <w:r>
            <w:instrText xml:space="preserve"> HYPERLINK \l "_Toc225413802" </w:instrText>
          </w:r>
          <w:r>
            <w:fldChar w:fldCharType="separate"/>
          </w:r>
          <w:r>
            <w:rPr>
              <w:rStyle w:val="14"/>
              <w:sz w:val="24"/>
              <w:szCs w:val="24"/>
            </w:rPr>
            <w:t>Investment appraisal calculations</w:t>
          </w:r>
          <w:r>
            <w:rPr>
              <w:sz w:val="24"/>
              <w:szCs w:val="24"/>
            </w:rPr>
            <w:tab/>
          </w:r>
          <w:r>
            <w:rPr>
              <w:sz w:val="24"/>
              <w:szCs w:val="24"/>
            </w:rPr>
            <w:fldChar w:fldCharType="begin"/>
          </w:r>
          <w:r>
            <w:rPr>
              <w:sz w:val="24"/>
              <w:szCs w:val="24"/>
            </w:rPr>
            <w:instrText xml:space="preserve"> PAGEREF _Toc225413802 \h </w:instrText>
          </w:r>
          <w:r>
            <w:rPr>
              <w:sz w:val="24"/>
              <w:szCs w:val="24"/>
            </w:rPr>
            <w:fldChar w:fldCharType="separate"/>
          </w:r>
          <w:r>
            <w:rPr>
              <w:sz w:val="24"/>
              <w:szCs w:val="24"/>
            </w:rPr>
            <w:t>28</w:t>
          </w:r>
          <w:r>
            <w:rPr>
              <w:sz w:val="24"/>
              <w:szCs w:val="24"/>
            </w:rPr>
            <w:fldChar w:fldCharType="end"/>
          </w:r>
          <w:r>
            <w:rPr>
              <w:sz w:val="24"/>
              <w:szCs w:val="24"/>
            </w:rPr>
            <w:fldChar w:fldCharType="end"/>
          </w:r>
        </w:p>
        <w:p w14:paraId="67926366">
          <w:pPr>
            <w:spacing w:line="360" w:lineRule="auto"/>
            <w:jc w:val="both"/>
          </w:pPr>
          <w:r>
            <w:rPr>
              <w:sz w:val="24"/>
              <w:szCs w:val="24"/>
            </w:rPr>
            <w:fldChar w:fldCharType="end"/>
          </w:r>
        </w:p>
      </w:sdtContent>
    </w:sdt>
    <w:p w14:paraId="23A62767">
      <w:pPr>
        <w:pStyle w:val="3"/>
        <w:spacing w:line="360" w:lineRule="auto"/>
        <w:jc w:val="center"/>
        <w:rPr>
          <w:b/>
          <w:bCs/>
          <w:sz w:val="40"/>
          <w:szCs w:val="40"/>
        </w:rPr>
      </w:pPr>
    </w:p>
    <w:p w14:paraId="3AE99BA0">
      <w:pPr>
        <w:pStyle w:val="3"/>
        <w:spacing w:line="360" w:lineRule="auto"/>
        <w:jc w:val="center"/>
        <w:rPr>
          <w:b/>
          <w:bCs/>
          <w:sz w:val="40"/>
          <w:szCs w:val="40"/>
        </w:rPr>
      </w:pPr>
      <w:r>
        <w:br w:type="page"/>
      </w:r>
    </w:p>
    <w:p w14:paraId="6E379717">
      <w:pPr>
        <w:pStyle w:val="2"/>
      </w:pPr>
      <w:bookmarkStart w:id="0" w:name="_Toc225413781"/>
      <w:r>
        <w:t>Introduction</w:t>
      </w:r>
      <w:bookmarkEnd w:id="0"/>
      <w:r>
        <w:t xml:space="preserve"> </w:t>
      </w:r>
    </w:p>
    <w:p w14:paraId="2452C417">
      <w:pPr>
        <w:pStyle w:val="3"/>
        <w:spacing w:before="240" w:after="240" w:line="360" w:lineRule="auto"/>
        <w:jc w:val="both"/>
        <w:rPr>
          <w:sz w:val="24"/>
          <w:szCs w:val="24"/>
        </w:rPr>
      </w:pPr>
      <w:r>
        <w:rPr>
          <w:sz w:val="24"/>
          <w:szCs w:val="24"/>
        </w:rPr>
        <w:t>Volkswagen is one of the largest automotive manufacturers in the world, with its significant transition towards digital transformation and electric vehicles (volkswagen-newsroom.com, 2025). This transition demands high capital investment, followed by consistent financial management and disciplined cost structure. Therefore, the report will evaluate the financial performance and position of the mentioned company over the past five years, from 2021 to 2025, from the perspective of the Chief Financial Officer. The key objective is to determine the financial health of the company, while underpinning its working capital efficiency to offer suggestions regarding restructuring strategies and assess the available investment prospects with the help of capital budgeting approaches.</w:t>
      </w:r>
    </w:p>
    <w:p w14:paraId="3F26692F">
      <w:pPr>
        <w:pStyle w:val="3"/>
        <w:spacing w:before="240" w:after="240" w:line="360" w:lineRule="auto"/>
        <w:jc w:val="both"/>
        <w:rPr>
          <w:sz w:val="24"/>
          <w:szCs w:val="24"/>
        </w:rPr>
      </w:pPr>
      <w:r>
        <w:rPr>
          <w:sz w:val="24"/>
          <w:szCs w:val="24"/>
        </w:rPr>
        <w:t>The performance analysis will be done using the financial data available in the annual reports of Volkswagen, covering a set of ratio categories, profitability, efficiency, liquidity, gearing, and investment. The report will also include investment appraisal techniques, namely Payback Period, Net Present Value, Internal and Accounting Rate of Return, and Profitability Index to recommend strategic investment decisions.</w:t>
      </w:r>
    </w:p>
    <w:p w14:paraId="180EBD6D">
      <w:pPr>
        <w:pStyle w:val="2"/>
      </w:pPr>
      <w:bookmarkStart w:id="1" w:name="_Toc225413782"/>
      <w:r>
        <w:t>1. Financial Health Check</w:t>
      </w:r>
      <w:bookmarkEnd w:id="1"/>
      <w:r>
        <w:t xml:space="preserve"> </w:t>
      </w:r>
    </w:p>
    <w:p w14:paraId="6C9E52E5">
      <w:pPr>
        <w:pStyle w:val="4"/>
      </w:pPr>
      <w:bookmarkStart w:id="2" w:name="_Toc225413783"/>
      <w:r>
        <w:t>Past five-year financial statements of Volkswagen</w:t>
      </w:r>
      <w:bookmarkEnd w:id="2"/>
    </w:p>
    <w:p w14:paraId="679ED4F0">
      <w:pPr>
        <w:pStyle w:val="3"/>
        <w:spacing w:line="360" w:lineRule="auto"/>
        <w:jc w:val="both"/>
        <w:rPr>
          <w:sz w:val="24"/>
          <w:szCs w:val="24"/>
        </w:rPr>
      </w:pPr>
      <w:r>
        <w:rPr>
          <w:sz w:val="24"/>
          <w:szCs w:val="24"/>
        </w:rPr>
        <w:t>According to the financial statements of Volkswagen over the past five years, the company has maintained top-line resilience, with its revenue increasing from €250,200 million in 2021 to €321,913 million, showing a stable performance. However, the cost management of the company can be said to be ineffective due to the cost of sales increasing from €202,959 million to €270,671 million in five years, followed by net profit declining from €15,428 million to €6,904 million. This is due to the high restructuring costs, followed by an increase in US import tariffs. Due to its disciplined working capital management, Volkswagen maintained a strong liquidity with its total assets increasing from €528,609 million to €644,467 million, exceeding total liabilities from €382,455 million to €441,413 million in five years.</w:t>
      </w:r>
    </w:p>
    <w:p w14:paraId="4B5966FC">
      <w:pPr>
        <w:pStyle w:val="3"/>
        <w:spacing w:line="360" w:lineRule="auto"/>
        <w:jc w:val="center"/>
        <w:rPr>
          <w:b/>
          <w:bCs/>
          <w:sz w:val="24"/>
          <w:szCs w:val="24"/>
        </w:rPr>
      </w:pPr>
      <w:r>
        <w:rPr>
          <w:b/>
          <w:bCs/>
          <w:sz w:val="24"/>
          <w:szCs w:val="24"/>
          <w:lang w:val="en-US"/>
        </w:rPr>
        <w:drawing>
          <wp:inline distT="114300" distB="114300" distL="114300" distR="114300">
            <wp:extent cx="4619625" cy="2790825"/>
            <wp:effectExtent l="0" t="0" r="0" b="0"/>
            <wp:docPr id="13" name="image20.png"/>
            <wp:cNvGraphicFramePr/>
            <a:graphic xmlns:a="http://schemas.openxmlformats.org/drawingml/2006/main">
              <a:graphicData uri="http://schemas.openxmlformats.org/drawingml/2006/picture">
                <pic:pic xmlns:pic="http://schemas.openxmlformats.org/drawingml/2006/picture">
                  <pic:nvPicPr>
                    <pic:cNvPr id="13" name="image20.png"/>
                    <pic:cNvPicPr preferRelativeResize="0"/>
                  </pic:nvPicPr>
                  <pic:blipFill>
                    <a:blip r:embed="rId8"/>
                    <a:srcRect/>
                    <a:stretch>
                      <a:fillRect/>
                    </a:stretch>
                  </pic:blipFill>
                  <pic:spPr>
                    <a:xfrm>
                      <a:off x="0" y="0"/>
                      <a:ext cx="4619625" cy="2790825"/>
                    </a:xfrm>
                    <a:prstGeom prst="rect">
                      <a:avLst/>
                    </a:prstGeom>
                  </pic:spPr>
                </pic:pic>
              </a:graphicData>
            </a:graphic>
          </wp:inline>
        </w:drawing>
      </w:r>
    </w:p>
    <w:p w14:paraId="4D706745">
      <w:pPr>
        <w:pStyle w:val="3"/>
        <w:spacing w:line="360" w:lineRule="auto"/>
        <w:jc w:val="center"/>
        <w:rPr>
          <w:b/>
          <w:bCs/>
          <w:sz w:val="24"/>
          <w:szCs w:val="24"/>
        </w:rPr>
      </w:pPr>
      <w:r>
        <w:rPr>
          <w:b/>
          <w:bCs/>
          <w:sz w:val="24"/>
          <w:szCs w:val="24"/>
        </w:rPr>
        <w:t>Table 1: Five-Year Trend in Financial Statements Components</w:t>
      </w:r>
    </w:p>
    <w:p w14:paraId="32E8BF6C">
      <w:pPr>
        <w:pStyle w:val="3"/>
        <w:spacing w:line="360" w:lineRule="auto"/>
        <w:jc w:val="center"/>
        <w:rPr>
          <w:sz w:val="24"/>
          <w:szCs w:val="24"/>
        </w:rPr>
      </w:pPr>
      <w:r>
        <w:rPr>
          <w:sz w:val="24"/>
          <w:szCs w:val="24"/>
        </w:rPr>
        <w:t>(Source: Annual Report Data)</w:t>
      </w:r>
    </w:p>
    <w:p w14:paraId="35A895FA">
      <w:pPr>
        <w:pStyle w:val="4"/>
      </w:pPr>
      <w:bookmarkStart w:id="3" w:name="_Toc225413784"/>
      <w:r>
        <w:t>Ratio Analysis</w:t>
      </w:r>
      <w:bookmarkEnd w:id="3"/>
      <w:r>
        <w:t xml:space="preserve"> </w:t>
      </w:r>
    </w:p>
    <w:p w14:paraId="2C73D31E">
      <w:pPr>
        <w:pStyle w:val="3"/>
        <w:spacing w:line="360" w:lineRule="auto"/>
        <w:jc w:val="both"/>
        <w:rPr>
          <w:b/>
          <w:bCs/>
          <w:sz w:val="24"/>
          <w:szCs w:val="24"/>
        </w:rPr>
      </w:pPr>
      <w:r>
        <w:rPr>
          <w:b/>
          <w:bCs/>
          <w:sz w:val="24"/>
          <w:szCs w:val="24"/>
        </w:rPr>
        <w:t xml:space="preserve">Profitability Ratios  </w:t>
      </w:r>
    </w:p>
    <w:p w14:paraId="33785CDF">
      <w:pPr>
        <w:pStyle w:val="3"/>
        <w:spacing w:line="360" w:lineRule="auto"/>
        <w:jc w:val="both"/>
        <w:rPr>
          <w:sz w:val="24"/>
          <w:szCs w:val="24"/>
        </w:rPr>
      </w:pPr>
      <w:r>
        <w:rPr>
          <w:sz w:val="24"/>
          <w:szCs w:val="24"/>
        </w:rPr>
        <w:t xml:space="preserve">These ratios measure the profit-earning capability of the company relative to financial factors like revenue, equity, assets, and others (Kalbuana </w:t>
      </w:r>
      <w:r>
        <w:rPr>
          <w:i/>
          <w:iCs/>
          <w:sz w:val="24"/>
          <w:szCs w:val="24"/>
        </w:rPr>
        <w:t>et al.</w:t>
      </w:r>
      <w:r>
        <w:rPr>
          <w:sz w:val="24"/>
          <w:szCs w:val="24"/>
        </w:rPr>
        <w:t xml:space="preserve"> 2022). A declining trend can be seen in the profitability ratios of Volkswagen, with the Operating Margin declining from 7.70% to 7.01% in 2023, and then to 2.75% in 2025. Following that, the ROCE declined from 10.31% to 3.91%, and ROE from 10.56% to 9.44% and then to 3.40%, showing ineffective operating expenses management and poor utilisation of employed capital and equity.</w:t>
      </w:r>
    </w:p>
    <w:p w14:paraId="57FC305D">
      <w:pPr>
        <w:pStyle w:val="3"/>
        <w:spacing w:line="360" w:lineRule="auto"/>
        <w:jc w:val="center"/>
        <w:rPr>
          <w:b/>
          <w:bCs/>
          <w:sz w:val="24"/>
          <w:szCs w:val="24"/>
        </w:rPr>
      </w:pPr>
      <w:r>
        <w:rPr>
          <w:b/>
          <w:bCs/>
          <w:sz w:val="24"/>
          <w:szCs w:val="24"/>
          <w:lang w:val="en-US"/>
        </w:rPr>
        <w:drawing>
          <wp:inline distT="114300" distB="114300" distL="114300" distR="114300">
            <wp:extent cx="4629150" cy="2781300"/>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15" name="image10.png"/>
                    <pic:cNvPicPr preferRelativeResize="0"/>
                  </pic:nvPicPr>
                  <pic:blipFill>
                    <a:blip r:embed="rId9"/>
                    <a:srcRect/>
                    <a:stretch>
                      <a:fillRect/>
                    </a:stretch>
                  </pic:blipFill>
                  <pic:spPr>
                    <a:xfrm>
                      <a:off x="0" y="0"/>
                      <a:ext cx="4629150" cy="2781300"/>
                    </a:xfrm>
                    <a:prstGeom prst="rect">
                      <a:avLst/>
                    </a:prstGeom>
                  </pic:spPr>
                </pic:pic>
              </a:graphicData>
            </a:graphic>
          </wp:inline>
        </w:drawing>
      </w:r>
    </w:p>
    <w:p w14:paraId="1A53624F">
      <w:pPr>
        <w:pStyle w:val="3"/>
        <w:spacing w:line="360" w:lineRule="auto"/>
        <w:jc w:val="center"/>
        <w:rPr>
          <w:b/>
          <w:bCs/>
          <w:sz w:val="24"/>
          <w:szCs w:val="24"/>
        </w:rPr>
      </w:pPr>
      <w:r>
        <w:rPr>
          <w:b/>
          <w:bCs/>
          <w:sz w:val="24"/>
          <w:szCs w:val="24"/>
        </w:rPr>
        <w:t>Graph 1: Profitability Ratios</w:t>
      </w:r>
    </w:p>
    <w:p w14:paraId="6467E416">
      <w:pPr>
        <w:pStyle w:val="3"/>
        <w:spacing w:line="360" w:lineRule="auto"/>
        <w:jc w:val="center"/>
        <w:rPr>
          <w:sz w:val="24"/>
          <w:szCs w:val="24"/>
        </w:rPr>
      </w:pPr>
      <w:r>
        <w:rPr>
          <w:sz w:val="24"/>
          <w:szCs w:val="24"/>
        </w:rPr>
        <w:t>(Source: Annual Report Data)</w:t>
      </w:r>
    </w:p>
    <w:p w14:paraId="22FABB8A">
      <w:pPr>
        <w:pStyle w:val="3"/>
        <w:spacing w:line="360" w:lineRule="auto"/>
        <w:jc w:val="both"/>
        <w:rPr>
          <w:sz w:val="24"/>
          <w:szCs w:val="24"/>
        </w:rPr>
      </w:pPr>
      <w:r>
        <w:rPr>
          <w:sz w:val="24"/>
          <w:szCs w:val="24"/>
        </w:rPr>
        <w:t>Irrespective of its declining profitability, the robust revenue base of Volkswagen, that is, €321,913 million in 2025, offers it economies of scale (volkswagen-group.com, 2025). Following this, the company is capable of maintaining a considerably strong margin (from 2021 to 2023) even during times of global supply chain constraints. On the contrary, the rising inflation is a major threat as the shift to EV requires a high battery supply chain and research and development investments, impacting margins significantly. Similarly, the rising competition from both domestic and global EV makers is a major threat to Volkswagen’s profitability.</w:t>
      </w:r>
    </w:p>
    <w:p w14:paraId="556E0636">
      <w:pPr>
        <w:pStyle w:val="3"/>
        <w:spacing w:line="360" w:lineRule="auto"/>
        <w:jc w:val="both"/>
        <w:rPr>
          <w:sz w:val="24"/>
          <w:szCs w:val="24"/>
        </w:rPr>
      </w:pPr>
      <w:r>
        <w:rPr>
          <w:b/>
          <w:bCs/>
          <w:sz w:val="24"/>
          <w:szCs w:val="24"/>
        </w:rPr>
        <w:t>Liquidity Ratios</w:t>
      </w:r>
    </w:p>
    <w:p w14:paraId="6B420D1F">
      <w:pPr>
        <w:pStyle w:val="3"/>
        <w:spacing w:line="360" w:lineRule="auto"/>
        <w:jc w:val="both"/>
        <w:rPr>
          <w:sz w:val="24"/>
          <w:szCs w:val="24"/>
        </w:rPr>
      </w:pPr>
      <w:r>
        <w:rPr>
          <w:sz w:val="24"/>
          <w:szCs w:val="24"/>
        </w:rPr>
        <w:t>These ratios highlight the ability of the company to cover its short-term obligations with current assets (Blessing and Sakouvogui, 2023). The graph indicates a declining liquidity performance of Volkswagen in the past five years. The current ratio declined from 1.22 in 2021 to 1.16 in 2023 and then to 1.09 in 2025, whereas the quick ratio declined from 0.95 to 0.90 and then to 0.85, reflecting a falling capability of Volkswagen to meet its current debt obligations using its current assets and liquid assets. A low quick ratio is common in capital-intensive industries like the automobile industry; however, it reflects the reliance of VW on its inventory to underpin current debts.</w:t>
      </w:r>
    </w:p>
    <w:p w14:paraId="610B8B31">
      <w:pPr>
        <w:pStyle w:val="3"/>
        <w:spacing w:line="360" w:lineRule="auto"/>
        <w:jc w:val="center"/>
        <w:rPr>
          <w:b/>
          <w:bCs/>
          <w:sz w:val="24"/>
          <w:szCs w:val="24"/>
        </w:rPr>
      </w:pPr>
      <w:r>
        <w:rPr>
          <w:b/>
          <w:bCs/>
          <w:sz w:val="24"/>
          <w:szCs w:val="24"/>
          <w:lang w:val="en-US"/>
        </w:rPr>
        <w:drawing>
          <wp:inline distT="114300" distB="114300" distL="114300" distR="114300">
            <wp:extent cx="4619625" cy="2762250"/>
            <wp:effectExtent l="0" t="0" r="0" b="0"/>
            <wp:docPr id="18" name="image22.png"/>
            <wp:cNvGraphicFramePr/>
            <a:graphic xmlns:a="http://schemas.openxmlformats.org/drawingml/2006/main">
              <a:graphicData uri="http://schemas.openxmlformats.org/drawingml/2006/picture">
                <pic:pic xmlns:pic="http://schemas.openxmlformats.org/drawingml/2006/picture">
                  <pic:nvPicPr>
                    <pic:cNvPr id="18" name="image22.png"/>
                    <pic:cNvPicPr preferRelativeResize="0"/>
                  </pic:nvPicPr>
                  <pic:blipFill>
                    <a:blip r:embed="rId10"/>
                    <a:srcRect/>
                    <a:stretch>
                      <a:fillRect/>
                    </a:stretch>
                  </pic:blipFill>
                  <pic:spPr>
                    <a:xfrm>
                      <a:off x="0" y="0"/>
                      <a:ext cx="4619625" cy="2762250"/>
                    </a:xfrm>
                    <a:prstGeom prst="rect">
                      <a:avLst/>
                    </a:prstGeom>
                  </pic:spPr>
                </pic:pic>
              </a:graphicData>
            </a:graphic>
          </wp:inline>
        </w:drawing>
      </w:r>
    </w:p>
    <w:p w14:paraId="78870014">
      <w:pPr>
        <w:pStyle w:val="3"/>
        <w:spacing w:line="360" w:lineRule="auto"/>
        <w:jc w:val="center"/>
        <w:rPr>
          <w:b/>
          <w:bCs/>
          <w:sz w:val="24"/>
          <w:szCs w:val="24"/>
        </w:rPr>
      </w:pPr>
      <w:r>
        <w:rPr>
          <w:b/>
          <w:bCs/>
          <w:sz w:val="24"/>
          <w:szCs w:val="24"/>
        </w:rPr>
        <w:t>Graph 2: Liquidity Ratios</w:t>
      </w:r>
    </w:p>
    <w:p w14:paraId="56BBB320">
      <w:pPr>
        <w:pStyle w:val="3"/>
        <w:spacing w:line="360" w:lineRule="auto"/>
        <w:jc w:val="center"/>
        <w:rPr>
          <w:sz w:val="24"/>
          <w:szCs w:val="24"/>
        </w:rPr>
      </w:pPr>
      <w:r>
        <w:rPr>
          <w:sz w:val="24"/>
          <w:szCs w:val="24"/>
        </w:rPr>
        <w:t>(Source: Annual Report Data)</w:t>
      </w:r>
    </w:p>
    <w:p w14:paraId="35987F8F">
      <w:pPr>
        <w:pStyle w:val="3"/>
        <w:spacing w:line="360" w:lineRule="auto"/>
        <w:jc w:val="both"/>
        <w:rPr>
          <w:sz w:val="24"/>
          <w:szCs w:val="24"/>
        </w:rPr>
      </w:pPr>
      <w:r>
        <w:rPr>
          <w:sz w:val="24"/>
          <w:szCs w:val="24"/>
        </w:rPr>
        <w:t>Irrespective of the declining current ratio, the value is above 1, indicating lower current liabilities compared to current assets, preventing any immediate liquidity concerns. Additionally, the market value of VW’s EV is considerably high, resulting in the inventory of the company being highly liquid compared to other companies in the manufacturing industry. However, the falling ratio indicates the faster growth of current liabilities relative to current assets, which is undesirable, and a slight change in interest rates may impact the company’s sales performance as well as overall liquidity.</w:t>
      </w:r>
    </w:p>
    <w:p w14:paraId="18ED0D48">
      <w:pPr>
        <w:pStyle w:val="3"/>
        <w:spacing w:line="360" w:lineRule="auto"/>
        <w:jc w:val="both"/>
        <w:rPr>
          <w:b/>
          <w:bCs/>
          <w:sz w:val="24"/>
          <w:szCs w:val="24"/>
        </w:rPr>
      </w:pPr>
      <w:r>
        <w:rPr>
          <w:b/>
          <w:bCs/>
          <w:sz w:val="24"/>
          <w:szCs w:val="24"/>
        </w:rPr>
        <w:t>Efficiency Ratios</w:t>
      </w:r>
    </w:p>
    <w:p w14:paraId="131E8470">
      <w:pPr>
        <w:pStyle w:val="3"/>
        <w:spacing w:line="360" w:lineRule="auto"/>
        <w:jc w:val="both"/>
        <w:rPr>
          <w:sz w:val="24"/>
          <w:szCs w:val="24"/>
        </w:rPr>
      </w:pPr>
      <w:r>
        <w:rPr>
          <w:sz w:val="24"/>
          <w:szCs w:val="24"/>
        </w:rPr>
        <w:t>These ratios reflect the resource management of the company, highlighting how well the regular operations are maintained through resource management (Olayinka, 2022). The graph reveals a fluctuating trend in the efficiency ratios of Volkswagen, with its Asset Turnover Ratio initially increasing from 0.49 to 0.55 in 2023, but then declining to 0.50 in 2025. Similarly, the inventory turnover ratio declined from 78.72 days to 73.96 days in 2023, but increased to 76.03 days in 2025, suggesting that the company is taking longer days to convert its inventory into sales, while assets are also incapable of creating increasing revenue.</w:t>
      </w:r>
    </w:p>
    <w:p w14:paraId="0AB9CAF3">
      <w:pPr>
        <w:pStyle w:val="3"/>
        <w:spacing w:line="360" w:lineRule="auto"/>
        <w:jc w:val="center"/>
        <w:rPr>
          <w:sz w:val="24"/>
          <w:szCs w:val="24"/>
        </w:rPr>
      </w:pPr>
      <w:r>
        <w:rPr>
          <w:b/>
          <w:bCs/>
          <w:sz w:val="24"/>
          <w:szCs w:val="24"/>
          <w:lang w:val="en-US"/>
        </w:rPr>
        <w:drawing>
          <wp:inline distT="114300" distB="114300" distL="114300" distR="114300">
            <wp:extent cx="4629150" cy="2809875"/>
            <wp:effectExtent l="0" t="0" r="0" b="0"/>
            <wp:docPr id="1" name="image19.png"/>
            <wp:cNvGraphicFramePr/>
            <a:graphic xmlns:a="http://schemas.openxmlformats.org/drawingml/2006/main">
              <a:graphicData uri="http://schemas.openxmlformats.org/drawingml/2006/picture">
                <pic:pic xmlns:pic="http://schemas.openxmlformats.org/drawingml/2006/picture">
                  <pic:nvPicPr>
                    <pic:cNvPr id="1" name="image19.png"/>
                    <pic:cNvPicPr preferRelativeResize="0"/>
                  </pic:nvPicPr>
                  <pic:blipFill>
                    <a:blip r:embed="rId11"/>
                    <a:srcRect/>
                    <a:stretch>
                      <a:fillRect/>
                    </a:stretch>
                  </pic:blipFill>
                  <pic:spPr>
                    <a:xfrm>
                      <a:off x="0" y="0"/>
                      <a:ext cx="4629150" cy="2809875"/>
                    </a:xfrm>
                    <a:prstGeom prst="rect">
                      <a:avLst/>
                    </a:prstGeom>
                  </pic:spPr>
                </pic:pic>
              </a:graphicData>
            </a:graphic>
          </wp:inline>
        </w:drawing>
      </w:r>
    </w:p>
    <w:p w14:paraId="4BFED484">
      <w:pPr>
        <w:pStyle w:val="3"/>
        <w:spacing w:line="360" w:lineRule="auto"/>
        <w:jc w:val="center"/>
        <w:rPr>
          <w:b/>
          <w:bCs/>
          <w:sz w:val="24"/>
          <w:szCs w:val="24"/>
        </w:rPr>
      </w:pPr>
      <w:r>
        <w:rPr>
          <w:b/>
          <w:bCs/>
          <w:sz w:val="24"/>
          <w:szCs w:val="24"/>
        </w:rPr>
        <w:t>Graph 3: Efficiency Ratios</w:t>
      </w:r>
    </w:p>
    <w:p w14:paraId="7CDE8D02">
      <w:pPr>
        <w:pStyle w:val="3"/>
        <w:spacing w:line="360" w:lineRule="auto"/>
        <w:jc w:val="center"/>
        <w:rPr>
          <w:sz w:val="24"/>
          <w:szCs w:val="24"/>
        </w:rPr>
      </w:pPr>
      <w:r>
        <w:rPr>
          <w:sz w:val="24"/>
          <w:szCs w:val="24"/>
        </w:rPr>
        <w:t>(Source: Annual Report Data)</w:t>
      </w:r>
    </w:p>
    <w:p w14:paraId="2CF50F6D">
      <w:pPr>
        <w:pStyle w:val="3"/>
        <w:spacing w:line="360" w:lineRule="auto"/>
        <w:jc w:val="both"/>
        <w:rPr>
          <w:sz w:val="24"/>
          <w:szCs w:val="24"/>
        </w:rPr>
      </w:pPr>
      <w:r>
        <w:rPr>
          <w:sz w:val="24"/>
          <w:szCs w:val="24"/>
        </w:rPr>
        <w:t>Irrespective of the declining asset turnover ratio, the key strength of VW includes the consistent generation of around €0.50 worth of revenue for every €1 of its assets, which is significantly effective in the automotive industry, given the high investment. Following that, the company has a disciplined supply chain, resulting in moderate inventory days even during a concerning global logistics scenario. However, the major threat includes delays in the division of Cariad software, preventing the launch of new models from acquiring adequate market share, leading to inventory concerns.</w:t>
      </w:r>
    </w:p>
    <w:p w14:paraId="14C4675C">
      <w:pPr>
        <w:pStyle w:val="3"/>
        <w:spacing w:line="360" w:lineRule="auto"/>
        <w:jc w:val="both"/>
        <w:rPr>
          <w:b/>
          <w:bCs/>
          <w:sz w:val="24"/>
          <w:szCs w:val="24"/>
        </w:rPr>
      </w:pPr>
      <w:r>
        <w:rPr>
          <w:b/>
          <w:bCs/>
          <w:sz w:val="24"/>
          <w:szCs w:val="24"/>
        </w:rPr>
        <w:t>Gearing Ratios</w:t>
      </w:r>
    </w:p>
    <w:p w14:paraId="14BCE970">
      <w:pPr>
        <w:pStyle w:val="3"/>
        <w:spacing w:line="360" w:lineRule="auto"/>
        <w:jc w:val="both"/>
        <w:rPr>
          <w:sz w:val="24"/>
          <w:szCs w:val="24"/>
        </w:rPr>
      </w:pPr>
      <w:r>
        <w:rPr>
          <w:sz w:val="24"/>
          <w:szCs w:val="24"/>
        </w:rPr>
        <w:t xml:space="preserve">These ratios assess the financial leverage of the company, determining the proportion of debt and equity in the capital structure (Dai </w:t>
      </w:r>
      <w:r>
        <w:rPr>
          <w:i/>
          <w:iCs/>
          <w:sz w:val="24"/>
          <w:szCs w:val="24"/>
        </w:rPr>
        <w:t>et al.</w:t>
      </w:r>
      <w:r>
        <w:rPr>
          <w:sz w:val="24"/>
          <w:szCs w:val="24"/>
        </w:rPr>
        <w:t xml:space="preserve"> 2024). In the case of Volkswagen, the gearing ratio attained a consistently declining trend, falling from 1.44 in 2021 to 1.08 in 2023 and then to 0.68 in 2025, showing a higher dependency on equity than debt, which is desirable as it showcases lesser financial risk. However, the Interest Coverage declined from 10.60 in 2021 to 6.29 in 2023 and then to 2.73 in 2025, highlighting the company’s inability to cover its debt-related interest obligations using its operating income, which is undesired.</w:t>
      </w:r>
    </w:p>
    <w:p w14:paraId="2C6F3285">
      <w:pPr>
        <w:pStyle w:val="3"/>
        <w:spacing w:line="360" w:lineRule="auto"/>
        <w:jc w:val="center"/>
        <w:rPr>
          <w:b/>
          <w:bCs/>
          <w:sz w:val="24"/>
          <w:szCs w:val="24"/>
        </w:rPr>
      </w:pPr>
      <w:r>
        <w:rPr>
          <w:b/>
          <w:bCs/>
          <w:sz w:val="24"/>
          <w:szCs w:val="24"/>
          <w:lang w:val="en-US"/>
        </w:rPr>
        <w:drawing>
          <wp:inline distT="114300" distB="114300" distL="114300" distR="114300">
            <wp:extent cx="4619625" cy="279082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6" name="image12.png"/>
                    <pic:cNvPicPr preferRelativeResize="0"/>
                  </pic:nvPicPr>
                  <pic:blipFill>
                    <a:blip r:embed="rId12"/>
                    <a:srcRect/>
                    <a:stretch>
                      <a:fillRect/>
                    </a:stretch>
                  </pic:blipFill>
                  <pic:spPr>
                    <a:xfrm>
                      <a:off x="0" y="0"/>
                      <a:ext cx="4619625" cy="2790825"/>
                    </a:xfrm>
                    <a:prstGeom prst="rect">
                      <a:avLst/>
                    </a:prstGeom>
                  </pic:spPr>
                </pic:pic>
              </a:graphicData>
            </a:graphic>
          </wp:inline>
        </w:drawing>
      </w:r>
    </w:p>
    <w:p w14:paraId="09AE88D0">
      <w:pPr>
        <w:pStyle w:val="3"/>
        <w:spacing w:line="360" w:lineRule="auto"/>
        <w:jc w:val="center"/>
        <w:rPr>
          <w:b/>
          <w:bCs/>
          <w:sz w:val="24"/>
          <w:szCs w:val="24"/>
        </w:rPr>
      </w:pPr>
      <w:r>
        <w:rPr>
          <w:b/>
          <w:bCs/>
          <w:sz w:val="24"/>
          <w:szCs w:val="24"/>
        </w:rPr>
        <w:t>Graph 4: Gearing Ratios</w:t>
      </w:r>
    </w:p>
    <w:p w14:paraId="0D47685D">
      <w:pPr>
        <w:pStyle w:val="3"/>
        <w:spacing w:line="360" w:lineRule="auto"/>
        <w:jc w:val="center"/>
        <w:rPr>
          <w:sz w:val="24"/>
          <w:szCs w:val="24"/>
        </w:rPr>
      </w:pPr>
      <w:r>
        <w:rPr>
          <w:sz w:val="24"/>
          <w:szCs w:val="24"/>
        </w:rPr>
        <w:t>(Source: Annual Report Data)</w:t>
      </w:r>
    </w:p>
    <w:p w14:paraId="7C21C8A2">
      <w:pPr>
        <w:pStyle w:val="3"/>
        <w:spacing w:line="360" w:lineRule="auto"/>
        <w:jc w:val="both"/>
        <w:rPr>
          <w:sz w:val="24"/>
          <w:szCs w:val="24"/>
        </w:rPr>
      </w:pPr>
      <w:r>
        <w:rPr>
          <w:sz w:val="24"/>
          <w:szCs w:val="24"/>
        </w:rPr>
        <w:t>The key strength of the company includes its declining gearing, as it contributes to a lower financial possibility of bankruptcy, highlighting a conservative capital structure of Volkswagen. Following that, the equity of Volkswagen has also increased to €146,154 million in 2021 to €203,054 million, strengthening the balance sheet positively (volkswagen-group.com, 2024). However, the declining profitability is a concerning scenario for the company, making it challenging for Volkswagen to cover its debt interest obligations, resulting in a declining credit rating.</w:t>
      </w:r>
    </w:p>
    <w:p w14:paraId="67E9D721">
      <w:pPr>
        <w:pStyle w:val="3"/>
        <w:spacing w:line="360" w:lineRule="auto"/>
        <w:jc w:val="both"/>
        <w:rPr>
          <w:b/>
          <w:bCs/>
          <w:sz w:val="24"/>
          <w:szCs w:val="24"/>
        </w:rPr>
      </w:pPr>
      <w:r>
        <w:rPr>
          <w:b/>
          <w:bCs/>
          <w:sz w:val="24"/>
          <w:szCs w:val="24"/>
        </w:rPr>
        <w:t>Investment Ratios</w:t>
      </w:r>
    </w:p>
    <w:p w14:paraId="49E182C8">
      <w:pPr>
        <w:pStyle w:val="3"/>
        <w:spacing w:line="360" w:lineRule="auto"/>
        <w:jc w:val="both"/>
        <w:rPr>
          <w:sz w:val="24"/>
          <w:szCs w:val="24"/>
        </w:rPr>
      </w:pPr>
      <w:r>
        <w:rPr>
          <w:sz w:val="24"/>
          <w:szCs w:val="24"/>
        </w:rPr>
        <w:t>These ratios offer insights into the market position of the company, facilitating investment-related decisions (Li, 2026). The Earnings Per Share of Volkswagen initially increased from 30.79 in 2021 to 35.78 in 2023, but then declined to 13.78 in 2025, representing a fallen revenue generation on each share held by the shareholders. Following that, the dividend per share also encountered a fluctuating trend, with an initial increase from 0.015 to 0.018, but then declined to 0.013 in 2025, demonstrating a decline in dividend payments to shareholders by the company.</w:t>
      </w:r>
    </w:p>
    <w:p w14:paraId="1F4D7ACD">
      <w:pPr>
        <w:pStyle w:val="3"/>
        <w:spacing w:line="360" w:lineRule="auto"/>
        <w:jc w:val="center"/>
        <w:rPr>
          <w:b/>
          <w:bCs/>
          <w:sz w:val="24"/>
          <w:szCs w:val="24"/>
        </w:rPr>
      </w:pPr>
      <w:r>
        <w:rPr>
          <w:b/>
          <w:bCs/>
          <w:sz w:val="24"/>
          <w:szCs w:val="24"/>
          <w:lang w:val="en-US"/>
        </w:rPr>
        <w:drawing>
          <wp:inline distT="114300" distB="114300" distL="114300" distR="114300">
            <wp:extent cx="4610100" cy="2790825"/>
            <wp:effectExtent l="0" t="0" r="0" b="0"/>
            <wp:docPr id="3" name="image18.png"/>
            <wp:cNvGraphicFramePr/>
            <a:graphic xmlns:a="http://schemas.openxmlformats.org/drawingml/2006/main">
              <a:graphicData uri="http://schemas.openxmlformats.org/drawingml/2006/picture">
                <pic:pic xmlns:pic="http://schemas.openxmlformats.org/drawingml/2006/picture">
                  <pic:nvPicPr>
                    <pic:cNvPr id="3" name="image18.png"/>
                    <pic:cNvPicPr preferRelativeResize="0"/>
                  </pic:nvPicPr>
                  <pic:blipFill>
                    <a:blip r:embed="rId13"/>
                    <a:srcRect/>
                    <a:stretch>
                      <a:fillRect/>
                    </a:stretch>
                  </pic:blipFill>
                  <pic:spPr>
                    <a:xfrm>
                      <a:off x="0" y="0"/>
                      <a:ext cx="4610100" cy="2790825"/>
                    </a:xfrm>
                    <a:prstGeom prst="rect">
                      <a:avLst/>
                    </a:prstGeom>
                  </pic:spPr>
                </pic:pic>
              </a:graphicData>
            </a:graphic>
          </wp:inline>
        </w:drawing>
      </w:r>
    </w:p>
    <w:p w14:paraId="25771D37">
      <w:pPr>
        <w:pStyle w:val="3"/>
        <w:spacing w:line="360" w:lineRule="auto"/>
        <w:jc w:val="center"/>
        <w:rPr>
          <w:b/>
          <w:bCs/>
          <w:sz w:val="24"/>
          <w:szCs w:val="24"/>
        </w:rPr>
      </w:pPr>
      <w:r>
        <w:rPr>
          <w:b/>
          <w:bCs/>
          <w:sz w:val="24"/>
          <w:szCs w:val="24"/>
        </w:rPr>
        <w:t>Graph 5: Investment Ratios</w:t>
      </w:r>
    </w:p>
    <w:p w14:paraId="247B6587">
      <w:pPr>
        <w:pStyle w:val="3"/>
        <w:spacing w:line="360" w:lineRule="auto"/>
        <w:jc w:val="center"/>
        <w:rPr>
          <w:sz w:val="24"/>
          <w:szCs w:val="24"/>
        </w:rPr>
      </w:pPr>
      <w:r>
        <w:rPr>
          <w:sz w:val="24"/>
          <w:szCs w:val="24"/>
        </w:rPr>
        <w:t>(Source: Annual Report Data)</w:t>
      </w:r>
    </w:p>
    <w:p w14:paraId="6AE336B5">
      <w:pPr>
        <w:pStyle w:val="3"/>
        <w:spacing w:line="360" w:lineRule="auto"/>
        <w:jc w:val="both"/>
        <w:rPr>
          <w:sz w:val="24"/>
          <w:szCs w:val="24"/>
        </w:rPr>
      </w:pPr>
      <w:r>
        <w:rPr>
          <w:sz w:val="24"/>
          <w:szCs w:val="24"/>
        </w:rPr>
        <w:t>As highlighted in the above graph, irrespective of the decline in EPS, Volkswagen maintains consistent reinvestment in EV platforms, contributing to the long-term profitability for investors. Following that, with its robust institutional ownership, the company has secured its blue-chip stock, contributing to its strengths. However, the failure of Volkswagen to generate higher net profits may make the company ineffective in offering dividends to its shareholders, impacting their confidence and future investment decisions.</w:t>
      </w:r>
    </w:p>
    <w:p w14:paraId="2B53C89F">
      <w:pPr>
        <w:pStyle w:val="4"/>
      </w:pPr>
      <w:bookmarkStart w:id="4" w:name="_Toc225413785"/>
      <w:r>
        <w:t>Cash Flow</w:t>
      </w:r>
      <w:bookmarkEnd w:id="4"/>
      <w:r>
        <w:t xml:space="preserve"> </w:t>
      </w:r>
    </w:p>
    <w:p w14:paraId="52BD8B12">
      <w:pPr>
        <w:pStyle w:val="3"/>
        <w:spacing w:before="240" w:after="240" w:line="360" w:lineRule="auto"/>
        <w:jc w:val="both"/>
        <w:rPr>
          <w:sz w:val="24"/>
          <w:szCs w:val="24"/>
        </w:rPr>
      </w:pPr>
      <w:r>
        <w:rPr>
          <w:sz w:val="24"/>
          <w:szCs w:val="24"/>
        </w:rPr>
        <w:t>According to the five-year (2021 to 2025) annual reports of Volkswagen, a significant industrial shift toward electrification has been observed by the company, attributed to strong investment followed by operational liquidity resilience. The net cash flow, specifically in the Automotive Division, fluctuated consistently, ranging from €8.6 billion to €6.4 billion from 2021 to 2025. Although in 2025, the operating cash flow significantly declined to €8.9 billio, it maintained a strong liquidity standing of around €34.5 billion (volkswagenag.com, 2022). The key reason behind its stabilised scenario is disciplined working capital management alongside the strategy of NEW AUTO, aligning H&amp;D costs with traditional income generation. Thus, VW’s self-financing capability is its major strength, irrespective of its robust investment ratio, allowing the company to undertake additional external debt. However, the increasing US and EU tariffs, specifically on EVs, result in higher energy-associated costs in Germany, followed by price-related competitive threats in China, severely impacting the cash generation capability of the company.</w:t>
      </w:r>
    </w:p>
    <w:p w14:paraId="5D33F8CA">
      <w:pPr>
        <w:pStyle w:val="2"/>
        <w:rPr>
          <w:szCs w:val="24"/>
        </w:rPr>
      </w:pPr>
      <w:bookmarkStart w:id="5" w:name="_Toc225413786"/>
      <w:r>
        <w:rPr>
          <w:szCs w:val="24"/>
        </w:rPr>
        <w:t>2. Working Capital Management Analysis</w:t>
      </w:r>
      <w:bookmarkEnd w:id="5"/>
      <w:r>
        <w:rPr>
          <w:szCs w:val="24"/>
        </w:rPr>
        <w:t xml:space="preserve"> </w:t>
      </w:r>
    </w:p>
    <w:p w14:paraId="1B1023C0">
      <w:pPr>
        <w:pStyle w:val="4"/>
      </w:pPr>
      <w:bookmarkStart w:id="6" w:name="_Toc225413787"/>
      <w:r>
        <w:t>Assessment of the cash operating cycle</w:t>
      </w:r>
      <w:bookmarkEnd w:id="6"/>
    </w:p>
    <w:p w14:paraId="77C6A28E">
      <w:pPr>
        <w:pStyle w:val="3"/>
        <w:spacing w:line="360" w:lineRule="auto"/>
        <w:jc w:val="both"/>
        <w:rPr>
          <w:sz w:val="24"/>
          <w:szCs w:val="24"/>
        </w:rPr>
      </w:pPr>
      <w:r>
        <w:rPr>
          <w:sz w:val="24"/>
          <w:szCs w:val="24"/>
        </w:rPr>
        <w:t>The term Cash Operating Cycle (COC) determines the measurement of time duration between the initial cash outflows for raw materials and the actual receipt of cash from the sale of finished goods (Chang, 2022). For globally operating automobile manufacturers like Volkswagen, the COC is impacted by the complexities of the global supply chain scenarios alongside the distribution network.</w:t>
      </w:r>
    </w:p>
    <w:p w14:paraId="35005DBB">
      <w:pPr>
        <w:pStyle w:val="3"/>
        <w:spacing w:line="360" w:lineRule="auto"/>
        <w:jc w:val="center"/>
        <w:rPr>
          <w:sz w:val="24"/>
          <w:szCs w:val="24"/>
        </w:rPr>
      </w:pPr>
      <w:r>
        <w:rPr>
          <w:sz w:val="24"/>
          <w:szCs w:val="24"/>
          <w:lang w:val="en-US"/>
        </w:rPr>
        <w:drawing>
          <wp:inline distT="114300" distB="114300" distL="114300" distR="114300">
            <wp:extent cx="5943600" cy="2146300"/>
            <wp:effectExtent l="0" t="0" r="0" b="0"/>
            <wp:docPr id="22" name="image16.png"/>
            <wp:cNvGraphicFramePr/>
            <a:graphic xmlns:a="http://schemas.openxmlformats.org/drawingml/2006/main">
              <a:graphicData uri="http://schemas.openxmlformats.org/drawingml/2006/picture">
                <pic:pic xmlns:pic="http://schemas.openxmlformats.org/drawingml/2006/picture">
                  <pic:nvPicPr>
                    <pic:cNvPr id="22" name="image16.png"/>
                    <pic:cNvPicPr preferRelativeResize="0"/>
                  </pic:nvPicPr>
                  <pic:blipFill>
                    <a:blip r:embed="rId14"/>
                    <a:srcRect/>
                    <a:stretch>
                      <a:fillRect/>
                    </a:stretch>
                  </pic:blipFill>
                  <pic:spPr>
                    <a:xfrm>
                      <a:off x="0" y="0"/>
                      <a:ext cx="5943600" cy="2146300"/>
                    </a:xfrm>
                    <a:prstGeom prst="rect">
                      <a:avLst/>
                    </a:prstGeom>
                  </pic:spPr>
                </pic:pic>
              </a:graphicData>
            </a:graphic>
          </wp:inline>
        </w:drawing>
      </w:r>
    </w:p>
    <w:p w14:paraId="0A862D45">
      <w:pPr>
        <w:pStyle w:val="3"/>
        <w:spacing w:line="360" w:lineRule="auto"/>
        <w:jc w:val="center"/>
        <w:rPr>
          <w:b/>
          <w:bCs/>
          <w:sz w:val="24"/>
          <w:szCs w:val="24"/>
        </w:rPr>
      </w:pPr>
      <w:r>
        <w:rPr>
          <w:b/>
          <w:bCs/>
          <w:sz w:val="24"/>
          <w:szCs w:val="24"/>
        </w:rPr>
        <w:t>Table 1: Working Capital Ratios</w:t>
      </w:r>
    </w:p>
    <w:p w14:paraId="48538318">
      <w:pPr>
        <w:pStyle w:val="3"/>
        <w:spacing w:line="360" w:lineRule="auto"/>
        <w:jc w:val="center"/>
        <w:rPr>
          <w:sz w:val="24"/>
          <w:szCs w:val="24"/>
        </w:rPr>
      </w:pPr>
      <w:r>
        <w:rPr>
          <w:sz w:val="24"/>
          <w:szCs w:val="24"/>
        </w:rPr>
        <w:t>(Source: Annual Reports Data)</w:t>
      </w:r>
    </w:p>
    <w:p w14:paraId="1E34969C">
      <w:pPr>
        <w:pStyle w:val="3"/>
        <w:spacing w:line="360" w:lineRule="auto"/>
        <w:jc w:val="both"/>
        <w:rPr>
          <w:sz w:val="24"/>
          <w:szCs w:val="24"/>
        </w:rPr>
      </w:pPr>
      <w:r>
        <w:rPr>
          <w:b/>
          <w:bCs/>
          <w:sz w:val="24"/>
          <w:szCs w:val="24"/>
        </w:rPr>
        <w:t xml:space="preserve">Inventory Days: </w:t>
      </w:r>
      <w:r>
        <w:rPr>
          <w:sz w:val="24"/>
          <w:szCs w:val="24"/>
        </w:rPr>
        <w:t>As provided in the table, the inventory days initially declined from 78.72 days to 73.96 days in 2023, which increased to 76.03 days in 2025, demonstrating supply chain improvements after the global pandemic. However, the fluctuating trend indicates complications associated with EV transitions. The company often encounters bottleneck inventory, wherein high carrying costs are incurred due to the bottleneck inventory experienced by new EV models.</w:t>
      </w:r>
    </w:p>
    <w:p w14:paraId="71BAFE50">
      <w:pPr>
        <w:pStyle w:val="3"/>
        <w:spacing w:line="360" w:lineRule="auto"/>
        <w:jc w:val="both"/>
        <w:rPr>
          <w:sz w:val="24"/>
          <w:szCs w:val="24"/>
        </w:rPr>
      </w:pPr>
      <w:r>
        <w:rPr>
          <w:b/>
          <w:bCs/>
          <w:sz w:val="24"/>
          <w:szCs w:val="24"/>
        </w:rPr>
        <w:t xml:space="preserve">Receivable Days: </w:t>
      </w:r>
      <w:r>
        <w:rPr>
          <w:sz w:val="24"/>
          <w:szCs w:val="24"/>
        </w:rPr>
        <w:t>A somewhat stable receivable days has been encountered by Volkswagen, from 23.17 days in 2021 to 23.75 days in 2025, indicating the strong ability of the company to secure dues from its debtors and customers with its Financial Services. However, the dealership's sales declined in the past two years, slowing down the cash receivables slightly.</w:t>
      </w:r>
    </w:p>
    <w:p w14:paraId="5519F2F5">
      <w:pPr>
        <w:pStyle w:val="3"/>
        <w:spacing w:line="360" w:lineRule="auto"/>
        <w:jc w:val="both"/>
        <w:rPr>
          <w:b/>
          <w:bCs/>
          <w:sz w:val="24"/>
          <w:szCs w:val="24"/>
        </w:rPr>
      </w:pPr>
      <w:r>
        <w:rPr>
          <w:b/>
          <w:bCs/>
          <w:sz w:val="24"/>
          <w:szCs w:val="24"/>
        </w:rPr>
        <w:t xml:space="preserve">Payable Days: </w:t>
      </w:r>
      <w:r>
        <w:rPr>
          <w:sz w:val="24"/>
          <w:szCs w:val="24"/>
        </w:rPr>
        <w:t>Stability is also maintained in the case of Volkswagen’s payable days, initially increasing from 41.63 days to 41.66 days, but decreasing to 40.63 days, indicating shorter days to clear off dues to creditors or suppliers. This is facilitated by supplier credit, leading to interest-free financing. However, Europe’s increasing energy costs are impacting suppliers’ liquidity, the potentially experiences supply chain disruptions if payable days are stretched.</w:t>
      </w:r>
    </w:p>
    <w:p w14:paraId="3862DD25">
      <w:pPr>
        <w:pStyle w:val="4"/>
      </w:pPr>
      <w:bookmarkStart w:id="7" w:name="_Toc225413788"/>
      <w:r>
        <w:t>Recommended strategies to improve liquidity through working capital reforms</w:t>
      </w:r>
      <w:bookmarkEnd w:id="7"/>
    </w:p>
    <w:p w14:paraId="2124F9A3">
      <w:pPr>
        <w:pStyle w:val="3"/>
        <w:spacing w:before="240" w:after="240" w:line="360" w:lineRule="auto"/>
        <w:jc w:val="both"/>
        <w:rPr>
          <w:sz w:val="24"/>
          <w:szCs w:val="24"/>
        </w:rPr>
      </w:pPr>
      <w:r>
        <w:rPr>
          <w:sz w:val="24"/>
          <w:szCs w:val="24"/>
        </w:rPr>
        <w:t>To intensify liquidity, while restricting the Cash Operating Cycle (COC), the company, Volkswagen, is required to shift from a traditional approach to manufacturing automotive toward a tech-oriented and lean operational model. Some effective structural reforms have been recommended below to effectively utilise untapped capital:</w:t>
      </w:r>
    </w:p>
    <w:p w14:paraId="2CCE9FBE">
      <w:pPr>
        <w:pStyle w:val="3"/>
        <w:spacing w:before="240" w:after="240" w:line="360" w:lineRule="auto"/>
        <w:jc w:val="both"/>
        <w:rPr>
          <w:sz w:val="24"/>
          <w:szCs w:val="24"/>
        </w:rPr>
      </w:pPr>
      <w:r>
        <w:rPr>
          <w:b/>
          <w:bCs/>
          <w:sz w:val="24"/>
          <w:szCs w:val="24"/>
        </w:rPr>
        <w:t xml:space="preserve">Just-in-Time, specifically for Battery Supply Chain: </w:t>
      </w:r>
      <w:r>
        <w:rPr>
          <w:sz w:val="24"/>
          <w:szCs w:val="24"/>
        </w:rPr>
        <w:t xml:space="preserve">With the shift of the company from traditional cars to electric vehicles, given the increasing demand, it has altered the value centre to the battery from the car, amounting to 40% of total costs. Following that, given the NEW AUTO strategy of the company, PowerCo, which is a VW’s subsidiary, is suggested to emphasise the geographical location of its gigafactories using product assembly plants (Choi </w:t>
      </w:r>
      <w:r>
        <w:rPr>
          <w:i/>
          <w:iCs/>
          <w:sz w:val="24"/>
          <w:szCs w:val="24"/>
        </w:rPr>
        <w:t xml:space="preserve">et al. </w:t>
      </w:r>
      <w:r>
        <w:rPr>
          <w:sz w:val="24"/>
          <w:szCs w:val="24"/>
        </w:rPr>
        <w:t>2023). As a result of the reduction in raw materials cost, the lead times are reduced in the inventory holding period, offering liquidity promotion.</w:t>
      </w:r>
    </w:p>
    <w:p w14:paraId="0CDFF126">
      <w:pPr>
        <w:pStyle w:val="3"/>
        <w:spacing w:before="240" w:after="240" w:line="360" w:lineRule="auto"/>
        <w:jc w:val="both"/>
        <w:rPr>
          <w:sz w:val="24"/>
          <w:szCs w:val="24"/>
        </w:rPr>
      </w:pPr>
      <w:r>
        <w:rPr>
          <w:b/>
          <w:bCs/>
          <w:sz w:val="24"/>
          <w:szCs w:val="24"/>
        </w:rPr>
        <w:t xml:space="preserve">Receivables Digitisation and Blockchain Integration: </w:t>
      </w:r>
      <w:r>
        <w:rPr>
          <w:sz w:val="24"/>
          <w:szCs w:val="24"/>
        </w:rPr>
        <w:t xml:space="preserve">The revenue base of Volkswagen is significantly strong, and thus, for its management, instant financial settlement is required. This can be ensured by deploying blockchain-oriented tracking for dealership deliveries, facilitated by the enhancement of automation using a smart-contract-oriented invoicing system, which involves scanning at the distribution centre (Nwulu </w:t>
      </w:r>
      <w:r>
        <w:rPr>
          <w:i/>
          <w:iCs/>
          <w:sz w:val="24"/>
          <w:szCs w:val="24"/>
        </w:rPr>
        <w:t xml:space="preserve">et al. </w:t>
      </w:r>
      <w:r>
        <w:rPr>
          <w:sz w:val="24"/>
          <w:szCs w:val="24"/>
        </w:rPr>
        <w:t>2025). The company would be able to free up an extensive amount of cash with the reduction of receivable cycles, facilitating the Group to invest in Research and Development without pressuring the gearing ratio.</w:t>
      </w:r>
    </w:p>
    <w:p w14:paraId="4B66D30F">
      <w:pPr>
        <w:pStyle w:val="3"/>
        <w:spacing w:before="240" w:after="240" w:line="360" w:lineRule="auto"/>
        <w:jc w:val="both"/>
        <w:rPr>
          <w:sz w:val="24"/>
          <w:szCs w:val="24"/>
        </w:rPr>
      </w:pPr>
      <w:r>
        <w:rPr>
          <w:b/>
          <w:bCs/>
          <w:sz w:val="24"/>
          <w:szCs w:val="24"/>
        </w:rPr>
        <w:t xml:space="preserve">Reducing Complexities and Rationalising Inventory: </w:t>
      </w:r>
      <w:r>
        <w:rPr>
          <w:sz w:val="24"/>
          <w:szCs w:val="24"/>
        </w:rPr>
        <w:t xml:space="preserve">Volkswagen highly promotes customisation, which has imposed a liquidity threat in the prevailing rising EV market. To tackle the model-related complexities, the requirement of safety stocks has increased in global regional centres. The combination of aggressive inventory rationalisation followed by battery motor standardisation would contribute to better inventory turnover, further reducing the presence of dead stock, ensuring faster capital recycling (Pepó </w:t>
      </w:r>
      <w:r>
        <w:rPr>
          <w:i/>
          <w:iCs/>
          <w:sz w:val="24"/>
          <w:szCs w:val="24"/>
        </w:rPr>
        <w:t xml:space="preserve">et al. </w:t>
      </w:r>
      <w:r>
        <w:rPr>
          <w:sz w:val="24"/>
          <w:szCs w:val="24"/>
        </w:rPr>
        <w:t>2025). This would not only reduce COC but also enhance Volkswagen's agility.</w:t>
      </w:r>
    </w:p>
    <w:p w14:paraId="532D6779">
      <w:pPr>
        <w:pStyle w:val="4"/>
      </w:pPr>
      <w:bookmarkStart w:id="8" w:name="_Toc225413789"/>
      <w:r>
        <w:t>Comparison of short-term and long-term financing options</w:t>
      </w:r>
      <w:bookmarkEnd w:id="8"/>
    </w:p>
    <w:p w14:paraId="6DD22ADA">
      <w:pPr>
        <w:pStyle w:val="3"/>
        <w:spacing w:before="240" w:after="240" w:line="360" w:lineRule="auto"/>
        <w:jc w:val="both"/>
        <w:rPr>
          <w:b/>
          <w:bCs/>
          <w:sz w:val="24"/>
          <w:szCs w:val="24"/>
        </w:rPr>
      </w:pPr>
      <w:r>
        <w:rPr>
          <w:sz w:val="24"/>
          <w:szCs w:val="24"/>
        </w:rPr>
        <w:t xml:space="preserve">Financing plays a key role in facilitating the operations of the business, followed by investing in growth-oriented business opportunities (Nicolas, 2022). Therefore, choosing a balanced approach to financing is essential to address the limitations of COC. Volkswagen has a strong credit profile; therefore, selecting short-term and long-term financing instruments requires a detailed assessment of cost, risk, and flexibility. </w:t>
      </w:r>
    </w:p>
    <w:p w14:paraId="0D93F954">
      <w:pPr>
        <w:pStyle w:val="3"/>
        <w:spacing w:before="240" w:after="240" w:line="360" w:lineRule="auto"/>
        <w:jc w:val="both"/>
        <w:rPr>
          <w:b/>
          <w:bCs/>
          <w:sz w:val="24"/>
          <w:szCs w:val="24"/>
        </w:rPr>
      </w:pPr>
      <w:r>
        <w:rPr>
          <w:b/>
          <w:bCs/>
          <w:sz w:val="24"/>
          <w:szCs w:val="24"/>
        </w:rPr>
        <w:t xml:space="preserve">Short Term Financing: </w:t>
      </w:r>
    </w:p>
    <w:p w14:paraId="531FAECF">
      <w:pPr>
        <w:pStyle w:val="3"/>
        <w:spacing w:before="240" w:after="240" w:line="360" w:lineRule="auto"/>
        <w:jc w:val="both"/>
        <w:rPr>
          <w:sz w:val="24"/>
          <w:szCs w:val="24"/>
        </w:rPr>
      </w:pPr>
      <w:r>
        <w:rPr>
          <w:sz w:val="24"/>
          <w:szCs w:val="24"/>
        </w:rPr>
        <w:t>This particular financing process involves the debt obligations which are to be repaid within 1 year, specifically developed to overcome cash flow gaps, working capital requirements or underpin immediate business requirements (Edmans</w:t>
      </w:r>
      <w:r>
        <w:rPr>
          <w:i/>
          <w:iCs/>
          <w:sz w:val="24"/>
          <w:szCs w:val="24"/>
        </w:rPr>
        <w:t xml:space="preserve"> et al. </w:t>
      </w:r>
      <w:r>
        <w:rPr>
          <w:sz w:val="24"/>
          <w:szCs w:val="24"/>
        </w:rPr>
        <w:t xml:space="preserve">2022). This includes options, like bank overdrafts and commercial papers, facilitating the management of seasonal variations in vehicle sales. The key advantage of short-term financing is its low interest rates compared to long-term debt financing, allowing Volkswagen to acquire immediate funds to fulfil immediate working capital requirements. However, the key limitations include the risk of rollover, impacting the cost of capital (Hackbarth </w:t>
      </w:r>
      <w:r>
        <w:rPr>
          <w:i/>
          <w:iCs/>
          <w:sz w:val="24"/>
          <w:szCs w:val="24"/>
        </w:rPr>
        <w:t>et al.</w:t>
      </w:r>
      <w:r>
        <w:rPr>
          <w:sz w:val="24"/>
          <w:szCs w:val="24"/>
        </w:rPr>
        <w:t xml:space="preserve"> 2022).</w:t>
      </w:r>
    </w:p>
    <w:p w14:paraId="5F098F0E">
      <w:pPr>
        <w:pStyle w:val="6"/>
        <w:keepNext w:val="0"/>
        <w:keepLines w:val="0"/>
        <w:spacing w:before="240" w:after="40" w:line="360" w:lineRule="auto"/>
        <w:jc w:val="both"/>
        <w:rPr>
          <w:b/>
          <w:bCs/>
          <w:color w:val="000000"/>
        </w:rPr>
      </w:pPr>
      <w:bookmarkStart w:id="9" w:name="_kb3xlwxbywud" w:colFirst="0" w:colLast="0"/>
      <w:bookmarkEnd w:id="9"/>
      <w:r>
        <w:rPr>
          <w:b/>
          <w:bCs/>
          <w:color w:val="000000"/>
        </w:rPr>
        <w:t>Long-Term Financing:</w:t>
      </w:r>
    </w:p>
    <w:p w14:paraId="6B676327">
      <w:pPr>
        <w:pStyle w:val="3"/>
        <w:spacing w:line="360" w:lineRule="auto"/>
        <w:jc w:val="both"/>
        <w:rPr>
          <w:sz w:val="24"/>
          <w:szCs w:val="24"/>
        </w:rPr>
      </w:pPr>
      <w:r>
        <w:rPr>
          <w:sz w:val="24"/>
          <w:szCs w:val="24"/>
        </w:rPr>
        <w:t xml:space="preserve">This type of financing includes the accumulation of capital for a period of more than five years, significant for funding projects, such as machinery, infrastructure, and business expansion (Krinichansky, 2025). Long-term bank loans, corporate bonds, and green bonds are some examples of long-term financing. The major advantage is that permanent initiation of working capital with no sudden repayment obligations facilitates stability. However, a higher interest rate is the key limitation of this financing, impacting the gearing ratio and interest coverage (Xiang </w:t>
      </w:r>
      <w:r>
        <w:rPr>
          <w:i/>
          <w:iCs/>
          <w:sz w:val="24"/>
          <w:szCs w:val="24"/>
        </w:rPr>
        <w:t>et al.</w:t>
      </w:r>
      <w:r>
        <w:rPr>
          <w:sz w:val="24"/>
          <w:szCs w:val="24"/>
        </w:rPr>
        <w:t xml:space="preserve"> 2022).</w:t>
      </w:r>
    </w:p>
    <w:p w14:paraId="1D487461">
      <w:pPr>
        <w:pStyle w:val="3"/>
        <w:spacing w:line="360" w:lineRule="auto"/>
        <w:jc w:val="both"/>
        <w:rPr>
          <w:b/>
          <w:bCs/>
          <w:sz w:val="24"/>
          <w:szCs w:val="24"/>
        </w:rPr>
      </w:pPr>
    </w:p>
    <w:p w14:paraId="182ACAC9">
      <w:pPr>
        <w:pStyle w:val="2"/>
      </w:pPr>
      <w:bookmarkStart w:id="10" w:name="_Toc225413790"/>
      <w:r>
        <w:t>3. Strategic Financial Restructuring Plan</w:t>
      </w:r>
      <w:bookmarkEnd w:id="10"/>
    </w:p>
    <w:p w14:paraId="0EC15E34">
      <w:pPr>
        <w:pStyle w:val="3"/>
        <w:spacing w:line="360" w:lineRule="auto"/>
        <w:jc w:val="both"/>
        <w:rPr>
          <w:sz w:val="24"/>
          <w:szCs w:val="24"/>
        </w:rPr>
      </w:pPr>
      <w:r>
        <w:rPr>
          <w:sz w:val="24"/>
          <w:szCs w:val="24"/>
        </w:rPr>
        <w:t>Considering the prevailing shift to electric vehicles by the global automotive manufacturers, Volkswagen’s strategic position has been at a concerning turning point. The application of the NEW AUTO strategy, emphasising autonomous driving and electrification, certain operational variations coupled with restructuring strategies are required to maintain the financial well-being of the company. Given the assessment of the company’s five-year performance, concerning standings have been revealed, which is, irrespective of the high revenue generation, the profit margins have been comparatively low, around 2.7%, with a similar decline in the interest coverage ratio to 2.73. Therefore, to further protect the financial health of Volkswagen, financial restructuring, supporting shareholder value, capital efficiency, and agility are required.</w:t>
      </w:r>
    </w:p>
    <w:p w14:paraId="00C1D746">
      <w:pPr>
        <w:pStyle w:val="4"/>
      </w:pPr>
      <w:bookmarkStart w:id="11" w:name="_Toc225413791"/>
      <w:r>
        <w:t>Recommended financial restructuring options</w:t>
      </w:r>
      <w:bookmarkEnd w:id="11"/>
      <w:r>
        <w:t xml:space="preserve"> </w:t>
      </w:r>
    </w:p>
    <w:p w14:paraId="3AAE77D3">
      <w:pPr>
        <w:pStyle w:val="3"/>
        <w:spacing w:before="240" w:after="240" w:line="360" w:lineRule="auto"/>
        <w:jc w:val="both"/>
        <w:rPr>
          <w:sz w:val="24"/>
          <w:szCs w:val="24"/>
        </w:rPr>
      </w:pPr>
      <w:r>
        <w:rPr>
          <w:b/>
          <w:bCs/>
          <w:sz w:val="24"/>
          <w:szCs w:val="24"/>
        </w:rPr>
        <w:t xml:space="preserve">Divestment of Non-Core Assets: </w:t>
      </w:r>
      <w:r>
        <w:rPr>
          <w:sz w:val="24"/>
          <w:szCs w:val="24"/>
        </w:rPr>
        <w:t>Based on the financial statements of the company, the prevailing financial structure of Volkswagen comprises significant complexities alongside an extensive brand portfolio and suppliers (volkswagen-group.com, 2025). Therefore, a “Focus on Core” strategy is recommended. For this, the company is required to divest a particular portion of its specialised divisions or non-core assets that fail to relate to the company’s unified “Scalable Systems Platform”. This would allow the company to effectively put its core assets to use and derive profile outcomes. This is because divesting PowerCo or any other non-core assets would facilitate the acquisition of external financing, minimising the direct pressure on capital on the balance sheet of the company, while further maintaining control.</w:t>
      </w:r>
    </w:p>
    <w:p w14:paraId="0FF9521A">
      <w:pPr>
        <w:pStyle w:val="3"/>
        <w:spacing w:before="240" w:after="240" w:line="360" w:lineRule="auto"/>
        <w:jc w:val="both"/>
        <w:rPr>
          <w:sz w:val="24"/>
          <w:szCs w:val="24"/>
        </w:rPr>
      </w:pPr>
      <w:r>
        <w:rPr>
          <w:b/>
          <w:bCs/>
          <w:sz w:val="24"/>
          <w:szCs w:val="24"/>
        </w:rPr>
        <w:t xml:space="preserve">Green Private Placements Using Equity: </w:t>
      </w:r>
      <w:r>
        <w:rPr>
          <w:sz w:val="24"/>
          <w:szCs w:val="24"/>
        </w:rPr>
        <w:t>The prevailing debt-equity ratio of Volkswagen stands at 0.68, highlighting an effective equity-debt management of the company compared to its performance in 2021. However, considering the requirements of gigafactories alongside the rising interest debt, the acquisition of capital using equity is recommended. For this, the company is required to issue additional Green Equity or convertible bonds, particularly to acquire ESG-oriented investors. As a result of this approach, the company will be able to strengthen its equity base and acquire patient capital, which is essential for long-term projects (Mertzanis and Tebourbi, 2025).</w:t>
      </w:r>
    </w:p>
    <w:p w14:paraId="1F9D0AA5">
      <w:pPr>
        <w:pStyle w:val="3"/>
        <w:spacing w:before="240" w:after="240" w:line="360" w:lineRule="auto"/>
        <w:jc w:val="both"/>
        <w:rPr>
          <w:sz w:val="24"/>
          <w:szCs w:val="24"/>
        </w:rPr>
      </w:pPr>
      <w:r>
        <w:rPr>
          <w:b/>
          <w:bCs/>
          <w:sz w:val="24"/>
          <w:szCs w:val="24"/>
        </w:rPr>
        <w:t xml:space="preserve">Strategic Joint Venture for Software: </w:t>
      </w:r>
      <w:r>
        <w:rPr>
          <w:sz w:val="24"/>
          <w:szCs w:val="24"/>
        </w:rPr>
        <w:t>Cariad, the software division of Volkswagen, has significantly impacted the company’s operational and financial efficiency due to delays (volkswagen-group.com, 2025). Therefore, it is recommended that the company opt for a joint venture rather than a full merger with an effective technology company. As a result, the company will be able to share its research and development costs, followed by the acquisition of technical expertise, contributing to the reduction of financial drain and promoting time-to-market for upcoming models.</w:t>
      </w:r>
    </w:p>
    <w:p w14:paraId="489B3E67">
      <w:pPr>
        <w:pStyle w:val="4"/>
      </w:pPr>
      <w:bookmarkStart w:id="12" w:name="_Toc225413792"/>
      <w:r>
        <w:t>Evaluation of the impact on shareholder value, debt structure, and operational flexibility</w:t>
      </w:r>
      <w:bookmarkEnd w:id="12"/>
    </w:p>
    <w:p w14:paraId="503DCEC0">
      <w:pPr>
        <w:pStyle w:val="3"/>
        <w:spacing w:before="240" w:after="240" w:line="360" w:lineRule="auto"/>
        <w:jc w:val="both"/>
        <w:rPr>
          <w:sz w:val="24"/>
          <w:szCs w:val="24"/>
        </w:rPr>
      </w:pPr>
      <w:r>
        <w:rPr>
          <w:sz w:val="24"/>
          <w:szCs w:val="24"/>
        </w:rPr>
        <w:t>The suggested restructuring strategies have the capability to influence the performance of the company, Volkswagen, including its debt structure, shareholder value, and overall operational flexibility, which have been individually explored below:</w:t>
      </w:r>
    </w:p>
    <w:p w14:paraId="5590B07C">
      <w:pPr>
        <w:pStyle w:val="3"/>
        <w:spacing w:before="240" w:after="240" w:line="360" w:lineRule="auto"/>
        <w:jc w:val="both"/>
        <w:rPr>
          <w:sz w:val="24"/>
          <w:szCs w:val="24"/>
        </w:rPr>
      </w:pPr>
      <w:r>
        <w:rPr>
          <w:b/>
          <w:bCs/>
          <w:sz w:val="24"/>
          <w:szCs w:val="24"/>
        </w:rPr>
        <w:t xml:space="preserve">Shareholder Value: </w:t>
      </w:r>
      <w:r>
        <w:rPr>
          <w:sz w:val="24"/>
          <w:szCs w:val="24"/>
        </w:rPr>
        <w:t>Restructuring is highlighted as a major intervention to alter the decline of the company’s Earnings Per Share, which declined to €13.78 in 2025 from €35.78 in 2023 (volkswagen-group.com, 2025). The implementation of divestment strategy of the low-performing subsidiary, the company can restrict the conglomerate discount, which has been compressing VW’s market valuation. Technological companies, coupled with battery companies, demand high price-to-earnings multiples compared to the traditional automotive businesses. With the underpinning of hidden value, VW may be effective in securing market re-rating, resulting in an increase in capital for shareholders (volkswagen-group.com, 2025). Following that, a lean corporate structure, aiming to attain 8% to 10% operating margin, further maintains a sustainable dividend policy, allowing the company to maintain a blue-chip investor presence.</w:t>
      </w:r>
    </w:p>
    <w:p w14:paraId="460913B4">
      <w:pPr>
        <w:pStyle w:val="3"/>
        <w:spacing w:before="240" w:after="240" w:line="360" w:lineRule="auto"/>
        <w:jc w:val="both"/>
        <w:rPr>
          <w:sz w:val="24"/>
          <w:szCs w:val="24"/>
        </w:rPr>
      </w:pPr>
      <w:r>
        <w:rPr>
          <w:b/>
          <w:bCs/>
          <w:sz w:val="24"/>
          <w:szCs w:val="24"/>
        </w:rPr>
        <w:t xml:space="preserve">Solvency and Debt Structure: </w:t>
      </w:r>
      <w:r>
        <w:rPr>
          <w:sz w:val="24"/>
          <w:szCs w:val="24"/>
        </w:rPr>
        <w:t xml:space="preserve">The solvency position of the company, Volkswagen, has been highly affected by the fall in the interest coverage ratio, which dipped to around 2.73 in the latest year, 2025. This situation highlights the company’s sensitivity to monetary concerns and the increasing coupon rates. Therefore, the recommended restructuring strategy allows quick deleveraging with the use of proceeds acquired from divestments. This has the potential to increase interest coverage positively. The development of a robust credit rating is highly essential to establish a minimum weighted average cost of capital, specifically during the issuance of green bonds (Kaur </w:t>
      </w:r>
      <w:r>
        <w:rPr>
          <w:i/>
          <w:iCs/>
          <w:sz w:val="24"/>
          <w:szCs w:val="24"/>
        </w:rPr>
        <w:t xml:space="preserve">et al. </w:t>
      </w:r>
      <w:r>
        <w:rPr>
          <w:sz w:val="24"/>
          <w:szCs w:val="24"/>
        </w:rPr>
        <w:t>2023).</w:t>
      </w:r>
    </w:p>
    <w:p w14:paraId="7AD3B156">
      <w:pPr>
        <w:pStyle w:val="3"/>
        <w:spacing w:before="240" w:after="240" w:line="360" w:lineRule="auto"/>
        <w:jc w:val="both"/>
        <w:rPr>
          <w:sz w:val="24"/>
          <w:szCs w:val="24"/>
        </w:rPr>
      </w:pPr>
      <w:r>
        <w:rPr>
          <w:b/>
          <w:bCs/>
          <w:sz w:val="24"/>
          <w:szCs w:val="24"/>
        </w:rPr>
        <w:t xml:space="preserve">Operational Flexibility: </w:t>
      </w:r>
      <w:r>
        <w:rPr>
          <w:sz w:val="24"/>
          <w:szCs w:val="24"/>
        </w:rPr>
        <w:t xml:space="preserve">An inflexible cost structure is created with the combination of Volkswagen's dual-running EV and Internal Combustion Engine, attributed to the fixed asset depreciation and internal supply chain complexities. The shift towards the variable cost approach, using the divestment of non-core assets, allows VW to attain higher agility. VW would be able to reduce the capacity utilisation from internal to third-party suppliers through sourcing parts from the open market, facilitating production in accordance with the changing global requirements, while simultaneously securing efficiency and effective utilisation of internal factors (Wu </w:t>
      </w:r>
      <w:r>
        <w:rPr>
          <w:i/>
          <w:iCs/>
          <w:sz w:val="24"/>
          <w:szCs w:val="24"/>
        </w:rPr>
        <w:t>et al.</w:t>
      </w:r>
      <w:r>
        <w:rPr>
          <w:sz w:val="24"/>
          <w:szCs w:val="24"/>
        </w:rPr>
        <w:t xml:space="preserve"> 2025).</w:t>
      </w:r>
    </w:p>
    <w:p w14:paraId="2C30AC9B">
      <w:pPr>
        <w:pStyle w:val="4"/>
      </w:pPr>
      <w:bookmarkStart w:id="13" w:name="_Toc225413793"/>
      <w:r>
        <w:t>Inclusion of international and ethical considerations</w:t>
      </w:r>
      <w:bookmarkEnd w:id="13"/>
      <w:r>
        <w:t xml:space="preserve"> </w:t>
      </w:r>
    </w:p>
    <w:p w14:paraId="16F93549">
      <w:pPr>
        <w:pStyle w:val="3"/>
        <w:spacing w:line="360" w:lineRule="auto"/>
        <w:jc w:val="both"/>
        <w:rPr>
          <w:sz w:val="24"/>
          <w:szCs w:val="24"/>
        </w:rPr>
      </w:pPr>
      <w:r>
        <w:rPr>
          <w:sz w:val="24"/>
          <w:szCs w:val="24"/>
        </w:rPr>
        <w:t>Implementing strategies requires several considerations, specifically for globally operating organisations, ranging from taxation, ethics, currency risk, CSR, and inflation. Considering the shift to EV by Volkswagen, the following factors are to be considered:</w:t>
      </w:r>
    </w:p>
    <w:p w14:paraId="5375BB8B">
      <w:pPr>
        <w:pStyle w:val="3"/>
        <w:spacing w:line="360" w:lineRule="auto"/>
        <w:jc w:val="both"/>
        <w:rPr>
          <w:sz w:val="24"/>
          <w:szCs w:val="24"/>
        </w:rPr>
      </w:pPr>
      <w:r>
        <w:rPr>
          <w:b/>
          <w:bCs/>
          <w:sz w:val="24"/>
          <w:szCs w:val="24"/>
        </w:rPr>
        <w:t xml:space="preserve">Taxation and Pricing: </w:t>
      </w:r>
      <w:r>
        <w:rPr>
          <w:sz w:val="24"/>
          <w:szCs w:val="24"/>
        </w:rPr>
        <w:t xml:space="preserve">With the restructuring strategy, specifically using the international battery hubs, the main financial risks associated would be the transfer pricing. To handle this, the company would be required to extensively comply with the Base Erosion and Profit Shifting protocols, allowing the company to overcome reputational risk and regulatory financial obligations rather than applying it as a tax-avoidance practice (Álvarez-Martínez </w:t>
      </w:r>
      <w:r>
        <w:rPr>
          <w:i/>
          <w:iCs/>
          <w:sz w:val="24"/>
          <w:szCs w:val="24"/>
        </w:rPr>
        <w:t>et al.</w:t>
      </w:r>
      <w:r>
        <w:rPr>
          <w:sz w:val="24"/>
          <w:szCs w:val="24"/>
        </w:rPr>
        <w:t xml:space="preserve"> 2022). </w:t>
      </w:r>
    </w:p>
    <w:p w14:paraId="0AE092E4">
      <w:pPr>
        <w:pStyle w:val="3"/>
        <w:spacing w:line="360" w:lineRule="auto"/>
        <w:jc w:val="both"/>
        <w:rPr>
          <w:sz w:val="24"/>
          <w:szCs w:val="24"/>
        </w:rPr>
      </w:pPr>
      <w:r>
        <w:rPr>
          <w:b/>
          <w:bCs/>
          <w:sz w:val="24"/>
          <w:szCs w:val="24"/>
        </w:rPr>
        <w:t xml:space="preserve">Inflation and Currency Risk: </w:t>
      </w:r>
      <w:r>
        <w:rPr>
          <w:sz w:val="24"/>
          <w:szCs w:val="24"/>
        </w:rPr>
        <w:t xml:space="preserve">Due to Volkswagen’s global expansion, it generates high revenue, exposing it to high translation and transaction risk. Therefore, it is essential for the company’s restructuring strategy to contain a centralised treasury, considering forwards and options derivatives to protect against the volatility of the EURO relative to the CNY and the USD. Additionally, the rising inflation has increased VW’s energy and labour expenses, particularly in Germany, pressuring its profit margins. For this, the application of a natural hedging strategy would be suitable, allowing the production unit establishment in locations where the revenues and costs are in alignment and generated in the same currency (Ranasinghe </w:t>
      </w:r>
      <w:r>
        <w:rPr>
          <w:i/>
          <w:iCs/>
          <w:sz w:val="24"/>
          <w:szCs w:val="24"/>
        </w:rPr>
        <w:t>et al.</w:t>
      </w:r>
      <w:r>
        <w:rPr>
          <w:sz w:val="24"/>
          <w:szCs w:val="24"/>
        </w:rPr>
        <w:t xml:space="preserve"> 2022).</w:t>
      </w:r>
    </w:p>
    <w:p w14:paraId="0AF40362">
      <w:pPr>
        <w:pStyle w:val="3"/>
        <w:spacing w:line="360" w:lineRule="auto"/>
        <w:jc w:val="both"/>
        <w:rPr>
          <w:b/>
          <w:bCs/>
          <w:sz w:val="24"/>
          <w:szCs w:val="24"/>
        </w:rPr>
      </w:pPr>
      <w:r>
        <w:rPr>
          <w:b/>
          <w:bCs/>
          <w:sz w:val="24"/>
          <w:szCs w:val="24"/>
        </w:rPr>
        <w:t xml:space="preserve">Ethics and Corporate Social Responsibility: </w:t>
      </w:r>
      <w:r>
        <w:rPr>
          <w:sz w:val="24"/>
          <w:szCs w:val="24"/>
        </w:rPr>
        <w:t xml:space="preserve">Ethicality and the growing need to comply with corporate social responsibility are two main significant factors in the current business scenario. Using the PowerCom, Volkswagen develops its own supply chain of batteries, resulting in increased ethical complications related to material sourcing. Therefore, restructuring is required to maintain and comply with a framework for responsible sourcing. Following this, labour relations are also essential to maintain due to the strong involvement of labour in the production process and the significant impact of restructuring on the same. Therefore, it is essential to offer retraining opportunities to labourers related to EV production and software employees rather than deploying mass redundancies. </w:t>
      </w:r>
    </w:p>
    <w:p w14:paraId="6FB5AC21">
      <w:pPr>
        <w:pStyle w:val="2"/>
      </w:pPr>
      <w:bookmarkStart w:id="14" w:name="_Toc225413794"/>
      <w:r>
        <w:t>4. Investment Appraisal and Capital Budgeting</w:t>
      </w:r>
      <w:bookmarkEnd w:id="14"/>
      <w:r>
        <w:t xml:space="preserve"> </w:t>
      </w:r>
    </w:p>
    <w:p w14:paraId="306A12D9">
      <w:pPr>
        <w:pStyle w:val="4"/>
      </w:pPr>
      <w:bookmarkStart w:id="15" w:name="_Toc225413795"/>
      <w:r>
        <w:t>Selection between three proposed investment projects</w:t>
      </w:r>
      <w:bookmarkEnd w:id="15"/>
    </w:p>
    <w:p w14:paraId="77E952AF">
      <w:pPr>
        <w:pStyle w:val="3"/>
        <w:spacing w:line="360" w:lineRule="auto"/>
        <w:jc w:val="both"/>
        <w:rPr>
          <w:b/>
          <w:bCs/>
          <w:sz w:val="24"/>
          <w:szCs w:val="24"/>
        </w:rPr>
      </w:pPr>
      <w:r>
        <w:rPr>
          <w:b/>
          <w:bCs/>
          <w:sz w:val="24"/>
          <w:szCs w:val="24"/>
        </w:rPr>
        <w:t>Payback Period</w:t>
      </w:r>
    </w:p>
    <w:p w14:paraId="54BC98F8">
      <w:pPr>
        <w:pStyle w:val="3"/>
        <w:spacing w:line="360" w:lineRule="auto"/>
        <w:jc w:val="center"/>
        <w:rPr>
          <w:b/>
          <w:bCs/>
          <w:sz w:val="24"/>
          <w:szCs w:val="24"/>
        </w:rPr>
      </w:pPr>
      <w:r>
        <w:rPr>
          <w:b/>
          <w:bCs/>
          <w:sz w:val="24"/>
          <w:szCs w:val="24"/>
          <w:lang w:val="en-US"/>
        </w:rPr>
        <w:drawing>
          <wp:inline distT="114300" distB="114300" distL="114300" distR="114300">
            <wp:extent cx="5943600" cy="723900"/>
            <wp:effectExtent l="0" t="0" r="0" b="0"/>
            <wp:docPr id="16" name="image21.png"/>
            <wp:cNvGraphicFramePr/>
            <a:graphic xmlns:a="http://schemas.openxmlformats.org/drawingml/2006/main">
              <a:graphicData uri="http://schemas.openxmlformats.org/drawingml/2006/picture">
                <pic:pic xmlns:pic="http://schemas.openxmlformats.org/drawingml/2006/picture">
                  <pic:nvPicPr>
                    <pic:cNvPr id="16" name="image21.png"/>
                    <pic:cNvPicPr preferRelativeResize="0"/>
                  </pic:nvPicPr>
                  <pic:blipFill>
                    <a:blip r:embed="rId15"/>
                    <a:srcRect/>
                    <a:stretch>
                      <a:fillRect/>
                    </a:stretch>
                  </pic:blipFill>
                  <pic:spPr>
                    <a:xfrm>
                      <a:off x="0" y="0"/>
                      <a:ext cx="5943600" cy="723900"/>
                    </a:xfrm>
                    <a:prstGeom prst="rect">
                      <a:avLst/>
                    </a:prstGeom>
                  </pic:spPr>
                </pic:pic>
              </a:graphicData>
            </a:graphic>
          </wp:inline>
        </w:drawing>
      </w:r>
    </w:p>
    <w:p w14:paraId="29F9952C">
      <w:pPr>
        <w:pStyle w:val="3"/>
        <w:spacing w:line="360" w:lineRule="auto"/>
        <w:jc w:val="center"/>
        <w:rPr>
          <w:b/>
          <w:bCs/>
          <w:sz w:val="24"/>
          <w:szCs w:val="24"/>
        </w:rPr>
      </w:pPr>
      <w:r>
        <w:rPr>
          <w:b/>
          <w:bCs/>
          <w:sz w:val="24"/>
          <w:szCs w:val="24"/>
        </w:rPr>
        <w:t>Table 2: PBP</w:t>
      </w:r>
    </w:p>
    <w:p w14:paraId="6ABEF14D">
      <w:pPr>
        <w:pStyle w:val="3"/>
        <w:spacing w:line="360" w:lineRule="auto"/>
        <w:jc w:val="center"/>
        <w:rPr>
          <w:sz w:val="24"/>
          <w:szCs w:val="24"/>
        </w:rPr>
      </w:pPr>
      <w:r>
        <w:rPr>
          <w:sz w:val="24"/>
          <w:szCs w:val="24"/>
        </w:rPr>
        <w:t>(Source: Using Provided Information)</w:t>
      </w:r>
    </w:p>
    <w:p w14:paraId="231A75CE">
      <w:pPr>
        <w:pStyle w:val="3"/>
        <w:spacing w:line="360" w:lineRule="auto"/>
        <w:jc w:val="both"/>
        <w:rPr>
          <w:sz w:val="24"/>
          <w:szCs w:val="24"/>
        </w:rPr>
      </w:pPr>
      <w:r>
        <w:rPr>
          <w:sz w:val="24"/>
          <w:szCs w:val="24"/>
        </w:rPr>
        <w:t xml:space="preserve">Payback Period determines the required time for an investment to recover the initial investment (Dai </w:t>
      </w:r>
      <w:r>
        <w:rPr>
          <w:i/>
          <w:iCs/>
          <w:sz w:val="24"/>
          <w:szCs w:val="24"/>
        </w:rPr>
        <w:t>et al.</w:t>
      </w:r>
      <w:r>
        <w:rPr>
          <w:sz w:val="24"/>
          <w:szCs w:val="24"/>
        </w:rPr>
        <w:t xml:space="preserve"> 2022). A shorter payback period is preferable for companies due to liquidity risk mitigation. The calculation showcases the PBP of Project A to be 4.50 years, Project B to be 4.55 years, and Project C to be 3.6 years. Comparatively, Project C would be a viable choice given the quicker recovery of the £50 million worth initial investment in 3.6 years, leading to faster regeneration of the invested amount, reducing liquidity risks, which is essential, given the recent fall in Volkswagen’s quick ratio.</w:t>
      </w:r>
    </w:p>
    <w:p w14:paraId="69F14BC3">
      <w:pPr>
        <w:pStyle w:val="3"/>
        <w:spacing w:line="360" w:lineRule="auto"/>
        <w:jc w:val="both"/>
        <w:rPr>
          <w:b/>
          <w:bCs/>
          <w:sz w:val="24"/>
          <w:szCs w:val="24"/>
        </w:rPr>
      </w:pPr>
      <w:r>
        <w:rPr>
          <w:b/>
          <w:bCs/>
          <w:sz w:val="24"/>
          <w:szCs w:val="24"/>
        </w:rPr>
        <w:t>Accounting Rate of Return</w:t>
      </w:r>
    </w:p>
    <w:p w14:paraId="6D515F07">
      <w:pPr>
        <w:pStyle w:val="3"/>
        <w:spacing w:line="360" w:lineRule="auto"/>
        <w:jc w:val="center"/>
        <w:rPr>
          <w:b/>
          <w:bCs/>
          <w:sz w:val="24"/>
          <w:szCs w:val="24"/>
        </w:rPr>
      </w:pPr>
      <w:r>
        <w:rPr>
          <w:b/>
          <w:bCs/>
          <w:sz w:val="24"/>
          <w:szCs w:val="24"/>
          <w:lang w:val="en-US"/>
        </w:rPr>
        <w:drawing>
          <wp:inline distT="114300" distB="114300" distL="114300" distR="114300">
            <wp:extent cx="5943600" cy="812800"/>
            <wp:effectExtent l="0" t="0" r="0" b="0"/>
            <wp:docPr id="14" name="image23.png"/>
            <wp:cNvGraphicFramePr/>
            <a:graphic xmlns:a="http://schemas.openxmlformats.org/drawingml/2006/main">
              <a:graphicData uri="http://schemas.openxmlformats.org/drawingml/2006/picture">
                <pic:pic xmlns:pic="http://schemas.openxmlformats.org/drawingml/2006/picture">
                  <pic:nvPicPr>
                    <pic:cNvPr id="14" name="image23.png"/>
                    <pic:cNvPicPr preferRelativeResize="0"/>
                  </pic:nvPicPr>
                  <pic:blipFill>
                    <a:blip r:embed="rId16"/>
                    <a:srcRect/>
                    <a:stretch>
                      <a:fillRect/>
                    </a:stretch>
                  </pic:blipFill>
                  <pic:spPr>
                    <a:xfrm>
                      <a:off x="0" y="0"/>
                      <a:ext cx="5943600" cy="812800"/>
                    </a:xfrm>
                    <a:prstGeom prst="rect">
                      <a:avLst/>
                    </a:prstGeom>
                  </pic:spPr>
                </pic:pic>
              </a:graphicData>
            </a:graphic>
          </wp:inline>
        </w:drawing>
      </w:r>
    </w:p>
    <w:p w14:paraId="0BE3E1AD">
      <w:pPr>
        <w:pStyle w:val="3"/>
        <w:spacing w:line="360" w:lineRule="auto"/>
        <w:jc w:val="center"/>
        <w:rPr>
          <w:b/>
          <w:bCs/>
          <w:sz w:val="24"/>
          <w:szCs w:val="24"/>
        </w:rPr>
      </w:pPr>
      <w:r>
        <w:rPr>
          <w:b/>
          <w:bCs/>
          <w:sz w:val="24"/>
          <w:szCs w:val="24"/>
        </w:rPr>
        <w:t>Table 3: ARR</w:t>
      </w:r>
    </w:p>
    <w:p w14:paraId="1053A03F">
      <w:pPr>
        <w:pStyle w:val="3"/>
        <w:spacing w:line="360" w:lineRule="auto"/>
        <w:jc w:val="center"/>
        <w:rPr>
          <w:b/>
          <w:bCs/>
          <w:sz w:val="24"/>
          <w:szCs w:val="24"/>
        </w:rPr>
      </w:pPr>
      <w:r>
        <w:rPr>
          <w:sz w:val="24"/>
          <w:szCs w:val="24"/>
        </w:rPr>
        <w:t>(Source: Using Provided Information)</w:t>
      </w:r>
    </w:p>
    <w:p w14:paraId="53399BB7">
      <w:pPr>
        <w:pStyle w:val="3"/>
        <w:spacing w:line="360" w:lineRule="auto"/>
        <w:jc w:val="both"/>
        <w:rPr>
          <w:sz w:val="24"/>
          <w:szCs w:val="24"/>
        </w:rPr>
      </w:pPr>
      <w:r>
        <w:rPr>
          <w:sz w:val="24"/>
          <w:szCs w:val="24"/>
        </w:rPr>
        <w:t>Accounting Rate of Return assesses the profitability of a given investment through the comparison of the average annual profit of the invested capital (Maheshwari</w:t>
      </w:r>
      <w:r>
        <w:rPr>
          <w:i/>
          <w:iCs/>
          <w:sz w:val="24"/>
          <w:szCs w:val="24"/>
        </w:rPr>
        <w:t xml:space="preserve"> et al. </w:t>
      </w:r>
      <w:r>
        <w:rPr>
          <w:sz w:val="24"/>
          <w:szCs w:val="24"/>
        </w:rPr>
        <w:t>2024). Based on the calculations, the ARR of Project A is at 3.2%, Project B is at 4%, and Project B is at 12%. Considering the highest ARR of Project C, it is considered viable for a well-established company like Volkswagen. This high ARR demonstrates the company’s potential ability to gain profitability in the following years, overcoming the challenge of compressed Return on Capital Employed.</w:t>
      </w:r>
    </w:p>
    <w:p w14:paraId="636A18AE">
      <w:pPr>
        <w:pStyle w:val="3"/>
        <w:spacing w:line="360" w:lineRule="auto"/>
        <w:jc w:val="both"/>
        <w:rPr>
          <w:b/>
          <w:bCs/>
          <w:sz w:val="24"/>
          <w:szCs w:val="24"/>
        </w:rPr>
      </w:pPr>
      <w:r>
        <w:rPr>
          <w:b/>
          <w:bCs/>
          <w:sz w:val="24"/>
          <w:szCs w:val="24"/>
        </w:rPr>
        <w:t>Net Present Value</w:t>
      </w:r>
    </w:p>
    <w:p w14:paraId="59C90D19">
      <w:pPr>
        <w:pStyle w:val="3"/>
        <w:spacing w:line="360" w:lineRule="auto"/>
        <w:jc w:val="center"/>
        <w:rPr>
          <w:b/>
          <w:bCs/>
          <w:sz w:val="24"/>
          <w:szCs w:val="24"/>
        </w:rPr>
      </w:pPr>
      <w:r>
        <w:rPr>
          <w:b/>
          <w:bCs/>
          <w:sz w:val="24"/>
          <w:szCs w:val="24"/>
          <w:lang w:val="en-US"/>
        </w:rPr>
        <w:drawing>
          <wp:inline distT="114300" distB="114300" distL="114300" distR="114300">
            <wp:extent cx="5943600" cy="914400"/>
            <wp:effectExtent l="0" t="0" r="0" b="0"/>
            <wp:docPr id="23" name="image24.png"/>
            <wp:cNvGraphicFramePr/>
            <a:graphic xmlns:a="http://schemas.openxmlformats.org/drawingml/2006/main">
              <a:graphicData uri="http://schemas.openxmlformats.org/drawingml/2006/picture">
                <pic:pic xmlns:pic="http://schemas.openxmlformats.org/drawingml/2006/picture">
                  <pic:nvPicPr>
                    <pic:cNvPr id="23" name="image24.png"/>
                    <pic:cNvPicPr preferRelativeResize="0"/>
                  </pic:nvPicPr>
                  <pic:blipFill>
                    <a:blip r:embed="rId17"/>
                    <a:srcRect/>
                    <a:stretch>
                      <a:fillRect/>
                    </a:stretch>
                  </pic:blipFill>
                  <pic:spPr>
                    <a:xfrm>
                      <a:off x="0" y="0"/>
                      <a:ext cx="5943600" cy="914400"/>
                    </a:xfrm>
                    <a:prstGeom prst="rect">
                      <a:avLst/>
                    </a:prstGeom>
                  </pic:spPr>
                </pic:pic>
              </a:graphicData>
            </a:graphic>
          </wp:inline>
        </w:drawing>
      </w:r>
    </w:p>
    <w:p w14:paraId="0107536C">
      <w:pPr>
        <w:pStyle w:val="3"/>
        <w:spacing w:line="360" w:lineRule="auto"/>
        <w:jc w:val="center"/>
        <w:rPr>
          <w:b/>
          <w:bCs/>
          <w:sz w:val="24"/>
          <w:szCs w:val="24"/>
        </w:rPr>
      </w:pPr>
      <w:r>
        <w:rPr>
          <w:b/>
          <w:bCs/>
          <w:sz w:val="24"/>
          <w:szCs w:val="24"/>
        </w:rPr>
        <w:t>Table 4: NPV</w:t>
      </w:r>
    </w:p>
    <w:p w14:paraId="1142BE1C">
      <w:pPr>
        <w:pStyle w:val="3"/>
        <w:spacing w:line="360" w:lineRule="auto"/>
        <w:jc w:val="center"/>
        <w:rPr>
          <w:sz w:val="24"/>
          <w:szCs w:val="24"/>
        </w:rPr>
      </w:pPr>
      <w:r>
        <w:rPr>
          <w:sz w:val="24"/>
          <w:szCs w:val="24"/>
        </w:rPr>
        <w:t>(Source: Using Provided Information)</w:t>
      </w:r>
    </w:p>
    <w:p w14:paraId="3A4BCCF5">
      <w:pPr>
        <w:pStyle w:val="3"/>
        <w:spacing w:line="360" w:lineRule="auto"/>
        <w:jc w:val="both"/>
        <w:rPr>
          <w:sz w:val="24"/>
          <w:szCs w:val="24"/>
        </w:rPr>
      </w:pPr>
      <w:r>
        <w:rPr>
          <w:sz w:val="24"/>
          <w:szCs w:val="24"/>
        </w:rPr>
        <w:t>Net Present Value is the difference between the current value of the future cash inflows and outflows (Shou, 2022). The provided table highlights the NPV of Project A to be -£8.63 million, Project B to be -£8.31 million, and Project C to be -£2.00 million. Based on this, Project C is considered to be comparatively viable as a higher and positive value is considered profitable. Although all projects have generated negative NPV, the value of Project C is more suitable than the rest, making it a long-term choice.</w:t>
      </w:r>
    </w:p>
    <w:p w14:paraId="3858BD6C">
      <w:pPr>
        <w:pStyle w:val="3"/>
        <w:spacing w:line="360" w:lineRule="auto"/>
        <w:jc w:val="both"/>
        <w:rPr>
          <w:b/>
          <w:bCs/>
          <w:sz w:val="24"/>
          <w:szCs w:val="24"/>
        </w:rPr>
      </w:pPr>
      <w:r>
        <w:rPr>
          <w:b/>
          <w:bCs/>
          <w:sz w:val="24"/>
          <w:szCs w:val="24"/>
        </w:rPr>
        <w:t>Profitability Index</w:t>
      </w:r>
    </w:p>
    <w:p w14:paraId="364CCA63">
      <w:pPr>
        <w:pStyle w:val="3"/>
        <w:spacing w:line="360" w:lineRule="auto"/>
        <w:jc w:val="center"/>
        <w:rPr>
          <w:b/>
          <w:bCs/>
          <w:sz w:val="24"/>
          <w:szCs w:val="24"/>
        </w:rPr>
      </w:pPr>
      <w:r>
        <w:rPr>
          <w:b/>
          <w:bCs/>
          <w:sz w:val="24"/>
          <w:szCs w:val="24"/>
          <w:lang w:val="en-US"/>
        </w:rPr>
        <w:drawing>
          <wp:inline distT="114300" distB="114300" distL="114300" distR="114300">
            <wp:extent cx="5943600" cy="965200"/>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20" name="image17.png"/>
                    <pic:cNvPicPr preferRelativeResize="0"/>
                  </pic:nvPicPr>
                  <pic:blipFill>
                    <a:blip r:embed="rId18"/>
                    <a:srcRect/>
                    <a:stretch>
                      <a:fillRect/>
                    </a:stretch>
                  </pic:blipFill>
                  <pic:spPr>
                    <a:xfrm>
                      <a:off x="0" y="0"/>
                      <a:ext cx="5943600" cy="965200"/>
                    </a:xfrm>
                    <a:prstGeom prst="rect">
                      <a:avLst/>
                    </a:prstGeom>
                  </pic:spPr>
                </pic:pic>
              </a:graphicData>
            </a:graphic>
          </wp:inline>
        </w:drawing>
      </w:r>
    </w:p>
    <w:p w14:paraId="36CC8986">
      <w:pPr>
        <w:pStyle w:val="3"/>
        <w:spacing w:line="360" w:lineRule="auto"/>
        <w:jc w:val="center"/>
        <w:rPr>
          <w:b/>
          <w:bCs/>
          <w:sz w:val="24"/>
          <w:szCs w:val="24"/>
        </w:rPr>
      </w:pPr>
      <w:r>
        <w:rPr>
          <w:b/>
          <w:bCs/>
          <w:sz w:val="24"/>
          <w:szCs w:val="24"/>
        </w:rPr>
        <w:t>Table 5: PI</w:t>
      </w:r>
    </w:p>
    <w:p w14:paraId="076C809A">
      <w:pPr>
        <w:pStyle w:val="3"/>
        <w:spacing w:line="360" w:lineRule="auto"/>
        <w:jc w:val="center"/>
        <w:rPr>
          <w:b/>
          <w:bCs/>
          <w:sz w:val="24"/>
          <w:szCs w:val="24"/>
        </w:rPr>
      </w:pPr>
      <w:r>
        <w:rPr>
          <w:sz w:val="24"/>
          <w:szCs w:val="24"/>
        </w:rPr>
        <w:t>(Source: Using Provided Information)</w:t>
      </w:r>
    </w:p>
    <w:p w14:paraId="4C2A169C">
      <w:pPr>
        <w:pStyle w:val="3"/>
        <w:spacing w:line="360" w:lineRule="auto"/>
        <w:jc w:val="both"/>
        <w:rPr>
          <w:sz w:val="24"/>
          <w:szCs w:val="24"/>
        </w:rPr>
      </w:pPr>
      <w:r>
        <w:rPr>
          <w:sz w:val="24"/>
          <w:szCs w:val="24"/>
        </w:rPr>
        <w:t xml:space="preserve">Profitability Index is another investment appraisal technique which determines the ratio of the current value of the future cash flows relative to the initial cost of investment (Cerciello </w:t>
      </w:r>
      <w:r>
        <w:rPr>
          <w:i/>
          <w:iCs/>
          <w:sz w:val="24"/>
          <w:szCs w:val="24"/>
        </w:rPr>
        <w:t>et al.</w:t>
      </w:r>
      <w:r>
        <w:rPr>
          <w:sz w:val="24"/>
          <w:szCs w:val="24"/>
        </w:rPr>
        <w:t xml:space="preserve"> 2023). In the case of Volkswagen, the PI of Project A is around 0.83, while the PI of Project B and Project C stand at 0.83 and 0.96, respectively. As a higher ratio is considered preferable, as it demonstrates high value creation, Project C is considered comparatively viable, allowing Volkswagen to create value in the long-term with its investment and cash flows.</w:t>
      </w:r>
    </w:p>
    <w:p w14:paraId="3417A821">
      <w:pPr>
        <w:pStyle w:val="3"/>
        <w:spacing w:line="360" w:lineRule="auto"/>
        <w:jc w:val="both"/>
        <w:rPr>
          <w:b/>
          <w:bCs/>
          <w:sz w:val="24"/>
          <w:szCs w:val="24"/>
        </w:rPr>
      </w:pPr>
      <w:r>
        <w:rPr>
          <w:b/>
          <w:bCs/>
          <w:sz w:val="24"/>
          <w:szCs w:val="24"/>
        </w:rPr>
        <w:t>Internal Rate of Return</w:t>
      </w:r>
    </w:p>
    <w:p w14:paraId="2BAE1729">
      <w:pPr>
        <w:pStyle w:val="3"/>
        <w:spacing w:line="360" w:lineRule="auto"/>
        <w:jc w:val="center"/>
        <w:rPr>
          <w:b/>
          <w:bCs/>
          <w:sz w:val="24"/>
          <w:szCs w:val="24"/>
        </w:rPr>
      </w:pPr>
      <w:r>
        <w:rPr>
          <w:b/>
          <w:bCs/>
          <w:sz w:val="24"/>
          <w:szCs w:val="24"/>
          <w:lang w:val="en-US"/>
        </w:rPr>
        <w:drawing>
          <wp:inline distT="114300" distB="114300" distL="114300" distR="114300">
            <wp:extent cx="5943600" cy="444500"/>
            <wp:effectExtent l="0" t="0" r="0" b="0"/>
            <wp:docPr id="24" name="image25.png"/>
            <wp:cNvGraphicFramePr/>
            <a:graphic xmlns:a="http://schemas.openxmlformats.org/drawingml/2006/main">
              <a:graphicData uri="http://schemas.openxmlformats.org/drawingml/2006/picture">
                <pic:pic xmlns:pic="http://schemas.openxmlformats.org/drawingml/2006/picture">
                  <pic:nvPicPr>
                    <pic:cNvPr id="24" name="image25.png"/>
                    <pic:cNvPicPr preferRelativeResize="0"/>
                  </pic:nvPicPr>
                  <pic:blipFill>
                    <a:blip r:embed="rId19"/>
                    <a:srcRect/>
                    <a:stretch>
                      <a:fillRect/>
                    </a:stretch>
                  </pic:blipFill>
                  <pic:spPr>
                    <a:xfrm>
                      <a:off x="0" y="0"/>
                      <a:ext cx="5943600" cy="444500"/>
                    </a:xfrm>
                    <a:prstGeom prst="rect">
                      <a:avLst/>
                    </a:prstGeom>
                  </pic:spPr>
                </pic:pic>
              </a:graphicData>
            </a:graphic>
          </wp:inline>
        </w:drawing>
      </w:r>
    </w:p>
    <w:p w14:paraId="6990727C">
      <w:pPr>
        <w:pStyle w:val="3"/>
        <w:spacing w:line="360" w:lineRule="auto"/>
        <w:jc w:val="center"/>
        <w:rPr>
          <w:b/>
          <w:bCs/>
          <w:sz w:val="24"/>
          <w:szCs w:val="24"/>
        </w:rPr>
      </w:pPr>
      <w:r>
        <w:rPr>
          <w:b/>
          <w:bCs/>
          <w:sz w:val="24"/>
          <w:szCs w:val="24"/>
        </w:rPr>
        <w:t>Table 6: IRR</w:t>
      </w:r>
    </w:p>
    <w:p w14:paraId="4EB729A0">
      <w:pPr>
        <w:pStyle w:val="3"/>
        <w:spacing w:line="360" w:lineRule="auto"/>
        <w:jc w:val="center"/>
        <w:rPr>
          <w:sz w:val="24"/>
          <w:szCs w:val="24"/>
        </w:rPr>
      </w:pPr>
      <w:r>
        <w:rPr>
          <w:sz w:val="24"/>
          <w:szCs w:val="24"/>
        </w:rPr>
        <w:t>(Source: Using Provided Information)</w:t>
      </w:r>
    </w:p>
    <w:p w14:paraId="0F4F2758">
      <w:pPr>
        <w:pStyle w:val="3"/>
        <w:spacing w:line="360" w:lineRule="auto"/>
        <w:jc w:val="both"/>
        <w:rPr>
          <w:sz w:val="24"/>
          <w:szCs w:val="24"/>
        </w:rPr>
      </w:pPr>
      <w:r>
        <w:rPr>
          <w:sz w:val="24"/>
          <w:szCs w:val="24"/>
        </w:rPr>
        <w:t>Internal Rate of Return is the rate at which the net present value of all cash flows an investment is converted to zero (Arjunan, 2022). In the case of Volkswagen, the Project A demonstrates an IRR of -7%, Project B of -6%, and Project C of -1%. As an IRR exceeding the discount rate is considered preferable, the performance of Project C is comparatively viable, demonstrating financial viability in the long-term, which Project A and Project B fail to offer to the company.</w:t>
      </w:r>
    </w:p>
    <w:p w14:paraId="6DBF6A8C">
      <w:pPr>
        <w:pStyle w:val="4"/>
      </w:pPr>
      <w:bookmarkStart w:id="16" w:name="_Toc225413796"/>
      <w:r>
        <w:t>Project Recommendation with Reference to Financial Performance and Non-Financial Risks</w:t>
      </w:r>
      <w:bookmarkEnd w:id="16"/>
    </w:p>
    <w:p w14:paraId="106FFE67">
      <w:pPr>
        <w:pStyle w:val="3"/>
        <w:spacing w:line="360" w:lineRule="auto"/>
        <w:jc w:val="both"/>
        <w:rPr>
          <w:sz w:val="24"/>
          <w:szCs w:val="24"/>
        </w:rPr>
      </w:pPr>
      <w:r>
        <w:rPr>
          <w:sz w:val="24"/>
          <w:szCs w:val="24"/>
        </w:rPr>
        <w:t>Based on the above-presented calculations and interpretations, the company, Volkswagen, is recommended to opt for Project C for investment. This particular suggestion can be justified by referencing the financial performance and non-financial risks of Volkswagen, which have been further explained below:</w:t>
      </w:r>
    </w:p>
    <w:p w14:paraId="09F89E20">
      <w:pPr>
        <w:pStyle w:val="3"/>
        <w:spacing w:line="360" w:lineRule="auto"/>
        <w:jc w:val="both"/>
        <w:rPr>
          <w:b/>
          <w:bCs/>
          <w:sz w:val="24"/>
          <w:szCs w:val="24"/>
        </w:rPr>
      </w:pPr>
      <w:r>
        <w:rPr>
          <w:b/>
          <w:bCs/>
          <w:sz w:val="24"/>
          <w:szCs w:val="24"/>
        </w:rPr>
        <w:t>Financial Performance of Volkswagen:</w:t>
      </w:r>
    </w:p>
    <w:p w14:paraId="555146F5">
      <w:pPr>
        <w:pStyle w:val="3"/>
        <w:spacing w:line="360" w:lineRule="auto"/>
        <w:jc w:val="both"/>
        <w:rPr>
          <w:sz w:val="24"/>
          <w:szCs w:val="24"/>
        </w:rPr>
      </w:pPr>
      <w:r>
        <w:rPr>
          <w:sz w:val="24"/>
          <w:szCs w:val="24"/>
        </w:rPr>
        <w:t>The above-initiated sections, coupled with the annual reports of the company, the 2025 financial health of Volkswagen can be inferred to be concerning in terms of profitability due to a severe decline in its operating margin. Given the global expansion of the company and the requirements of multiple stakeholders, a well-justified capital allocation is demanded by the company, and the investment appraisal outcomes of Project C relate to the primary principle of shareholders, which is wealth maximisation and value creation.</w:t>
      </w:r>
    </w:p>
    <w:p w14:paraId="130C8BB4">
      <w:pPr>
        <w:pStyle w:val="3"/>
        <w:spacing w:line="360" w:lineRule="auto"/>
        <w:jc w:val="both"/>
        <w:rPr>
          <w:sz w:val="24"/>
          <w:szCs w:val="24"/>
        </w:rPr>
      </w:pPr>
      <w:r>
        <w:rPr>
          <w:b/>
          <w:bCs/>
          <w:sz w:val="24"/>
          <w:szCs w:val="24"/>
        </w:rPr>
        <w:t xml:space="preserve">Profitability: </w:t>
      </w:r>
      <w:r>
        <w:rPr>
          <w:sz w:val="24"/>
          <w:szCs w:val="24"/>
        </w:rPr>
        <w:t>The value creation ability of Volkswagen has been highlighted under pressure due to the significant fall in its Earnings Per Share to €13.78 in 2025, which was around €35.78 in 2023 (volkswagen-group.com, 2025). Given the generation of a higher NPV by Project C in the long-term, the company has the capability to expand its intrinsic value in the future. On the other hand, the other two projects may further decline the company’s value, negatively contributed to by their negative IRR and ARR. Investing in Projects A and B would result in the loss of funds, further compressing profitability margins.</w:t>
      </w:r>
    </w:p>
    <w:p w14:paraId="4F3CB446">
      <w:pPr>
        <w:pStyle w:val="3"/>
        <w:spacing w:line="360" w:lineRule="auto"/>
        <w:jc w:val="both"/>
        <w:rPr>
          <w:sz w:val="24"/>
          <w:szCs w:val="24"/>
        </w:rPr>
      </w:pPr>
      <w:r>
        <w:rPr>
          <w:b/>
          <w:bCs/>
          <w:sz w:val="24"/>
          <w:szCs w:val="24"/>
        </w:rPr>
        <w:t xml:space="preserve">Liquidity and Debt: </w:t>
      </w:r>
      <w:r>
        <w:rPr>
          <w:sz w:val="24"/>
          <w:szCs w:val="24"/>
        </w:rPr>
        <w:t>The financial performance has further revealed a declining interest coverage ratio of Volkswagen, which increases the significance of the inflows of cash. This can be effectively handled by the desirable lower Payback Period of 3.6 years, mitigating the liquidity threat. The quicker regeneration of the initial investment worth £50 million would ensure recycling of cash into the automotive segment faster, which is required for the fulfilment of debt service. The inability to time-regenerate the investment cost by Projects A and B may prevent the smooth flow of cash and disrupt further liquidity.</w:t>
      </w:r>
    </w:p>
    <w:p w14:paraId="4304AAD9">
      <w:pPr>
        <w:pStyle w:val="3"/>
        <w:spacing w:line="360" w:lineRule="auto"/>
        <w:jc w:val="both"/>
        <w:rPr>
          <w:b/>
          <w:bCs/>
          <w:sz w:val="24"/>
          <w:szCs w:val="24"/>
        </w:rPr>
      </w:pPr>
      <w:r>
        <w:rPr>
          <w:b/>
          <w:bCs/>
          <w:sz w:val="24"/>
          <w:szCs w:val="24"/>
        </w:rPr>
        <w:t>Non-Financial Risks:</w:t>
      </w:r>
    </w:p>
    <w:p w14:paraId="5D83A059">
      <w:pPr>
        <w:pStyle w:val="3"/>
        <w:spacing w:before="240" w:after="240" w:line="360" w:lineRule="auto"/>
        <w:jc w:val="both"/>
        <w:rPr>
          <w:sz w:val="24"/>
          <w:szCs w:val="24"/>
        </w:rPr>
      </w:pPr>
      <w:r>
        <w:rPr>
          <w:sz w:val="24"/>
          <w:szCs w:val="24"/>
        </w:rPr>
        <w:t>Apart from the income statement and balance sheet of the company, the selection of Project C further offers strategic strength to the shift of Volkswagen from traditional mobility towards next-generation battery architecture. However, certain risks are associated with the investment, which have been further explained below:</w:t>
      </w:r>
    </w:p>
    <w:p w14:paraId="42E27DA5">
      <w:pPr>
        <w:pStyle w:val="3"/>
        <w:spacing w:before="240" w:after="240" w:line="360" w:lineRule="auto"/>
        <w:jc w:val="both"/>
        <w:rPr>
          <w:b/>
          <w:bCs/>
          <w:sz w:val="24"/>
          <w:szCs w:val="24"/>
        </w:rPr>
      </w:pPr>
      <w:r>
        <w:rPr>
          <w:b/>
          <w:bCs/>
          <w:sz w:val="24"/>
          <w:szCs w:val="24"/>
        </w:rPr>
        <w:t xml:space="preserve">Brand Equity and Customer Loyalty: </w:t>
      </w:r>
      <w:r>
        <w:rPr>
          <w:sz w:val="24"/>
          <w:szCs w:val="24"/>
        </w:rPr>
        <w:t>Volkswagen has a strong global presence, contributing to its robust brand equity. However, considering the growing need for sustainability by customers and the initiation of EV vehicles in the market, traditional customers may not promote it. However, the strong cash flow of Project C, specifically in the fourth and fifth years, highlights breakthrough innovation instead of minute enhancements. Additionally, offering quality products with an effective battery range using Project C would further result in customer reengagement in key markets, leading to better margins.</w:t>
      </w:r>
    </w:p>
    <w:p w14:paraId="6F135018">
      <w:pPr>
        <w:pStyle w:val="3"/>
        <w:spacing w:before="240" w:after="240" w:line="360" w:lineRule="auto"/>
        <w:jc w:val="both"/>
        <w:rPr>
          <w:sz w:val="24"/>
          <w:szCs w:val="24"/>
        </w:rPr>
      </w:pPr>
      <w:r>
        <w:rPr>
          <w:b/>
          <w:bCs/>
          <w:sz w:val="24"/>
          <w:szCs w:val="24"/>
        </w:rPr>
        <w:t xml:space="preserve">Management of Regulatory and Political Risks: </w:t>
      </w:r>
      <w:r>
        <w:rPr>
          <w:sz w:val="24"/>
          <w:szCs w:val="24"/>
        </w:rPr>
        <w:t>Due to the company’s global expansion and the capital-intensive nature of the automotive industry, Volkswagen encounters severe geopolitical and regulatory threats. The generation of high carbon emissions by the production and manufacturing hubs of VW may impact its CO2 targets. However, this can be reduced by using locally developed technology and mitigating combustion penalties. However, the inability to maintain a consistent flow of cash may further impact its stability in terms of global trade. This situation can be mitigated by the undertaking of Project C.</w:t>
      </w:r>
    </w:p>
    <w:p w14:paraId="6F388686">
      <w:pPr>
        <w:pStyle w:val="3"/>
        <w:spacing w:before="240" w:after="240" w:line="360" w:lineRule="auto"/>
        <w:jc w:val="both"/>
        <w:rPr>
          <w:sz w:val="24"/>
          <w:szCs w:val="24"/>
        </w:rPr>
      </w:pPr>
      <w:r>
        <w:rPr>
          <w:b/>
          <w:bCs/>
          <w:sz w:val="24"/>
          <w:szCs w:val="24"/>
        </w:rPr>
        <w:t xml:space="preserve">Risks associated with Execution and Operations: </w:t>
      </w:r>
      <w:r>
        <w:rPr>
          <w:sz w:val="24"/>
          <w:szCs w:val="24"/>
        </w:rPr>
        <w:t>Project C highlights a high-risk and high-reward scenario for the company; however, Project B offers a low-return but stable scenario, with Project C requiring quality technical execution. Considering the past performance of Volkswagen, it has undergone significant challenges associated with software integration, resulting in the risk of Project Drift, pushing the optimum cash flow generation of the company to an uncertain future, negatively impacting NPV calculation. The positive cash flows of Project C in the long term effectively maintain the agile framework and decentralisation.</w:t>
      </w:r>
    </w:p>
    <w:p w14:paraId="58C3C9E2">
      <w:pPr>
        <w:pStyle w:val="4"/>
      </w:pPr>
      <w:bookmarkStart w:id="17" w:name="_Toc225413797"/>
      <w:r>
        <w:t>Investment Combination and Capital Rationing</w:t>
      </w:r>
      <w:bookmarkEnd w:id="17"/>
    </w:p>
    <w:p w14:paraId="5810D296">
      <w:pPr>
        <w:pStyle w:val="3"/>
        <w:spacing w:line="360" w:lineRule="auto"/>
        <w:jc w:val="both"/>
        <w:rPr>
          <w:sz w:val="24"/>
          <w:szCs w:val="24"/>
        </w:rPr>
      </w:pPr>
      <w:r>
        <w:rPr>
          <w:sz w:val="24"/>
          <w:szCs w:val="24"/>
        </w:rPr>
        <w:t xml:space="preserve">In the provided capital rationing scenario, wherein the company has around £100 million for investment, Volkswagen is recommended to invest in a combination of projects that not only reduce value destruction but also maintain short-term liquidity. Therefore, complying with Net Present Value, Project C is the most viable one among all, projecting an NPV of -£2 million, which is closer to positive. However, the available £50 million can be put to use to deleverage the available debt of the company, underpinning the fall in the interest coverage ratio of Volkswagen. </w:t>
      </w:r>
    </w:p>
    <w:p w14:paraId="33E98FDE">
      <w:pPr>
        <w:pStyle w:val="3"/>
        <w:spacing w:line="360" w:lineRule="auto"/>
        <w:jc w:val="both"/>
        <w:rPr>
          <w:sz w:val="24"/>
          <w:szCs w:val="24"/>
        </w:rPr>
      </w:pPr>
      <w:r>
        <w:rPr>
          <w:sz w:val="24"/>
          <w:szCs w:val="24"/>
        </w:rPr>
        <w:t>However, given the scenario of utilising the total available budget of £100 million, it would be beneficial for Volkswagen to invest in the combination of Project C and Project B. This is because the combination will play a key role in the minimisation of NPV; the lowest loss of shareholder wealth will be experienced by the company with this combination, whereas the combination of Project A and Project C would result in a greater loss. Along with this, the combination supports strategic diversification of cash flow. Project A offers a comparatively better liquidity position to Volkswagen, with faster regeneration of the investment amount within the span of five years of the projetc’s life cycle. With the undertaking of Project B in addition to Project A, the company may be capable of creating a suitable cash flow position, offering quick internal funding to overcome any volatility associated with the industry.</w:t>
      </w:r>
    </w:p>
    <w:p w14:paraId="30C88F42">
      <w:pPr>
        <w:pStyle w:val="2"/>
      </w:pPr>
      <w:bookmarkStart w:id="18" w:name="_Toc225413798"/>
      <w:r>
        <w:t>Conclusion</w:t>
      </w:r>
      <w:bookmarkEnd w:id="18"/>
      <w:r>
        <w:t xml:space="preserve"> </w:t>
      </w:r>
    </w:p>
    <w:p w14:paraId="38CE0A27">
      <w:pPr>
        <w:pStyle w:val="3"/>
        <w:spacing w:line="360" w:lineRule="auto"/>
        <w:jc w:val="both"/>
        <w:rPr>
          <w:sz w:val="24"/>
          <w:szCs w:val="24"/>
        </w:rPr>
      </w:pPr>
      <w:r>
        <w:rPr>
          <w:sz w:val="24"/>
          <w:szCs w:val="24"/>
        </w:rPr>
        <w:t xml:space="preserve">To conclude the overall report, it can be stated that Volkswagen, one of the largest automobile manufacturers in the world, encountered a major shift in its financial performance in the recent five years from 2021 to 2025. Although the company’s deleveraging strategy reduced its gearing ratio to 0.68 in 2025, its key profitability ratios encountered a consistent fall, which is undesirable. Similarly, the interest coverage ratio also declined in 2025, with liquidity also falling in the stated year. This showcased not only Volkswagen’s inability to meet its interest requirement but also potential future challenges in meeting its short-term debt obligations. Given the three investment options, Project C is identified as the most vibale one, with Project C and Project B as the suitable combination of investment. </w:t>
      </w:r>
    </w:p>
    <w:p w14:paraId="0522831A">
      <w:pPr>
        <w:rPr>
          <w:b/>
          <w:bCs/>
          <w:sz w:val="24"/>
          <w:szCs w:val="24"/>
        </w:rPr>
      </w:pPr>
      <w:r>
        <w:rPr>
          <w:b/>
          <w:bCs/>
          <w:sz w:val="24"/>
          <w:szCs w:val="24"/>
        </w:rPr>
        <w:br w:type="page"/>
      </w:r>
    </w:p>
    <w:p w14:paraId="666BBE91">
      <w:pPr>
        <w:pStyle w:val="2"/>
      </w:pPr>
      <w:bookmarkStart w:id="19" w:name="_Toc225413799"/>
      <w:r>
        <w:t>References</w:t>
      </w:r>
      <w:bookmarkEnd w:id="19"/>
    </w:p>
    <w:p w14:paraId="65E8E5DC">
      <w:pPr>
        <w:pStyle w:val="3"/>
        <w:spacing w:line="360" w:lineRule="auto"/>
        <w:jc w:val="both"/>
        <w:rPr>
          <w:color w:val="222222"/>
          <w:sz w:val="24"/>
          <w:szCs w:val="24"/>
          <w:highlight w:val="white"/>
        </w:rPr>
      </w:pPr>
      <w:r>
        <w:rPr>
          <w:color w:val="222222"/>
          <w:sz w:val="24"/>
          <w:szCs w:val="24"/>
          <w:highlight w:val="white"/>
        </w:rPr>
        <w:t xml:space="preserve">Álvarez-Martínez, M.T., Barrios, S., d'Andria, D., Gesualdo, M., Nicodème, G. and Pycroft, J., (2022). How large is the corporate tax base erosion and profit shifting? A general equilibrium approach. </w:t>
      </w:r>
      <w:r>
        <w:rPr>
          <w:i/>
          <w:iCs/>
          <w:color w:val="222222"/>
          <w:sz w:val="24"/>
          <w:szCs w:val="24"/>
          <w:highlight w:val="white"/>
        </w:rPr>
        <w:t>Economic Systems Research</w:t>
      </w:r>
      <w:r>
        <w:rPr>
          <w:color w:val="222222"/>
          <w:sz w:val="24"/>
          <w:szCs w:val="24"/>
          <w:highlight w:val="white"/>
        </w:rPr>
        <w:t xml:space="preserve">, </w:t>
      </w:r>
      <w:r>
        <w:rPr>
          <w:i/>
          <w:iCs/>
          <w:color w:val="222222"/>
          <w:sz w:val="24"/>
          <w:szCs w:val="24"/>
          <w:highlight w:val="white"/>
        </w:rPr>
        <w:t>34</w:t>
      </w:r>
      <w:r>
        <w:rPr>
          <w:color w:val="222222"/>
          <w:sz w:val="24"/>
          <w:szCs w:val="24"/>
          <w:highlight w:val="white"/>
        </w:rPr>
        <w:t xml:space="preserve">(2), pp.167-198. [Available at: </w:t>
      </w:r>
      <w:r>
        <w:fldChar w:fldCharType="begin"/>
      </w:r>
      <w:r>
        <w:instrText xml:space="preserve"> HYPERLINK "https://www.tandfonline.com/doi/pdf/10.1080/09535314.2020.1865882" \h </w:instrText>
      </w:r>
      <w:r>
        <w:fldChar w:fldCharType="separate"/>
      </w:r>
      <w:r>
        <w:rPr>
          <w:color w:val="1155CC"/>
          <w:sz w:val="24"/>
          <w:szCs w:val="24"/>
          <w:highlight w:val="white"/>
          <w:u w:val="single"/>
        </w:rPr>
        <w:t>https://www.tandfonline.com/doi/pdf/10.1080/09535314.2020.1865882</w:t>
      </w:r>
      <w:r>
        <w:rPr>
          <w:color w:val="1155CC"/>
          <w:sz w:val="24"/>
          <w:szCs w:val="24"/>
          <w:highlight w:val="white"/>
          <w:u w:val="single"/>
        </w:rPr>
        <w:fldChar w:fldCharType="end"/>
      </w:r>
      <w:r>
        <w:rPr>
          <w:color w:val="222222"/>
          <w:sz w:val="24"/>
          <w:szCs w:val="24"/>
          <w:highlight w:val="white"/>
        </w:rPr>
        <w:t xml:space="preserve">] </w:t>
      </w:r>
    </w:p>
    <w:p w14:paraId="569F8602">
      <w:pPr>
        <w:pStyle w:val="3"/>
        <w:spacing w:line="360" w:lineRule="auto"/>
        <w:jc w:val="both"/>
        <w:rPr>
          <w:color w:val="222222"/>
          <w:sz w:val="24"/>
          <w:szCs w:val="24"/>
          <w:highlight w:val="white"/>
        </w:rPr>
      </w:pPr>
      <w:r>
        <w:rPr>
          <w:color w:val="222222"/>
          <w:sz w:val="24"/>
          <w:szCs w:val="24"/>
          <w:highlight w:val="white"/>
        </w:rPr>
        <w:t xml:space="preserve">Arjunan, K., (2022). A new method to estimate NPV and IRR from the capital amortization schedule and the advantages of the new method. </w:t>
      </w:r>
      <w:r>
        <w:rPr>
          <w:i/>
          <w:iCs/>
          <w:color w:val="222222"/>
          <w:sz w:val="24"/>
          <w:szCs w:val="24"/>
          <w:highlight w:val="white"/>
        </w:rPr>
        <w:t>Australasian Accounting, Business and Finance Journal</w:t>
      </w:r>
      <w:r>
        <w:rPr>
          <w:color w:val="222222"/>
          <w:sz w:val="24"/>
          <w:szCs w:val="24"/>
          <w:highlight w:val="white"/>
        </w:rPr>
        <w:t xml:space="preserve">, </w:t>
      </w:r>
      <w:r>
        <w:rPr>
          <w:i/>
          <w:iCs/>
          <w:color w:val="222222"/>
          <w:sz w:val="24"/>
          <w:szCs w:val="24"/>
          <w:highlight w:val="white"/>
        </w:rPr>
        <w:t>16</w:t>
      </w:r>
      <w:r>
        <w:rPr>
          <w:color w:val="222222"/>
          <w:sz w:val="24"/>
          <w:szCs w:val="24"/>
          <w:highlight w:val="white"/>
        </w:rPr>
        <w:t xml:space="preserve">(6). [Available at: </w:t>
      </w:r>
      <w:r>
        <w:fldChar w:fldCharType="begin"/>
      </w:r>
      <w:r>
        <w:instrText xml:space="preserve"> HYPERLINK "https://www.uowoajournals.org/aabfj/article/id/941/download/pdf/" \h </w:instrText>
      </w:r>
      <w:r>
        <w:fldChar w:fldCharType="separate"/>
      </w:r>
      <w:r>
        <w:rPr>
          <w:color w:val="1155CC"/>
          <w:sz w:val="24"/>
          <w:szCs w:val="24"/>
          <w:highlight w:val="white"/>
          <w:u w:val="single"/>
        </w:rPr>
        <w:t>https://www.uowoajournals.org/aabfj/article/id/941/download/pdf/</w:t>
      </w:r>
      <w:r>
        <w:rPr>
          <w:color w:val="1155CC"/>
          <w:sz w:val="24"/>
          <w:szCs w:val="24"/>
          <w:highlight w:val="white"/>
          <w:u w:val="single"/>
        </w:rPr>
        <w:fldChar w:fldCharType="end"/>
      </w:r>
      <w:r>
        <w:rPr>
          <w:color w:val="222222"/>
          <w:sz w:val="24"/>
          <w:szCs w:val="24"/>
          <w:highlight w:val="white"/>
        </w:rPr>
        <w:t xml:space="preserve">] </w:t>
      </w:r>
    </w:p>
    <w:p w14:paraId="1B51593E">
      <w:pPr>
        <w:pStyle w:val="3"/>
        <w:spacing w:line="360" w:lineRule="auto"/>
        <w:jc w:val="both"/>
        <w:rPr>
          <w:color w:val="222222"/>
          <w:sz w:val="24"/>
          <w:szCs w:val="24"/>
          <w:highlight w:val="white"/>
        </w:rPr>
      </w:pPr>
      <w:r>
        <w:rPr>
          <w:color w:val="222222"/>
          <w:sz w:val="24"/>
          <w:szCs w:val="24"/>
          <w:highlight w:val="white"/>
        </w:rPr>
        <w:t xml:space="preserve">Blessing, H. and Sakouvogui, G., (2023). Impact of liquidity and solvency ratios on financial performance: a comprehensive analysis. </w:t>
      </w:r>
      <w:r>
        <w:rPr>
          <w:i/>
          <w:iCs/>
          <w:color w:val="222222"/>
          <w:sz w:val="24"/>
          <w:szCs w:val="24"/>
          <w:highlight w:val="white"/>
        </w:rPr>
        <w:t>Indonesia Auditing Research Journal</w:t>
      </w:r>
      <w:r>
        <w:rPr>
          <w:color w:val="222222"/>
          <w:sz w:val="24"/>
          <w:szCs w:val="24"/>
          <w:highlight w:val="white"/>
        </w:rPr>
        <w:t xml:space="preserve">, </w:t>
      </w:r>
      <w:r>
        <w:rPr>
          <w:i/>
          <w:iCs/>
          <w:color w:val="222222"/>
          <w:sz w:val="24"/>
          <w:szCs w:val="24"/>
          <w:highlight w:val="white"/>
        </w:rPr>
        <w:t>12</w:t>
      </w:r>
      <w:r>
        <w:rPr>
          <w:color w:val="222222"/>
          <w:sz w:val="24"/>
          <w:szCs w:val="24"/>
          <w:highlight w:val="white"/>
        </w:rPr>
        <w:t xml:space="preserve">(3), pp.102-115. [Available at: </w:t>
      </w:r>
      <w:r>
        <w:fldChar w:fldCharType="begin"/>
      </w:r>
      <w:r>
        <w:instrText xml:space="preserve"> HYPERLINK "http://journals.iarn.or.id/index.php/ARJ/article/download/208/141" \h </w:instrText>
      </w:r>
      <w:r>
        <w:fldChar w:fldCharType="separate"/>
      </w:r>
      <w:r>
        <w:rPr>
          <w:color w:val="1155CC"/>
          <w:sz w:val="24"/>
          <w:szCs w:val="24"/>
          <w:highlight w:val="white"/>
          <w:u w:val="single"/>
        </w:rPr>
        <w:t>http://journals.iarn.or.id/index.php/ARJ/article/download/208/141</w:t>
      </w:r>
      <w:r>
        <w:rPr>
          <w:color w:val="1155CC"/>
          <w:sz w:val="24"/>
          <w:szCs w:val="24"/>
          <w:highlight w:val="white"/>
          <w:u w:val="single"/>
        </w:rPr>
        <w:fldChar w:fldCharType="end"/>
      </w:r>
      <w:r>
        <w:rPr>
          <w:color w:val="222222"/>
          <w:sz w:val="24"/>
          <w:szCs w:val="24"/>
          <w:highlight w:val="white"/>
        </w:rPr>
        <w:t xml:space="preserve">] </w:t>
      </w:r>
    </w:p>
    <w:p w14:paraId="1E51B06A">
      <w:pPr>
        <w:pStyle w:val="3"/>
        <w:spacing w:line="360" w:lineRule="auto"/>
        <w:jc w:val="both"/>
        <w:rPr>
          <w:color w:val="222222"/>
          <w:sz w:val="24"/>
          <w:szCs w:val="24"/>
          <w:highlight w:val="white"/>
        </w:rPr>
      </w:pPr>
      <w:r>
        <w:rPr>
          <w:color w:val="222222"/>
          <w:sz w:val="24"/>
          <w:szCs w:val="24"/>
          <w:highlight w:val="white"/>
        </w:rPr>
        <w:t xml:space="preserve">Cerciello, M., Busato, F. and Taddeo, S., (2023). The effect of sustainable business practices on profitability. Accounting for strategic disclosure. </w:t>
      </w:r>
      <w:r>
        <w:rPr>
          <w:i/>
          <w:iCs/>
          <w:color w:val="222222"/>
          <w:sz w:val="24"/>
          <w:szCs w:val="24"/>
          <w:highlight w:val="white"/>
        </w:rPr>
        <w:t>Corporate Social Responsibility and Environmental Management</w:t>
      </w:r>
      <w:r>
        <w:rPr>
          <w:color w:val="222222"/>
          <w:sz w:val="24"/>
          <w:szCs w:val="24"/>
          <w:highlight w:val="white"/>
        </w:rPr>
        <w:t xml:space="preserve">, </w:t>
      </w:r>
      <w:r>
        <w:rPr>
          <w:i/>
          <w:iCs/>
          <w:color w:val="222222"/>
          <w:sz w:val="24"/>
          <w:szCs w:val="24"/>
          <w:highlight w:val="white"/>
        </w:rPr>
        <w:t>30</w:t>
      </w:r>
      <w:r>
        <w:rPr>
          <w:color w:val="222222"/>
          <w:sz w:val="24"/>
          <w:szCs w:val="24"/>
          <w:highlight w:val="white"/>
        </w:rPr>
        <w:t xml:space="preserve">(2), pp.802-819. [Available at: </w:t>
      </w:r>
      <w:r>
        <w:fldChar w:fldCharType="begin"/>
      </w:r>
      <w:r>
        <w:instrText xml:space="preserve"> HYPERLINK "https://onlinelibrary.wiley.com/doi/pdfdirect/10.1002/csr.2389" \h </w:instrText>
      </w:r>
      <w:r>
        <w:fldChar w:fldCharType="separate"/>
      </w:r>
      <w:r>
        <w:rPr>
          <w:color w:val="1155CC"/>
          <w:sz w:val="24"/>
          <w:szCs w:val="24"/>
          <w:highlight w:val="white"/>
          <w:u w:val="single"/>
        </w:rPr>
        <w:t>https://onlinelibrary.wiley.com/doi/pdfdirect/10.1002/csr.2389</w:t>
      </w:r>
      <w:r>
        <w:rPr>
          <w:color w:val="1155CC"/>
          <w:sz w:val="24"/>
          <w:szCs w:val="24"/>
          <w:highlight w:val="white"/>
          <w:u w:val="single"/>
        </w:rPr>
        <w:fldChar w:fldCharType="end"/>
      </w:r>
      <w:r>
        <w:rPr>
          <w:color w:val="222222"/>
          <w:sz w:val="24"/>
          <w:szCs w:val="24"/>
          <w:highlight w:val="white"/>
        </w:rPr>
        <w:t xml:space="preserve">] </w:t>
      </w:r>
    </w:p>
    <w:p w14:paraId="2C86EA98">
      <w:pPr>
        <w:pStyle w:val="3"/>
        <w:spacing w:line="360" w:lineRule="auto"/>
        <w:jc w:val="both"/>
        <w:rPr>
          <w:color w:val="222222"/>
          <w:sz w:val="24"/>
          <w:szCs w:val="24"/>
          <w:highlight w:val="white"/>
        </w:rPr>
      </w:pPr>
      <w:r>
        <w:rPr>
          <w:color w:val="222222"/>
          <w:sz w:val="24"/>
          <w:szCs w:val="24"/>
          <w:highlight w:val="white"/>
        </w:rPr>
        <w:t xml:space="preserve">Chang, C.C., (2022). Cash conversion cycle and corporate performance: Global evidence. In </w:t>
      </w:r>
      <w:r>
        <w:rPr>
          <w:i/>
          <w:iCs/>
          <w:color w:val="222222"/>
          <w:sz w:val="24"/>
          <w:szCs w:val="24"/>
          <w:highlight w:val="white"/>
        </w:rPr>
        <w:t>Encyclopedia of Finance</w:t>
      </w:r>
      <w:r>
        <w:rPr>
          <w:color w:val="222222"/>
          <w:sz w:val="24"/>
          <w:szCs w:val="24"/>
          <w:highlight w:val="white"/>
        </w:rPr>
        <w:t xml:space="preserve"> (pp. 2597-2626). Cham: Springer International Publishing. Switzerland.</w:t>
      </w:r>
    </w:p>
    <w:p w14:paraId="25E8ECCB">
      <w:pPr>
        <w:pStyle w:val="3"/>
        <w:spacing w:line="360" w:lineRule="auto"/>
        <w:jc w:val="both"/>
        <w:rPr>
          <w:color w:val="222222"/>
          <w:sz w:val="24"/>
          <w:szCs w:val="24"/>
          <w:highlight w:val="white"/>
        </w:rPr>
      </w:pPr>
      <w:r>
        <w:rPr>
          <w:color w:val="222222"/>
          <w:sz w:val="24"/>
          <w:szCs w:val="24"/>
          <w:highlight w:val="white"/>
        </w:rPr>
        <w:t xml:space="preserve">Choi, T.Y., Netland, T.H., Sanders, N., Sodhi, M.S. and Wagner, S.M., (2023). Just‐in‐time for supply chains in turbulent times. </w:t>
      </w:r>
      <w:r>
        <w:rPr>
          <w:i/>
          <w:iCs/>
          <w:color w:val="222222"/>
          <w:sz w:val="24"/>
          <w:szCs w:val="24"/>
          <w:highlight w:val="white"/>
        </w:rPr>
        <w:t>Production and Operations Management</w:t>
      </w:r>
      <w:r>
        <w:rPr>
          <w:color w:val="222222"/>
          <w:sz w:val="24"/>
          <w:szCs w:val="24"/>
          <w:highlight w:val="white"/>
        </w:rPr>
        <w:t xml:space="preserve">, </w:t>
      </w:r>
      <w:r>
        <w:rPr>
          <w:i/>
          <w:iCs/>
          <w:color w:val="222222"/>
          <w:sz w:val="24"/>
          <w:szCs w:val="24"/>
          <w:highlight w:val="white"/>
        </w:rPr>
        <w:t>32</w:t>
      </w:r>
      <w:r>
        <w:rPr>
          <w:color w:val="222222"/>
          <w:sz w:val="24"/>
          <w:szCs w:val="24"/>
          <w:highlight w:val="white"/>
        </w:rPr>
        <w:t xml:space="preserve">(7), pp.2331-2340. [Available at: </w:t>
      </w:r>
      <w:r>
        <w:fldChar w:fldCharType="begin"/>
      </w:r>
      <w:r>
        <w:instrText xml:space="preserve"> HYPERLINK "https://journals.sagepub.com/doi/pdf/10.1111/poms.13979" \h </w:instrText>
      </w:r>
      <w:r>
        <w:fldChar w:fldCharType="separate"/>
      </w:r>
      <w:r>
        <w:rPr>
          <w:color w:val="1155CC"/>
          <w:sz w:val="24"/>
          <w:szCs w:val="24"/>
          <w:highlight w:val="white"/>
          <w:u w:val="single"/>
        </w:rPr>
        <w:t>https://journals.sagepub.com/doi/pdf/10.1111/poms.13979</w:t>
      </w:r>
      <w:r>
        <w:rPr>
          <w:color w:val="1155CC"/>
          <w:sz w:val="24"/>
          <w:szCs w:val="24"/>
          <w:highlight w:val="white"/>
          <w:u w:val="single"/>
        </w:rPr>
        <w:fldChar w:fldCharType="end"/>
      </w:r>
      <w:r>
        <w:rPr>
          <w:color w:val="222222"/>
          <w:sz w:val="24"/>
          <w:szCs w:val="24"/>
          <w:highlight w:val="white"/>
        </w:rPr>
        <w:t xml:space="preserve">] </w:t>
      </w:r>
    </w:p>
    <w:p w14:paraId="55F6E9EE">
      <w:pPr>
        <w:pStyle w:val="3"/>
        <w:spacing w:line="360" w:lineRule="auto"/>
        <w:jc w:val="both"/>
        <w:rPr>
          <w:color w:val="222222"/>
          <w:sz w:val="24"/>
          <w:szCs w:val="24"/>
          <w:highlight w:val="white"/>
        </w:rPr>
      </w:pPr>
      <w:r>
        <w:rPr>
          <w:color w:val="222222"/>
          <w:sz w:val="24"/>
          <w:szCs w:val="24"/>
          <w:highlight w:val="white"/>
        </w:rPr>
        <w:t xml:space="preserve">Dai, H., Li, N., Wang, Y. and Zhao, X., (2022), March. The analysis of three main investment criteria: NPV IRR and payback period. In </w:t>
      </w:r>
      <w:r>
        <w:rPr>
          <w:i/>
          <w:iCs/>
          <w:color w:val="222222"/>
          <w:sz w:val="24"/>
          <w:szCs w:val="24"/>
          <w:highlight w:val="white"/>
        </w:rPr>
        <w:t>2022 7th International Conference on Financial Innovation and Economic Development (ICFIED 2022)</w:t>
      </w:r>
      <w:r>
        <w:rPr>
          <w:color w:val="222222"/>
          <w:sz w:val="24"/>
          <w:szCs w:val="24"/>
          <w:highlight w:val="white"/>
        </w:rPr>
        <w:t xml:space="preserve"> (pp. 185-189). Atlantis Press. Netherlands.</w:t>
      </w:r>
    </w:p>
    <w:p w14:paraId="55538B5D">
      <w:pPr>
        <w:pStyle w:val="3"/>
        <w:spacing w:line="360" w:lineRule="auto"/>
        <w:jc w:val="both"/>
        <w:rPr>
          <w:color w:val="222222"/>
          <w:sz w:val="24"/>
          <w:szCs w:val="24"/>
          <w:highlight w:val="white"/>
        </w:rPr>
      </w:pPr>
      <w:r>
        <w:rPr>
          <w:color w:val="222222"/>
          <w:sz w:val="24"/>
          <w:szCs w:val="24"/>
          <w:highlight w:val="white"/>
        </w:rPr>
        <w:t xml:space="preserve">Dai, T., Han, S. and Barrenechea, D.W., (2024). A Research Review of Financial Distress Prediction. </w:t>
      </w:r>
      <w:r>
        <w:rPr>
          <w:i/>
          <w:iCs/>
          <w:color w:val="222222"/>
          <w:sz w:val="24"/>
          <w:szCs w:val="24"/>
          <w:highlight w:val="white"/>
        </w:rPr>
        <w:t>Journal of Statistics and Economics (ISSN: 3005-5733)</w:t>
      </w:r>
      <w:r>
        <w:rPr>
          <w:color w:val="222222"/>
          <w:sz w:val="24"/>
          <w:szCs w:val="24"/>
          <w:highlight w:val="white"/>
        </w:rPr>
        <w:t xml:space="preserve">, </w:t>
      </w:r>
      <w:r>
        <w:rPr>
          <w:i/>
          <w:iCs/>
          <w:color w:val="222222"/>
          <w:sz w:val="24"/>
          <w:szCs w:val="24"/>
          <w:highlight w:val="white"/>
        </w:rPr>
        <w:t>1</w:t>
      </w:r>
      <w:r>
        <w:rPr>
          <w:color w:val="222222"/>
          <w:sz w:val="24"/>
          <w:szCs w:val="24"/>
          <w:highlight w:val="white"/>
        </w:rPr>
        <w:t xml:space="preserve">(3), p.173. [Available at: </w:t>
      </w:r>
      <w:r>
        <w:fldChar w:fldCharType="begin"/>
      </w:r>
      <w:r>
        <w:instrText xml:space="preserve"> HYPERLINK "http://www.stemmpress.com/uploadfile/202407/851c3946e349f56.pdf" \h </w:instrText>
      </w:r>
      <w:r>
        <w:fldChar w:fldCharType="separate"/>
      </w:r>
      <w:r>
        <w:rPr>
          <w:color w:val="1155CC"/>
          <w:sz w:val="24"/>
          <w:szCs w:val="24"/>
          <w:highlight w:val="white"/>
          <w:u w:val="single"/>
        </w:rPr>
        <w:t>http://www.stemmpress.com/uploadfile/202407/851c3946e349f56.pdf</w:t>
      </w:r>
      <w:r>
        <w:rPr>
          <w:color w:val="1155CC"/>
          <w:sz w:val="24"/>
          <w:szCs w:val="24"/>
          <w:highlight w:val="white"/>
          <w:u w:val="single"/>
        </w:rPr>
        <w:fldChar w:fldCharType="end"/>
      </w:r>
      <w:r>
        <w:rPr>
          <w:color w:val="222222"/>
          <w:sz w:val="24"/>
          <w:szCs w:val="24"/>
          <w:highlight w:val="white"/>
        </w:rPr>
        <w:t xml:space="preserve">] </w:t>
      </w:r>
    </w:p>
    <w:p w14:paraId="1E1575BE">
      <w:pPr>
        <w:pStyle w:val="3"/>
        <w:spacing w:line="360" w:lineRule="auto"/>
        <w:jc w:val="both"/>
        <w:rPr>
          <w:color w:val="222222"/>
          <w:sz w:val="24"/>
          <w:szCs w:val="24"/>
          <w:highlight w:val="white"/>
        </w:rPr>
      </w:pPr>
      <w:r>
        <w:rPr>
          <w:color w:val="222222"/>
          <w:sz w:val="24"/>
          <w:szCs w:val="24"/>
          <w:highlight w:val="white"/>
        </w:rPr>
        <w:t xml:space="preserve">Edmans, A., Fang, V.W. and Huang, A.H., (2022). The long‐term consequences of short‐term incentives. </w:t>
      </w:r>
      <w:r>
        <w:rPr>
          <w:i/>
          <w:iCs/>
          <w:color w:val="222222"/>
          <w:sz w:val="24"/>
          <w:szCs w:val="24"/>
          <w:highlight w:val="white"/>
        </w:rPr>
        <w:t>Journal of Accounting Research</w:t>
      </w:r>
      <w:r>
        <w:rPr>
          <w:color w:val="222222"/>
          <w:sz w:val="24"/>
          <w:szCs w:val="24"/>
          <w:highlight w:val="white"/>
        </w:rPr>
        <w:t xml:space="preserve">, </w:t>
      </w:r>
      <w:r>
        <w:rPr>
          <w:i/>
          <w:iCs/>
          <w:color w:val="222222"/>
          <w:sz w:val="24"/>
          <w:szCs w:val="24"/>
          <w:highlight w:val="white"/>
        </w:rPr>
        <w:t>60</w:t>
      </w:r>
      <w:r>
        <w:rPr>
          <w:color w:val="222222"/>
          <w:sz w:val="24"/>
          <w:szCs w:val="24"/>
          <w:highlight w:val="white"/>
        </w:rPr>
        <w:t xml:space="preserve">(3), pp.1007-1046. [Available at: </w:t>
      </w:r>
      <w:r>
        <w:fldChar w:fldCharType="begin"/>
      </w:r>
      <w:r>
        <w:instrText xml:space="preserve"> HYPERLINK "https://onlinelibrary.wiley.com/doi/pdf/10.1111/1475-679X.12410" \h </w:instrText>
      </w:r>
      <w:r>
        <w:fldChar w:fldCharType="separate"/>
      </w:r>
      <w:r>
        <w:rPr>
          <w:color w:val="1155CC"/>
          <w:sz w:val="24"/>
          <w:szCs w:val="24"/>
          <w:highlight w:val="white"/>
          <w:u w:val="single"/>
        </w:rPr>
        <w:t>https://onlinelibrary.wiley.com/doi/pdf/10.1111/1475-679X.12410</w:t>
      </w:r>
      <w:r>
        <w:rPr>
          <w:color w:val="1155CC"/>
          <w:sz w:val="24"/>
          <w:szCs w:val="24"/>
          <w:highlight w:val="white"/>
          <w:u w:val="single"/>
        </w:rPr>
        <w:fldChar w:fldCharType="end"/>
      </w:r>
      <w:r>
        <w:rPr>
          <w:color w:val="222222"/>
          <w:sz w:val="24"/>
          <w:szCs w:val="24"/>
          <w:highlight w:val="white"/>
        </w:rPr>
        <w:t xml:space="preserve">] </w:t>
      </w:r>
    </w:p>
    <w:p w14:paraId="53AF4DF1">
      <w:pPr>
        <w:pStyle w:val="3"/>
        <w:spacing w:line="360" w:lineRule="auto"/>
        <w:jc w:val="both"/>
        <w:rPr>
          <w:color w:val="222222"/>
          <w:sz w:val="24"/>
          <w:szCs w:val="24"/>
          <w:highlight w:val="white"/>
        </w:rPr>
      </w:pPr>
      <w:r>
        <w:rPr>
          <w:color w:val="222222"/>
          <w:sz w:val="24"/>
          <w:szCs w:val="24"/>
          <w:highlight w:val="white"/>
        </w:rPr>
        <w:t xml:space="preserve">Hackbarth, D., Rivera, A. and Wong, T.Y., (2022). Optimal short-termism. </w:t>
      </w:r>
      <w:r>
        <w:rPr>
          <w:i/>
          <w:iCs/>
          <w:color w:val="222222"/>
          <w:sz w:val="24"/>
          <w:szCs w:val="24"/>
          <w:highlight w:val="white"/>
        </w:rPr>
        <w:t>Management Science</w:t>
      </w:r>
      <w:r>
        <w:rPr>
          <w:color w:val="222222"/>
          <w:sz w:val="24"/>
          <w:szCs w:val="24"/>
          <w:highlight w:val="white"/>
        </w:rPr>
        <w:t xml:space="preserve">, </w:t>
      </w:r>
      <w:r>
        <w:rPr>
          <w:i/>
          <w:iCs/>
          <w:color w:val="222222"/>
          <w:sz w:val="24"/>
          <w:szCs w:val="24"/>
          <w:highlight w:val="white"/>
        </w:rPr>
        <w:t>68</w:t>
      </w:r>
      <w:r>
        <w:rPr>
          <w:color w:val="222222"/>
          <w:sz w:val="24"/>
          <w:szCs w:val="24"/>
          <w:highlight w:val="white"/>
        </w:rPr>
        <w:t xml:space="preserve">(9), pp.6477-6505. [Available at: </w:t>
      </w:r>
      <w:r>
        <w:fldChar w:fldCharType="begin"/>
      </w:r>
      <w:r>
        <w:instrText xml:space="preserve"> HYPERLINK "https://papers.ssrn.com/sol3/Delivery.cfm?abstractid=3060869" \h </w:instrText>
      </w:r>
      <w:r>
        <w:fldChar w:fldCharType="separate"/>
      </w:r>
      <w:r>
        <w:rPr>
          <w:color w:val="1155CC"/>
          <w:sz w:val="24"/>
          <w:szCs w:val="24"/>
          <w:highlight w:val="white"/>
          <w:u w:val="single"/>
        </w:rPr>
        <w:t>https://papers.ssrn.com/sol3/Delivery.cfm?abstractid=3060869</w:t>
      </w:r>
      <w:r>
        <w:rPr>
          <w:color w:val="1155CC"/>
          <w:sz w:val="24"/>
          <w:szCs w:val="24"/>
          <w:highlight w:val="white"/>
          <w:u w:val="single"/>
        </w:rPr>
        <w:fldChar w:fldCharType="end"/>
      </w:r>
      <w:r>
        <w:rPr>
          <w:color w:val="222222"/>
          <w:sz w:val="24"/>
          <w:szCs w:val="24"/>
          <w:highlight w:val="white"/>
        </w:rPr>
        <w:t xml:space="preserve">] </w:t>
      </w:r>
    </w:p>
    <w:p w14:paraId="75EF6973">
      <w:pPr>
        <w:pStyle w:val="3"/>
        <w:spacing w:line="360" w:lineRule="auto"/>
        <w:jc w:val="both"/>
        <w:rPr>
          <w:color w:val="222222"/>
          <w:sz w:val="24"/>
          <w:szCs w:val="24"/>
          <w:highlight w:val="white"/>
        </w:rPr>
      </w:pPr>
      <w:r>
        <w:rPr>
          <w:color w:val="222222"/>
          <w:sz w:val="24"/>
          <w:szCs w:val="24"/>
          <w:highlight w:val="white"/>
        </w:rPr>
        <w:t xml:space="preserve">Kalbuana, N., Kusiyah, K., Supriatiningsih, S., Budiharjo, R., Budyastuti, T. and Rusdiyanto, R., (2022). Effect of profitability, audit committee, company size, activity, and board of directors on sustainability. </w:t>
      </w:r>
      <w:r>
        <w:rPr>
          <w:i/>
          <w:iCs/>
          <w:color w:val="222222"/>
          <w:sz w:val="24"/>
          <w:szCs w:val="24"/>
          <w:highlight w:val="white"/>
        </w:rPr>
        <w:t>Cogent Business &amp; Management</w:t>
      </w:r>
      <w:r>
        <w:rPr>
          <w:color w:val="222222"/>
          <w:sz w:val="24"/>
          <w:szCs w:val="24"/>
          <w:highlight w:val="white"/>
        </w:rPr>
        <w:t xml:space="preserve">, </w:t>
      </w:r>
      <w:r>
        <w:rPr>
          <w:i/>
          <w:iCs/>
          <w:color w:val="222222"/>
          <w:sz w:val="24"/>
          <w:szCs w:val="24"/>
          <w:highlight w:val="white"/>
        </w:rPr>
        <w:t>9</w:t>
      </w:r>
      <w:r>
        <w:rPr>
          <w:color w:val="222222"/>
          <w:sz w:val="24"/>
          <w:szCs w:val="24"/>
          <w:highlight w:val="white"/>
        </w:rPr>
        <w:t xml:space="preserve">(1), p.2129354. [Available at: </w:t>
      </w:r>
      <w:r>
        <w:fldChar w:fldCharType="begin"/>
      </w:r>
      <w:r>
        <w:instrText xml:space="preserve"> HYPERLINK "https://www.tandfonline.com/doi/pdf/10.1080/23311975.2022.2129354" \h </w:instrText>
      </w:r>
      <w:r>
        <w:fldChar w:fldCharType="separate"/>
      </w:r>
      <w:r>
        <w:rPr>
          <w:color w:val="1155CC"/>
          <w:sz w:val="24"/>
          <w:szCs w:val="24"/>
          <w:highlight w:val="white"/>
          <w:u w:val="single"/>
        </w:rPr>
        <w:t>https://www.tandfonline.com/doi/pdf/10.1080/23311975.2022.2129354</w:t>
      </w:r>
      <w:r>
        <w:rPr>
          <w:color w:val="1155CC"/>
          <w:sz w:val="24"/>
          <w:szCs w:val="24"/>
          <w:highlight w:val="white"/>
          <w:u w:val="single"/>
        </w:rPr>
        <w:fldChar w:fldCharType="end"/>
      </w:r>
      <w:r>
        <w:rPr>
          <w:color w:val="222222"/>
          <w:sz w:val="24"/>
          <w:szCs w:val="24"/>
          <w:highlight w:val="white"/>
        </w:rPr>
        <w:t xml:space="preserve">] </w:t>
      </w:r>
    </w:p>
    <w:p w14:paraId="7542671E">
      <w:pPr>
        <w:pStyle w:val="3"/>
        <w:spacing w:line="360" w:lineRule="auto"/>
        <w:jc w:val="both"/>
        <w:rPr>
          <w:color w:val="222222"/>
          <w:sz w:val="24"/>
          <w:szCs w:val="24"/>
          <w:highlight w:val="white"/>
        </w:rPr>
      </w:pPr>
      <w:r>
        <w:rPr>
          <w:color w:val="222222"/>
          <w:sz w:val="24"/>
          <w:szCs w:val="24"/>
          <w:highlight w:val="white"/>
        </w:rPr>
        <w:t xml:space="preserve">Kaur, J., Vij, M. and Chauhan, A.K., (2023). Signals influencing corporate credit ratings—a systematic literature review. </w:t>
      </w:r>
      <w:r>
        <w:rPr>
          <w:i/>
          <w:iCs/>
          <w:color w:val="222222"/>
          <w:sz w:val="24"/>
          <w:szCs w:val="24"/>
          <w:highlight w:val="white"/>
        </w:rPr>
        <w:t>Decision</w:t>
      </w:r>
      <w:r>
        <w:rPr>
          <w:color w:val="222222"/>
          <w:sz w:val="24"/>
          <w:szCs w:val="24"/>
          <w:highlight w:val="white"/>
        </w:rPr>
        <w:t xml:space="preserve">, </w:t>
      </w:r>
      <w:r>
        <w:rPr>
          <w:i/>
          <w:iCs/>
          <w:color w:val="222222"/>
          <w:sz w:val="24"/>
          <w:szCs w:val="24"/>
          <w:highlight w:val="white"/>
        </w:rPr>
        <w:t>50</w:t>
      </w:r>
      <w:r>
        <w:rPr>
          <w:color w:val="222222"/>
          <w:sz w:val="24"/>
          <w:szCs w:val="24"/>
          <w:highlight w:val="white"/>
        </w:rPr>
        <w:t xml:space="preserve">(1), pp.91-114. [Available at: </w:t>
      </w:r>
      <w:r>
        <w:fldChar w:fldCharType="begin"/>
      </w:r>
      <w:r>
        <w:instrText xml:space="preserve"> HYPERLINK "https://link.springer.com/article/10.1007/s40622-023-00341-4" \h </w:instrText>
      </w:r>
      <w:r>
        <w:fldChar w:fldCharType="separate"/>
      </w:r>
      <w:r>
        <w:rPr>
          <w:color w:val="1155CC"/>
          <w:sz w:val="24"/>
          <w:szCs w:val="24"/>
          <w:highlight w:val="white"/>
          <w:u w:val="single"/>
        </w:rPr>
        <w:t>https://link.springer.com/article/10.1007/s40622-023-00341-4</w:t>
      </w:r>
      <w:r>
        <w:rPr>
          <w:color w:val="1155CC"/>
          <w:sz w:val="24"/>
          <w:szCs w:val="24"/>
          <w:highlight w:val="white"/>
          <w:u w:val="single"/>
        </w:rPr>
        <w:fldChar w:fldCharType="end"/>
      </w:r>
      <w:r>
        <w:rPr>
          <w:color w:val="222222"/>
          <w:sz w:val="24"/>
          <w:szCs w:val="24"/>
          <w:highlight w:val="white"/>
        </w:rPr>
        <w:t xml:space="preserve">] </w:t>
      </w:r>
    </w:p>
    <w:p w14:paraId="0646ED0A">
      <w:pPr>
        <w:pStyle w:val="3"/>
        <w:spacing w:line="360" w:lineRule="auto"/>
        <w:jc w:val="both"/>
        <w:rPr>
          <w:color w:val="222222"/>
          <w:sz w:val="24"/>
          <w:szCs w:val="24"/>
          <w:highlight w:val="white"/>
        </w:rPr>
      </w:pPr>
      <w:r>
        <w:rPr>
          <w:color w:val="222222"/>
          <w:sz w:val="24"/>
          <w:szCs w:val="24"/>
          <w:highlight w:val="white"/>
        </w:rPr>
        <w:t xml:space="preserve">Krinichansky, K.V., (2025). The Theoretical Foundations and Problematic Areas of the Contemporary Long-Term Financing Theory. </w:t>
      </w:r>
      <w:r>
        <w:rPr>
          <w:i/>
          <w:iCs/>
          <w:color w:val="222222"/>
          <w:sz w:val="24"/>
          <w:szCs w:val="24"/>
          <w:highlight w:val="white"/>
        </w:rPr>
        <w:t>FINANCE: THEORY AND PRACTICE</w:t>
      </w:r>
      <w:r>
        <w:rPr>
          <w:color w:val="222222"/>
          <w:sz w:val="24"/>
          <w:szCs w:val="24"/>
          <w:highlight w:val="white"/>
        </w:rPr>
        <w:t xml:space="preserve">, p.112. [Available at: </w:t>
      </w:r>
      <w:r>
        <w:fldChar w:fldCharType="begin"/>
      </w:r>
      <w:r>
        <w:instrText xml:space="preserve"> HYPERLINK "https://financetp.fa.ru/jour/issue/download/94/103" \l "page=112" \h </w:instrText>
      </w:r>
      <w:r>
        <w:fldChar w:fldCharType="separate"/>
      </w:r>
      <w:r>
        <w:rPr>
          <w:color w:val="1155CC"/>
          <w:sz w:val="24"/>
          <w:szCs w:val="24"/>
          <w:highlight w:val="white"/>
          <w:u w:val="single"/>
        </w:rPr>
        <w:t>https://financetp.fa.ru/jour/issue/download/94/103#page=112</w:t>
      </w:r>
      <w:r>
        <w:rPr>
          <w:color w:val="1155CC"/>
          <w:sz w:val="24"/>
          <w:szCs w:val="24"/>
          <w:highlight w:val="white"/>
          <w:u w:val="single"/>
        </w:rPr>
        <w:fldChar w:fldCharType="end"/>
      </w:r>
      <w:r>
        <w:rPr>
          <w:color w:val="222222"/>
          <w:sz w:val="24"/>
          <w:szCs w:val="24"/>
          <w:highlight w:val="white"/>
        </w:rPr>
        <w:t xml:space="preserve">] </w:t>
      </w:r>
    </w:p>
    <w:p w14:paraId="00864C5A">
      <w:pPr>
        <w:pStyle w:val="3"/>
        <w:spacing w:line="360" w:lineRule="auto"/>
        <w:jc w:val="both"/>
        <w:rPr>
          <w:color w:val="222222"/>
          <w:sz w:val="24"/>
          <w:szCs w:val="24"/>
          <w:highlight w:val="white"/>
        </w:rPr>
      </w:pPr>
      <w:r>
        <w:rPr>
          <w:color w:val="222222"/>
          <w:sz w:val="24"/>
          <w:szCs w:val="24"/>
          <w:highlight w:val="white"/>
        </w:rPr>
        <w:t xml:space="preserve">Li, L., (2026). The role of intangible investment in predicting stock returns: Six decades of evidence. </w:t>
      </w:r>
      <w:r>
        <w:rPr>
          <w:i/>
          <w:iCs/>
          <w:color w:val="222222"/>
          <w:sz w:val="24"/>
          <w:szCs w:val="24"/>
          <w:highlight w:val="white"/>
        </w:rPr>
        <w:t>Financial Management</w:t>
      </w:r>
      <w:r>
        <w:rPr>
          <w:color w:val="222222"/>
          <w:sz w:val="24"/>
          <w:szCs w:val="24"/>
          <w:highlight w:val="white"/>
        </w:rPr>
        <w:t xml:space="preserve">, </w:t>
      </w:r>
      <w:r>
        <w:rPr>
          <w:i/>
          <w:iCs/>
          <w:color w:val="222222"/>
          <w:sz w:val="24"/>
          <w:szCs w:val="24"/>
          <w:highlight w:val="white"/>
        </w:rPr>
        <w:t>55</w:t>
      </w:r>
      <w:r>
        <w:rPr>
          <w:color w:val="222222"/>
          <w:sz w:val="24"/>
          <w:szCs w:val="24"/>
          <w:highlight w:val="white"/>
        </w:rPr>
        <w:t xml:space="preserve">(1), p.e12505. [Available at: </w:t>
      </w:r>
      <w:r>
        <w:fldChar w:fldCharType="begin"/>
      </w:r>
      <w:r>
        <w:instrText xml:space="preserve"> HYPERLINK "https://onlinelibrary.wiley.com/doi/pdf/10.1111/fima.12505" \h </w:instrText>
      </w:r>
      <w:r>
        <w:fldChar w:fldCharType="separate"/>
      </w:r>
      <w:r>
        <w:rPr>
          <w:color w:val="1155CC"/>
          <w:sz w:val="24"/>
          <w:szCs w:val="24"/>
          <w:highlight w:val="white"/>
          <w:u w:val="single"/>
        </w:rPr>
        <w:t>https://onlinelibrary.wiley.com/doi/pdf/10.1111/fima.12505</w:t>
      </w:r>
      <w:r>
        <w:rPr>
          <w:color w:val="1155CC"/>
          <w:sz w:val="24"/>
          <w:szCs w:val="24"/>
          <w:highlight w:val="white"/>
          <w:u w:val="single"/>
        </w:rPr>
        <w:fldChar w:fldCharType="end"/>
      </w:r>
      <w:r>
        <w:rPr>
          <w:color w:val="222222"/>
          <w:sz w:val="24"/>
          <w:szCs w:val="24"/>
          <w:highlight w:val="white"/>
        </w:rPr>
        <w:t xml:space="preserve">] </w:t>
      </w:r>
    </w:p>
    <w:p w14:paraId="16561E99">
      <w:pPr>
        <w:pStyle w:val="3"/>
        <w:spacing w:line="360" w:lineRule="auto"/>
        <w:jc w:val="both"/>
        <w:rPr>
          <w:color w:val="222222"/>
          <w:sz w:val="24"/>
          <w:szCs w:val="24"/>
          <w:highlight w:val="white"/>
        </w:rPr>
      </w:pPr>
      <w:r>
        <w:rPr>
          <w:color w:val="222222"/>
          <w:sz w:val="24"/>
          <w:szCs w:val="24"/>
          <w:highlight w:val="white"/>
        </w:rPr>
        <w:t xml:space="preserve">Maheshwari, S.N., Maheshwari, S.K. and Maheshwari, S.K., (2024). </w:t>
      </w:r>
      <w:r>
        <w:rPr>
          <w:i/>
          <w:iCs/>
          <w:color w:val="222222"/>
          <w:sz w:val="24"/>
          <w:szCs w:val="24"/>
          <w:highlight w:val="white"/>
        </w:rPr>
        <w:t>Management Accounting and Financial Control</w:t>
      </w:r>
      <w:r>
        <w:rPr>
          <w:color w:val="222222"/>
          <w:sz w:val="24"/>
          <w:szCs w:val="24"/>
          <w:highlight w:val="white"/>
        </w:rPr>
        <w:t>. Sultan Chand &amp; Sons. India.</w:t>
      </w:r>
    </w:p>
    <w:p w14:paraId="25694ABD">
      <w:pPr>
        <w:pStyle w:val="3"/>
        <w:spacing w:line="360" w:lineRule="auto"/>
        <w:jc w:val="both"/>
        <w:rPr>
          <w:color w:val="222222"/>
          <w:sz w:val="24"/>
          <w:szCs w:val="24"/>
          <w:highlight w:val="white"/>
        </w:rPr>
      </w:pPr>
      <w:r>
        <w:rPr>
          <w:color w:val="222222"/>
          <w:sz w:val="24"/>
          <w:szCs w:val="24"/>
          <w:highlight w:val="white"/>
        </w:rPr>
        <w:t xml:space="preserve">Mertzanis, C. and Tebourbi, I., (2025). Geopolitical risk and global green bond market growth. </w:t>
      </w:r>
      <w:r>
        <w:rPr>
          <w:i/>
          <w:iCs/>
          <w:color w:val="222222"/>
          <w:sz w:val="24"/>
          <w:szCs w:val="24"/>
          <w:highlight w:val="white"/>
        </w:rPr>
        <w:t>European Financial Management</w:t>
      </w:r>
      <w:r>
        <w:rPr>
          <w:color w:val="222222"/>
          <w:sz w:val="24"/>
          <w:szCs w:val="24"/>
          <w:highlight w:val="white"/>
        </w:rPr>
        <w:t xml:space="preserve">, </w:t>
      </w:r>
      <w:r>
        <w:rPr>
          <w:i/>
          <w:iCs/>
          <w:color w:val="222222"/>
          <w:sz w:val="24"/>
          <w:szCs w:val="24"/>
          <w:highlight w:val="white"/>
        </w:rPr>
        <w:t>31</w:t>
      </w:r>
      <w:r>
        <w:rPr>
          <w:color w:val="222222"/>
          <w:sz w:val="24"/>
          <w:szCs w:val="24"/>
          <w:highlight w:val="white"/>
        </w:rPr>
        <w:t xml:space="preserve">(1), pp.26-71. [Available at: </w:t>
      </w:r>
      <w:r>
        <w:fldChar w:fldCharType="begin"/>
      </w:r>
      <w:r>
        <w:instrText xml:space="preserve"> HYPERLINK "https://onlinelibrary.wiley.com/doi/pdf/10.1111%2Feufm.12484" \h </w:instrText>
      </w:r>
      <w:r>
        <w:fldChar w:fldCharType="separate"/>
      </w:r>
      <w:r>
        <w:rPr>
          <w:color w:val="1155CC"/>
          <w:sz w:val="24"/>
          <w:szCs w:val="24"/>
          <w:highlight w:val="white"/>
          <w:u w:val="single"/>
        </w:rPr>
        <w:t>https://onlinelibrary.wiley.com/doi/pdf/10.1111%2Feufm.12484</w:t>
      </w:r>
      <w:r>
        <w:rPr>
          <w:color w:val="1155CC"/>
          <w:sz w:val="24"/>
          <w:szCs w:val="24"/>
          <w:highlight w:val="white"/>
          <w:u w:val="single"/>
        </w:rPr>
        <w:fldChar w:fldCharType="end"/>
      </w:r>
      <w:r>
        <w:rPr>
          <w:color w:val="222222"/>
          <w:sz w:val="24"/>
          <w:szCs w:val="24"/>
          <w:highlight w:val="white"/>
        </w:rPr>
        <w:t xml:space="preserve">] </w:t>
      </w:r>
    </w:p>
    <w:p w14:paraId="0AE7DFF0">
      <w:pPr>
        <w:pStyle w:val="3"/>
        <w:spacing w:line="360" w:lineRule="auto"/>
        <w:jc w:val="both"/>
        <w:rPr>
          <w:color w:val="222222"/>
          <w:sz w:val="24"/>
          <w:szCs w:val="24"/>
          <w:highlight w:val="white"/>
        </w:rPr>
      </w:pPr>
      <w:r>
        <w:rPr>
          <w:color w:val="222222"/>
          <w:sz w:val="24"/>
          <w:szCs w:val="24"/>
          <w:highlight w:val="white"/>
        </w:rPr>
        <w:t xml:space="preserve">Nicolas, T., (2022). Short-term financial constraints and SMEs’ investment decision: evidence from the working capital channel. </w:t>
      </w:r>
      <w:r>
        <w:rPr>
          <w:i/>
          <w:iCs/>
          <w:color w:val="222222"/>
          <w:sz w:val="24"/>
          <w:szCs w:val="24"/>
          <w:highlight w:val="white"/>
        </w:rPr>
        <w:t>Small Business Economics</w:t>
      </w:r>
      <w:r>
        <w:rPr>
          <w:color w:val="222222"/>
          <w:sz w:val="24"/>
          <w:szCs w:val="24"/>
          <w:highlight w:val="white"/>
        </w:rPr>
        <w:t xml:space="preserve">, </w:t>
      </w:r>
      <w:r>
        <w:rPr>
          <w:i/>
          <w:iCs/>
          <w:color w:val="222222"/>
          <w:sz w:val="24"/>
          <w:szCs w:val="24"/>
          <w:highlight w:val="white"/>
        </w:rPr>
        <w:t>58</w:t>
      </w:r>
      <w:r>
        <w:rPr>
          <w:color w:val="222222"/>
          <w:sz w:val="24"/>
          <w:szCs w:val="24"/>
          <w:highlight w:val="white"/>
        </w:rPr>
        <w:t xml:space="preserve">(4), pp.1885-1914. [Available at: </w:t>
      </w:r>
      <w:r>
        <w:fldChar w:fldCharType="begin"/>
      </w:r>
      <w:r>
        <w:instrText xml:space="preserve"> HYPERLINK "https://pmc.ncbi.nlm.nih.gov/articles/PMC8096609/pdf/11187_2021_Article_488.pdf" \h </w:instrText>
      </w:r>
      <w:r>
        <w:fldChar w:fldCharType="separate"/>
      </w:r>
      <w:r>
        <w:rPr>
          <w:color w:val="1155CC"/>
          <w:sz w:val="24"/>
          <w:szCs w:val="24"/>
          <w:highlight w:val="white"/>
          <w:u w:val="single"/>
        </w:rPr>
        <w:t>https://pmc.ncbi.nlm.nih.gov/articles/PMC8096609/pdf/11187_2021_Article_488.pdf</w:t>
      </w:r>
      <w:r>
        <w:rPr>
          <w:color w:val="1155CC"/>
          <w:sz w:val="24"/>
          <w:szCs w:val="24"/>
          <w:highlight w:val="white"/>
          <w:u w:val="single"/>
        </w:rPr>
        <w:fldChar w:fldCharType="end"/>
      </w:r>
      <w:r>
        <w:rPr>
          <w:color w:val="222222"/>
          <w:sz w:val="24"/>
          <w:szCs w:val="24"/>
          <w:highlight w:val="white"/>
        </w:rPr>
        <w:t xml:space="preserve">] </w:t>
      </w:r>
    </w:p>
    <w:p w14:paraId="7A328240">
      <w:pPr>
        <w:pStyle w:val="3"/>
        <w:spacing w:line="360" w:lineRule="auto"/>
        <w:jc w:val="both"/>
        <w:rPr>
          <w:color w:val="222222"/>
          <w:sz w:val="24"/>
          <w:szCs w:val="24"/>
          <w:highlight w:val="white"/>
        </w:rPr>
      </w:pPr>
      <w:r>
        <w:rPr>
          <w:color w:val="222222"/>
          <w:sz w:val="24"/>
          <w:szCs w:val="24"/>
          <w:highlight w:val="white"/>
        </w:rPr>
        <w:t xml:space="preserve">Nwulu, N., David, L. and Badrudeen, T.U., (2025). Leveraging blockchain technology for cost efficiency of renewable energy. </w:t>
      </w:r>
      <w:r>
        <w:rPr>
          <w:i/>
          <w:iCs/>
          <w:color w:val="222222"/>
          <w:sz w:val="24"/>
          <w:szCs w:val="24"/>
          <w:highlight w:val="white"/>
        </w:rPr>
        <w:t>Frontiers in Energy Research</w:t>
      </w:r>
      <w:r>
        <w:rPr>
          <w:color w:val="222222"/>
          <w:sz w:val="24"/>
          <w:szCs w:val="24"/>
          <w:highlight w:val="white"/>
        </w:rPr>
        <w:t xml:space="preserve">, </w:t>
      </w:r>
      <w:r>
        <w:rPr>
          <w:i/>
          <w:iCs/>
          <w:color w:val="222222"/>
          <w:sz w:val="24"/>
          <w:szCs w:val="24"/>
          <w:highlight w:val="white"/>
        </w:rPr>
        <w:t>13</w:t>
      </w:r>
      <w:r>
        <w:rPr>
          <w:color w:val="222222"/>
          <w:sz w:val="24"/>
          <w:szCs w:val="24"/>
          <w:highlight w:val="white"/>
        </w:rPr>
        <w:t xml:space="preserve">, p.1640117. [Available at: </w:t>
      </w:r>
      <w:r>
        <w:fldChar w:fldCharType="begin"/>
      </w:r>
      <w:r>
        <w:instrText xml:space="preserve"> HYPERLINK "https://www.frontiersin.org/journals/energy-research/articles/10.3389/fenrg.2025.1640117/full" \h </w:instrText>
      </w:r>
      <w:r>
        <w:fldChar w:fldCharType="separate"/>
      </w:r>
      <w:r>
        <w:rPr>
          <w:color w:val="1155CC"/>
          <w:sz w:val="24"/>
          <w:szCs w:val="24"/>
          <w:highlight w:val="white"/>
          <w:u w:val="single"/>
        </w:rPr>
        <w:t>https://www.frontiersin.org/journals/energy-research/articles/10.3389/fenrg.2025.1640117/full</w:t>
      </w:r>
      <w:r>
        <w:rPr>
          <w:color w:val="1155CC"/>
          <w:sz w:val="24"/>
          <w:szCs w:val="24"/>
          <w:highlight w:val="white"/>
          <w:u w:val="single"/>
        </w:rPr>
        <w:fldChar w:fldCharType="end"/>
      </w:r>
      <w:r>
        <w:rPr>
          <w:color w:val="222222"/>
          <w:sz w:val="24"/>
          <w:szCs w:val="24"/>
          <w:highlight w:val="white"/>
        </w:rPr>
        <w:t xml:space="preserve">] </w:t>
      </w:r>
    </w:p>
    <w:p w14:paraId="73E42700">
      <w:pPr>
        <w:pStyle w:val="3"/>
        <w:spacing w:line="360" w:lineRule="auto"/>
        <w:jc w:val="both"/>
        <w:rPr>
          <w:color w:val="222222"/>
          <w:sz w:val="24"/>
          <w:szCs w:val="24"/>
          <w:highlight w:val="white"/>
        </w:rPr>
      </w:pPr>
      <w:r>
        <w:rPr>
          <w:color w:val="222222"/>
          <w:sz w:val="24"/>
          <w:szCs w:val="24"/>
          <w:highlight w:val="white"/>
        </w:rPr>
        <w:t xml:space="preserve">Olayinka, A.A., (2022). Financial statement analysis as a tool for investment decisions and assessment of companies’ performance. </w:t>
      </w:r>
      <w:r>
        <w:rPr>
          <w:i/>
          <w:iCs/>
          <w:color w:val="222222"/>
          <w:sz w:val="24"/>
          <w:szCs w:val="24"/>
          <w:highlight w:val="white"/>
        </w:rPr>
        <w:t>International Journal of Financial, Accounting, and Management</w:t>
      </w:r>
      <w:r>
        <w:rPr>
          <w:color w:val="222222"/>
          <w:sz w:val="24"/>
          <w:szCs w:val="24"/>
          <w:highlight w:val="white"/>
        </w:rPr>
        <w:t xml:space="preserve">, </w:t>
      </w:r>
      <w:r>
        <w:rPr>
          <w:i/>
          <w:iCs/>
          <w:color w:val="222222"/>
          <w:sz w:val="24"/>
          <w:szCs w:val="24"/>
          <w:highlight w:val="white"/>
        </w:rPr>
        <w:t>4</w:t>
      </w:r>
      <w:r>
        <w:rPr>
          <w:color w:val="222222"/>
          <w:sz w:val="24"/>
          <w:szCs w:val="24"/>
          <w:highlight w:val="white"/>
        </w:rPr>
        <w:t xml:space="preserve">(1), pp.49-66. [Available at: </w:t>
      </w:r>
      <w:r>
        <w:fldChar w:fldCharType="begin"/>
      </w:r>
      <w:r>
        <w:instrText xml:space="preserve"> HYPERLINK "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\h </w:instrText>
      </w:r>
      <w:r>
        <w:fldChar w:fldCharType="separate"/>
      </w:r>
      <w:r>
        <w:rPr>
          <w:color w:val="1155CC"/>
          <w:sz w:val="24"/>
          <w:szCs w:val="24"/>
          <w:highlight w:val="white"/>
          <w:u w:val="single"/>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r>
        <w:rPr>
          <w:color w:val="1155CC"/>
          <w:sz w:val="24"/>
          <w:szCs w:val="24"/>
          <w:highlight w:val="white"/>
          <w:u w:val="single"/>
        </w:rPr>
        <w:fldChar w:fldCharType="end"/>
      </w:r>
      <w:r>
        <w:rPr>
          <w:color w:val="222222"/>
          <w:sz w:val="24"/>
          <w:szCs w:val="24"/>
          <w:highlight w:val="white"/>
        </w:rPr>
        <w:t xml:space="preserve">] </w:t>
      </w:r>
    </w:p>
    <w:p w14:paraId="21C6314D">
      <w:pPr>
        <w:pStyle w:val="3"/>
        <w:spacing w:line="360" w:lineRule="auto"/>
        <w:jc w:val="both"/>
        <w:rPr>
          <w:color w:val="222222"/>
          <w:sz w:val="24"/>
          <w:szCs w:val="24"/>
          <w:highlight w:val="white"/>
        </w:rPr>
      </w:pPr>
      <w:r>
        <w:rPr>
          <w:color w:val="222222"/>
          <w:sz w:val="24"/>
          <w:szCs w:val="24"/>
          <w:highlight w:val="white"/>
        </w:rPr>
        <w:t xml:space="preserve">Pepó, M., Fullér, S., Cseke, T. and Weltsch, Z., (2025). Advances in standardised battery testing for enhanced safety and innovation in electric vehicles: a comprehensive review. </w:t>
      </w:r>
      <w:r>
        <w:rPr>
          <w:i/>
          <w:iCs/>
          <w:color w:val="222222"/>
          <w:sz w:val="24"/>
          <w:szCs w:val="24"/>
          <w:highlight w:val="white"/>
        </w:rPr>
        <w:t>Batteries</w:t>
      </w:r>
      <w:r>
        <w:rPr>
          <w:color w:val="222222"/>
          <w:sz w:val="24"/>
          <w:szCs w:val="24"/>
          <w:highlight w:val="white"/>
        </w:rPr>
        <w:t xml:space="preserve">, </w:t>
      </w:r>
      <w:r>
        <w:rPr>
          <w:i/>
          <w:iCs/>
          <w:color w:val="222222"/>
          <w:sz w:val="24"/>
          <w:szCs w:val="24"/>
          <w:highlight w:val="white"/>
        </w:rPr>
        <w:t>11</w:t>
      </w:r>
      <w:r>
        <w:rPr>
          <w:color w:val="222222"/>
          <w:sz w:val="24"/>
          <w:szCs w:val="24"/>
          <w:highlight w:val="white"/>
        </w:rPr>
        <w:t xml:space="preserve">(4), p.157. [Available at: </w:t>
      </w:r>
      <w:r>
        <w:fldChar w:fldCharType="begin"/>
      </w:r>
      <w:r>
        <w:instrText xml:space="preserve"> HYPERLINK "https://www.mdpi.com/2313-0105/11/4/157" \h </w:instrText>
      </w:r>
      <w:r>
        <w:fldChar w:fldCharType="separate"/>
      </w:r>
      <w:r>
        <w:rPr>
          <w:color w:val="1155CC"/>
          <w:sz w:val="24"/>
          <w:szCs w:val="24"/>
          <w:highlight w:val="white"/>
          <w:u w:val="single"/>
        </w:rPr>
        <w:t>https://www.mdpi.com/2313-0105/11/4/157</w:t>
      </w:r>
      <w:r>
        <w:rPr>
          <w:color w:val="1155CC"/>
          <w:sz w:val="24"/>
          <w:szCs w:val="24"/>
          <w:highlight w:val="white"/>
          <w:u w:val="single"/>
        </w:rPr>
        <w:fldChar w:fldCharType="end"/>
      </w:r>
      <w:r>
        <w:rPr>
          <w:color w:val="222222"/>
          <w:sz w:val="24"/>
          <w:szCs w:val="24"/>
          <w:highlight w:val="white"/>
        </w:rPr>
        <w:t xml:space="preserve">] </w:t>
      </w:r>
    </w:p>
    <w:p w14:paraId="0D0D959B">
      <w:pPr>
        <w:pStyle w:val="3"/>
        <w:spacing w:line="360" w:lineRule="auto"/>
        <w:jc w:val="both"/>
        <w:rPr>
          <w:color w:val="222222"/>
          <w:sz w:val="24"/>
          <w:szCs w:val="24"/>
          <w:highlight w:val="white"/>
        </w:rPr>
      </w:pPr>
      <w:r>
        <w:rPr>
          <w:color w:val="222222"/>
          <w:sz w:val="24"/>
          <w:szCs w:val="24"/>
          <w:highlight w:val="white"/>
        </w:rPr>
        <w:t xml:space="preserve">Ranasinghe, T., Sivaramakrishnan, K. and Yi, L., (2022). Hedging, hedge accounting, and earnings predictability. </w:t>
      </w:r>
      <w:r>
        <w:rPr>
          <w:i/>
          <w:iCs/>
          <w:color w:val="222222"/>
          <w:sz w:val="24"/>
          <w:szCs w:val="24"/>
          <w:highlight w:val="white"/>
        </w:rPr>
        <w:t>Review of Accounting Studies</w:t>
      </w:r>
      <w:r>
        <w:rPr>
          <w:color w:val="222222"/>
          <w:sz w:val="24"/>
          <w:szCs w:val="24"/>
          <w:highlight w:val="white"/>
        </w:rPr>
        <w:t xml:space="preserve">, </w:t>
      </w:r>
      <w:r>
        <w:rPr>
          <w:i/>
          <w:iCs/>
          <w:color w:val="222222"/>
          <w:sz w:val="24"/>
          <w:szCs w:val="24"/>
          <w:highlight w:val="white"/>
        </w:rPr>
        <w:t>27</w:t>
      </w:r>
      <w:r>
        <w:rPr>
          <w:color w:val="222222"/>
          <w:sz w:val="24"/>
          <w:szCs w:val="24"/>
          <w:highlight w:val="white"/>
        </w:rPr>
        <w:t xml:space="preserve">(1), pp.35-75. [Available at: </w:t>
      </w:r>
      <w:r>
        <w:fldChar w:fldCharType="begin"/>
      </w:r>
      <w:r>
        <w:instrText xml:space="preserve"> HYPERLINK "https://papers.ssrn.com/sol3/Delivery.cfm?abstractid=3770487" \h </w:instrText>
      </w:r>
      <w:r>
        <w:fldChar w:fldCharType="separate"/>
      </w:r>
      <w:r>
        <w:rPr>
          <w:color w:val="1155CC"/>
          <w:sz w:val="24"/>
          <w:szCs w:val="24"/>
          <w:highlight w:val="white"/>
          <w:u w:val="single"/>
        </w:rPr>
        <w:t>https://papers.ssrn.com/sol3/Delivery.cfm?abstractid=3770487</w:t>
      </w:r>
      <w:r>
        <w:rPr>
          <w:color w:val="1155CC"/>
          <w:sz w:val="24"/>
          <w:szCs w:val="24"/>
          <w:highlight w:val="white"/>
          <w:u w:val="single"/>
        </w:rPr>
        <w:fldChar w:fldCharType="end"/>
      </w:r>
      <w:r>
        <w:rPr>
          <w:color w:val="222222"/>
          <w:sz w:val="24"/>
          <w:szCs w:val="24"/>
          <w:highlight w:val="white"/>
        </w:rPr>
        <w:t xml:space="preserve">] </w:t>
      </w:r>
    </w:p>
    <w:p w14:paraId="706976DB">
      <w:pPr>
        <w:pStyle w:val="3"/>
        <w:spacing w:line="360" w:lineRule="auto"/>
        <w:jc w:val="both"/>
        <w:rPr>
          <w:color w:val="222222"/>
          <w:sz w:val="24"/>
          <w:szCs w:val="24"/>
          <w:highlight w:val="white"/>
        </w:rPr>
      </w:pPr>
      <w:r>
        <w:rPr>
          <w:color w:val="222222"/>
          <w:sz w:val="24"/>
          <w:szCs w:val="24"/>
          <w:highlight w:val="white"/>
        </w:rPr>
        <w:t xml:space="preserve">Shou, T., (2022), July. A literature review on the net present value (NPV) valuation method. In </w:t>
      </w:r>
      <w:r>
        <w:rPr>
          <w:i/>
          <w:iCs/>
          <w:color w:val="222222"/>
          <w:sz w:val="24"/>
          <w:szCs w:val="24"/>
          <w:highlight w:val="white"/>
        </w:rPr>
        <w:t>2022 2nd International Conference on Enterprise Management and Economic Development (ICEMED 2022)</w:t>
      </w:r>
      <w:r>
        <w:rPr>
          <w:color w:val="222222"/>
          <w:sz w:val="24"/>
          <w:szCs w:val="24"/>
          <w:highlight w:val="white"/>
        </w:rPr>
        <w:t xml:space="preserve"> (pp. 826-830). Atlantis Press. Netherlands.</w:t>
      </w:r>
    </w:p>
    <w:p w14:paraId="68F244C6">
      <w:pPr>
        <w:pStyle w:val="3"/>
        <w:spacing w:line="360" w:lineRule="auto"/>
        <w:jc w:val="both"/>
        <w:rPr>
          <w:color w:val="222222"/>
          <w:sz w:val="24"/>
          <w:szCs w:val="24"/>
          <w:highlight w:val="white"/>
        </w:rPr>
      </w:pPr>
      <w:r>
        <w:rPr>
          <w:color w:val="222222"/>
          <w:sz w:val="24"/>
          <w:szCs w:val="24"/>
          <w:highlight w:val="white"/>
        </w:rPr>
        <w:t xml:space="preserve">volkswagenag.com, (2022). Available at: </w:t>
      </w:r>
      <w:r>
        <w:fldChar w:fldCharType="begin"/>
      </w:r>
      <w:r>
        <w:instrText xml:space="preserve"> HYPERLINK "https://annualreport2022.volkswagenag.com/_assets/downloads/entire-vw-ar22.pdf" \h </w:instrText>
      </w:r>
      <w:r>
        <w:fldChar w:fldCharType="separate"/>
      </w:r>
      <w:r>
        <w:rPr>
          <w:color w:val="1155CC"/>
          <w:sz w:val="24"/>
          <w:szCs w:val="24"/>
          <w:highlight w:val="white"/>
          <w:u w:val="single"/>
        </w:rPr>
        <w:t>https://annualreport2022.volkswagenag.com/_assets/downloads/entire-vw-ar22.pdf</w:t>
      </w:r>
      <w:r>
        <w:rPr>
          <w:color w:val="1155CC"/>
          <w:sz w:val="24"/>
          <w:szCs w:val="24"/>
          <w:highlight w:val="white"/>
          <w:u w:val="single"/>
        </w:rPr>
        <w:fldChar w:fldCharType="end"/>
      </w:r>
      <w:r>
        <w:rPr>
          <w:color w:val="222222"/>
          <w:sz w:val="24"/>
          <w:szCs w:val="24"/>
          <w:highlight w:val="white"/>
        </w:rPr>
        <w:t>. [Accessed on: 18.03.2026]</w:t>
      </w:r>
    </w:p>
    <w:p w14:paraId="70BD9EFF">
      <w:pPr>
        <w:pStyle w:val="3"/>
        <w:spacing w:line="360" w:lineRule="auto"/>
        <w:jc w:val="both"/>
        <w:rPr>
          <w:color w:val="222222"/>
          <w:sz w:val="24"/>
          <w:szCs w:val="24"/>
          <w:highlight w:val="white"/>
        </w:rPr>
      </w:pPr>
      <w:r>
        <w:rPr>
          <w:color w:val="222222"/>
          <w:sz w:val="24"/>
          <w:szCs w:val="24"/>
          <w:highlight w:val="white"/>
        </w:rPr>
        <w:t xml:space="preserve">volkswagen-group.com, (2024). Available at: </w:t>
      </w:r>
      <w:r>
        <w:fldChar w:fldCharType="begin"/>
      </w:r>
      <w:r>
        <w:instrText xml:space="preserve"> HYPERLINK "https://annualreport2024.volkswagen-group.com/_assets/downloads/entire-vw-ar24.pdf?h=5AteXYgL" \h </w:instrText>
      </w:r>
      <w:r>
        <w:fldChar w:fldCharType="separate"/>
      </w:r>
      <w:r>
        <w:rPr>
          <w:color w:val="1155CC"/>
          <w:sz w:val="24"/>
          <w:szCs w:val="24"/>
          <w:highlight w:val="white"/>
          <w:u w:val="single"/>
        </w:rPr>
        <w:t>https://annualreport2024.volkswagen-group.com/_assets/downloads/entire-vw-ar24.pdf?h=5AteXYgL</w:t>
      </w:r>
      <w:r>
        <w:rPr>
          <w:color w:val="1155CC"/>
          <w:sz w:val="24"/>
          <w:szCs w:val="24"/>
          <w:highlight w:val="white"/>
          <w:u w:val="single"/>
        </w:rPr>
        <w:fldChar w:fldCharType="end"/>
      </w:r>
      <w:r>
        <w:rPr>
          <w:color w:val="222222"/>
          <w:sz w:val="24"/>
          <w:szCs w:val="24"/>
          <w:highlight w:val="white"/>
        </w:rPr>
        <w:t>. [Accessed on: 18.03.2026]</w:t>
      </w:r>
    </w:p>
    <w:p w14:paraId="32D26ADD">
      <w:pPr>
        <w:pStyle w:val="3"/>
        <w:spacing w:line="360" w:lineRule="auto"/>
        <w:jc w:val="both"/>
        <w:rPr>
          <w:color w:val="222222"/>
          <w:sz w:val="24"/>
          <w:szCs w:val="24"/>
          <w:highlight w:val="white"/>
        </w:rPr>
      </w:pPr>
      <w:r>
        <w:rPr>
          <w:color w:val="222222"/>
          <w:sz w:val="24"/>
          <w:szCs w:val="24"/>
          <w:highlight w:val="white"/>
        </w:rPr>
        <w:t xml:space="preserve">volkswagen-group.com, (2024). Available at: </w:t>
      </w:r>
      <w:r>
        <w:fldChar w:fldCharType="begin"/>
      </w:r>
      <w:r>
        <w:instrText xml:space="preserve"> HYPERLINK "https://annualreport2024.volkswagen-group.com/_assets/downloads/entire-vw-ar24.pdf?h=5AteXYgL" \h </w:instrText>
      </w:r>
      <w:r>
        <w:fldChar w:fldCharType="separate"/>
      </w:r>
      <w:r>
        <w:rPr>
          <w:color w:val="1155CC"/>
          <w:sz w:val="24"/>
          <w:szCs w:val="24"/>
          <w:highlight w:val="white"/>
          <w:u w:val="single"/>
        </w:rPr>
        <w:t>https://annualreport2024.volkswagen-group.com/_assets/downloads/entire-vw-ar24.pdf?h=5AteXYgL</w:t>
      </w:r>
      <w:r>
        <w:rPr>
          <w:color w:val="1155CC"/>
          <w:sz w:val="24"/>
          <w:szCs w:val="24"/>
          <w:highlight w:val="white"/>
          <w:u w:val="single"/>
        </w:rPr>
        <w:fldChar w:fldCharType="end"/>
      </w:r>
      <w:r>
        <w:rPr>
          <w:color w:val="222222"/>
          <w:sz w:val="24"/>
          <w:szCs w:val="24"/>
          <w:highlight w:val="white"/>
        </w:rPr>
        <w:t>. [Accessed on: 18.03.2026]</w:t>
      </w:r>
    </w:p>
    <w:p w14:paraId="14ABA7D5">
      <w:pPr>
        <w:pStyle w:val="3"/>
        <w:spacing w:line="360" w:lineRule="auto"/>
        <w:jc w:val="both"/>
        <w:rPr>
          <w:color w:val="222222"/>
          <w:sz w:val="24"/>
          <w:szCs w:val="24"/>
          <w:highlight w:val="white"/>
        </w:rPr>
      </w:pPr>
      <w:r>
        <w:rPr>
          <w:color w:val="222222"/>
          <w:sz w:val="24"/>
          <w:szCs w:val="24"/>
          <w:highlight w:val="white"/>
        </w:rPr>
        <w:t xml:space="preserve">volkswagen-group.com, (2025), cariad. Available at: </w:t>
      </w:r>
      <w:r>
        <w:fldChar w:fldCharType="begin"/>
      </w:r>
      <w:r>
        <w:instrText xml:space="preserve"> HYPERLINK "https://www.volkswagen-group.com/en/cariad-16008" \h </w:instrText>
      </w:r>
      <w:r>
        <w:fldChar w:fldCharType="separate"/>
      </w:r>
      <w:r>
        <w:rPr>
          <w:color w:val="1155CC"/>
          <w:sz w:val="24"/>
          <w:szCs w:val="24"/>
          <w:highlight w:val="white"/>
          <w:u w:val="single"/>
        </w:rPr>
        <w:t>https://www.volkswagen-group.com/en/cariad-16008</w:t>
      </w:r>
      <w:r>
        <w:rPr>
          <w:color w:val="1155CC"/>
          <w:sz w:val="24"/>
          <w:szCs w:val="24"/>
          <w:highlight w:val="white"/>
          <w:u w:val="single"/>
        </w:rPr>
        <w:fldChar w:fldCharType="end"/>
      </w:r>
      <w:r>
        <w:rPr>
          <w:color w:val="222222"/>
          <w:sz w:val="24"/>
          <w:szCs w:val="24"/>
          <w:highlight w:val="white"/>
        </w:rPr>
        <w:t>. [Accessed on: 18.03.2026]</w:t>
      </w:r>
    </w:p>
    <w:p w14:paraId="5D6714B8">
      <w:pPr>
        <w:pStyle w:val="3"/>
        <w:spacing w:line="360" w:lineRule="auto"/>
        <w:jc w:val="both"/>
        <w:rPr>
          <w:color w:val="222222"/>
          <w:sz w:val="24"/>
          <w:szCs w:val="24"/>
          <w:highlight w:val="white"/>
        </w:rPr>
      </w:pPr>
      <w:r>
        <w:rPr>
          <w:color w:val="222222"/>
          <w:sz w:val="24"/>
          <w:szCs w:val="24"/>
          <w:highlight w:val="white"/>
        </w:rPr>
        <w:t xml:space="preserve">volkswagen-group.com, (2025). Available at: </w:t>
      </w:r>
      <w:r>
        <w:fldChar w:fldCharType="begin"/>
      </w:r>
      <w:r>
        <w:instrText xml:space="preserve"> HYPERLINK "https://annualreport2025.volkswagen-group.com/_assets/downloads/entire-vw-ar25.pdf?h=bz8bYG_n" \h </w:instrText>
      </w:r>
      <w:r>
        <w:fldChar w:fldCharType="separate"/>
      </w:r>
      <w:r>
        <w:rPr>
          <w:color w:val="1155CC"/>
          <w:sz w:val="24"/>
          <w:szCs w:val="24"/>
          <w:highlight w:val="white"/>
          <w:u w:val="single"/>
        </w:rPr>
        <w:t>https://annualreport2025.volkswagen-group.com/_assets/downloads/entire-vw-ar25.pdf?h=bz8bYG_n</w:t>
      </w:r>
      <w:r>
        <w:rPr>
          <w:color w:val="1155CC"/>
          <w:sz w:val="24"/>
          <w:szCs w:val="24"/>
          <w:highlight w:val="white"/>
          <w:u w:val="single"/>
        </w:rPr>
        <w:fldChar w:fldCharType="end"/>
      </w:r>
      <w:r>
        <w:rPr>
          <w:color w:val="222222"/>
          <w:sz w:val="24"/>
          <w:szCs w:val="24"/>
          <w:highlight w:val="white"/>
        </w:rPr>
        <w:t>. [Accessed on: 18.03.2026]</w:t>
      </w:r>
    </w:p>
    <w:p w14:paraId="1D7BF1C1">
      <w:pPr>
        <w:pStyle w:val="3"/>
        <w:spacing w:line="360" w:lineRule="auto"/>
        <w:jc w:val="both"/>
        <w:rPr>
          <w:color w:val="222222"/>
          <w:sz w:val="24"/>
          <w:szCs w:val="24"/>
          <w:highlight w:val="white"/>
        </w:rPr>
      </w:pPr>
      <w:r>
        <w:rPr>
          <w:sz w:val="24"/>
          <w:szCs w:val="24"/>
        </w:rPr>
        <w:t xml:space="preserve">volkswagen-newsroom.com, (2025), history. Available at: </w:t>
      </w:r>
      <w:r>
        <w:fldChar w:fldCharType="begin"/>
      </w:r>
      <w:r>
        <w:instrText xml:space="preserve"> HYPERLINK "https://www.volkswagen-newsroom.com/en/history-3693" \h </w:instrText>
      </w:r>
      <w:r>
        <w:fldChar w:fldCharType="separate"/>
      </w:r>
      <w:r>
        <w:rPr>
          <w:color w:val="1155CC"/>
          <w:sz w:val="24"/>
          <w:szCs w:val="24"/>
          <w:highlight w:val="white"/>
          <w:u w:val="single"/>
        </w:rPr>
        <w:t>https://www.volkswagen-newsroom.com/en/history-3693</w:t>
      </w:r>
      <w:r>
        <w:rPr>
          <w:color w:val="1155CC"/>
          <w:sz w:val="24"/>
          <w:szCs w:val="24"/>
          <w:highlight w:val="white"/>
          <w:u w:val="single"/>
        </w:rPr>
        <w:fldChar w:fldCharType="end"/>
      </w:r>
      <w:r>
        <w:rPr>
          <w:color w:val="222222"/>
          <w:sz w:val="24"/>
          <w:szCs w:val="24"/>
          <w:highlight w:val="white"/>
        </w:rPr>
        <w:t>. [Accessed on: 18.03.2026]</w:t>
      </w:r>
    </w:p>
    <w:p w14:paraId="543730EA">
      <w:pPr>
        <w:pStyle w:val="3"/>
        <w:spacing w:line="360" w:lineRule="auto"/>
        <w:jc w:val="both"/>
        <w:rPr>
          <w:color w:val="222222"/>
          <w:sz w:val="24"/>
          <w:szCs w:val="24"/>
          <w:highlight w:val="white"/>
        </w:rPr>
      </w:pPr>
      <w:r>
        <w:rPr>
          <w:color w:val="222222"/>
          <w:sz w:val="24"/>
          <w:szCs w:val="24"/>
          <w:highlight w:val="white"/>
        </w:rPr>
        <w:t xml:space="preserve">Wu, W., Li, M., Yang, Y., Huang, B., Wang, S. and Huang, G.Q., (2025). Optimal deposit-return strategies for the recycling of spent electric automobile battery: Manufacturer, retailer, or consumer. </w:t>
      </w:r>
      <w:r>
        <w:rPr>
          <w:i/>
          <w:iCs/>
          <w:color w:val="222222"/>
          <w:sz w:val="24"/>
          <w:szCs w:val="24"/>
          <w:highlight w:val="white"/>
        </w:rPr>
        <w:t>Transport Policy</w:t>
      </w:r>
      <w:r>
        <w:rPr>
          <w:color w:val="222222"/>
          <w:sz w:val="24"/>
          <w:szCs w:val="24"/>
          <w:highlight w:val="white"/>
        </w:rPr>
        <w:t xml:space="preserve">, </w:t>
      </w:r>
      <w:r>
        <w:rPr>
          <w:i/>
          <w:iCs/>
          <w:color w:val="222222"/>
          <w:sz w:val="24"/>
          <w:szCs w:val="24"/>
          <w:highlight w:val="white"/>
        </w:rPr>
        <w:t>164</w:t>
      </w:r>
      <w:r>
        <w:rPr>
          <w:color w:val="222222"/>
          <w:sz w:val="24"/>
          <w:szCs w:val="24"/>
          <w:highlight w:val="white"/>
        </w:rPr>
        <w:t xml:space="preserve">, pp.92-103. [Available at: </w:t>
      </w:r>
      <w:r>
        <w:fldChar w:fldCharType="begin"/>
      </w:r>
      <w:r>
        <w:instrText xml:space="preserve"> HYPERLINK "https://www.sciencedirect.com/science/article/pii/S0967070X25000411" \h </w:instrText>
      </w:r>
      <w:r>
        <w:fldChar w:fldCharType="separate"/>
      </w:r>
      <w:r>
        <w:rPr>
          <w:color w:val="1155CC"/>
          <w:sz w:val="24"/>
          <w:szCs w:val="24"/>
          <w:highlight w:val="white"/>
          <w:u w:val="single"/>
        </w:rPr>
        <w:t>https://www.sciencedirect.com/science/article/pii/S0967070X25000411</w:t>
      </w:r>
      <w:r>
        <w:rPr>
          <w:color w:val="1155CC"/>
          <w:sz w:val="24"/>
          <w:szCs w:val="24"/>
          <w:highlight w:val="white"/>
          <w:u w:val="single"/>
        </w:rPr>
        <w:fldChar w:fldCharType="end"/>
      </w:r>
      <w:r>
        <w:rPr>
          <w:color w:val="222222"/>
          <w:sz w:val="24"/>
          <w:szCs w:val="24"/>
          <w:highlight w:val="white"/>
        </w:rPr>
        <w:t xml:space="preserve">] </w:t>
      </w:r>
    </w:p>
    <w:p w14:paraId="6E63A804">
      <w:pPr>
        <w:pStyle w:val="3"/>
        <w:spacing w:line="360" w:lineRule="auto"/>
        <w:jc w:val="both"/>
        <w:rPr>
          <w:color w:val="222222"/>
          <w:sz w:val="24"/>
          <w:szCs w:val="24"/>
          <w:highlight w:val="white"/>
        </w:rPr>
      </w:pPr>
      <w:r>
        <w:rPr>
          <w:color w:val="222222"/>
          <w:sz w:val="24"/>
          <w:szCs w:val="24"/>
          <w:highlight w:val="white"/>
        </w:rPr>
        <w:t xml:space="preserve">Xiang, X., Liu, C. and Yang, M., (2022). Who is financing corporate green innovation?. </w:t>
      </w:r>
      <w:r>
        <w:rPr>
          <w:i/>
          <w:iCs/>
          <w:color w:val="222222"/>
          <w:sz w:val="24"/>
          <w:szCs w:val="24"/>
          <w:highlight w:val="white"/>
        </w:rPr>
        <w:t>International Review of Economics &amp; Finance</w:t>
      </w:r>
      <w:r>
        <w:rPr>
          <w:color w:val="222222"/>
          <w:sz w:val="24"/>
          <w:szCs w:val="24"/>
          <w:highlight w:val="white"/>
        </w:rPr>
        <w:t xml:space="preserve">, </w:t>
      </w:r>
      <w:r>
        <w:rPr>
          <w:i/>
          <w:iCs/>
          <w:color w:val="222222"/>
          <w:sz w:val="24"/>
          <w:szCs w:val="24"/>
          <w:highlight w:val="white"/>
        </w:rPr>
        <w:t>78</w:t>
      </w:r>
      <w:r>
        <w:rPr>
          <w:color w:val="222222"/>
          <w:sz w:val="24"/>
          <w:szCs w:val="24"/>
          <w:highlight w:val="white"/>
        </w:rPr>
        <w:t xml:space="preserve">, pp.321-337. [Available at: </w:t>
      </w:r>
      <w:r>
        <w:fldChar w:fldCharType="begin"/>
      </w:r>
      <w:r>
        <w:instrText xml:space="preserve"> HYPERLINK "https://www.sciencedirect.com/science/article/pii/S1059056021002598" \h </w:instrText>
      </w:r>
      <w:r>
        <w:fldChar w:fldCharType="separate"/>
      </w:r>
      <w:r>
        <w:rPr>
          <w:color w:val="1155CC"/>
          <w:sz w:val="24"/>
          <w:szCs w:val="24"/>
          <w:highlight w:val="white"/>
          <w:u w:val="single"/>
        </w:rPr>
        <w:t>https://www.sciencedirect.com/science/article/pii/S1059056021002598</w:t>
      </w:r>
      <w:r>
        <w:rPr>
          <w:color w:val="1155CC"/>
          <w:sz w:val="24"/>
          <w:szCs w:val="24"/>
          <w:highlight w:val="white"/>
          <w:u w:val="single"/>
        </w:rPr>
        <w:fldChar w:fldCharType="end"/>
      </w:r>
      <w:r>
        <w:rPr>
          <w:color w:val="222222"/>
          <w:sz w:val="24"/>
          <w:szCs w:val="24"/>
          <w:highlight w:val="white"/>
        </w:rPr>
        <w:t xml:space="preserve">] </w:t>
      </w:r>
    </w:p>
    <w:p w14:paraId="5F2A2ECA">
      <w:pPr>
        <w:pStyle w:val="3"/>
        <w:spacing w:line="360" w:lineRule="auto"/>
        <w:jc w:val="both"/>
        <w:rPr>
          <w:b/>
          <w:bCs/>
          <w:sz w:val="24"/>
          <w:szCs w:val="24"/>
        </w:rPr>
      </w:pPr>
    </w:p>
    <w:p w14:paraId="7B271618">
      <w:pPr>
        <w:rPr>
          <w:b/>
          <w:bCs/>
          <w:sz w:val="24"/>
          <w:szCs w:val="24"/>
        </w:rPr>
      </w:pPr>
      <w:r>
        <w:rPr>
          <w:b/>
          <w:bCs/>
          <w:sz w:val="24"/>
          <w:szCs w:val="24"/>
        </w:rPr>
        <w:br w:type="page"/>
      </w:r>
    </w:p>
    <w:p w14:paraId="45D1C060">
      <w:pPr>
        <w:pStyle w:val="2"/>
      </w:pPr>
      <w:bookmarkStart w:id="20" w:name="_Toc225413800"/>
      <w:r>
        <w:t>Appendices</w:t>
      </w:r>
      <w:bookmarkEnd w:id="20"/>
    </w:p>
    <w:p w14:paraId="033D4A91">
      <w:pPr>
        <w:pStyle w:val="4"/>
      </w:pPr>
      <w:bookmarkStart w:id="21" w:name="_Toc225413801"/>
      <w:r>
        <w:t>Ratio Calculations</w:t>
      </w:r>
      <w:bookmarkEnd w:id="21"/>
    </w:p>
    <w:p w14:paraId="41A98D2E">
      <w:pPr>
        <w:pStyle w:val="3"/>
        <w:spacing w:line="360" w:lineRule="auto"/>
        <w:jc w:val="center"/>
        <w:rPr>
          <w:b/>
          <w:bCs/>
          <w:sz w:val="24"/>
          <w:szCs w:val="24"/>
        </w:rPr>
      </w:pPr>
      <w:r>
        <w:rPr>
          <w:b/>
          <w:bCs/>
          <w:sz w:val="24"/>
          <w:szCs w:val="24"/>
          <w:lang w:val="en-US"/>
        </w:rPr>
        <w:drawing>
          <wp:inline distT="114300" distB="114300" distL="114300" distR="114300">
            <wp:extent cx="5943600" cy="21463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referRelativeResize="0"/>
                  </pic:nvPicPr>
                  <pic:blipFill>
                    <a:blip r:embed="rId20"/>
                    <a:srcRect/>
                    <a:stretch>
                      <a:fillRect/>
                    </a:stretch>
                  </pic:blipFill>
                  <pic:spPr>
                    <a:xfrm>
                      <a:off x="0" y="0"/>
                      <a:ext cx="5943600" cy="2146300"/>
                    </a:xfrm>
                    <a:prstGeom prst="rect">
                      <a:avLst/>
                    </a:prstGeom>
                  </pic:spPr>
                </pic:pic>
              </a:graphicData>
            </a:graphic>
          </wp:inline>
        </w:drawing>
      </w:r>
    </w:p>
    <w:p w14:paraId="45B0B451">
      <w:pPr>
        <w:pStyle w:val="3"/>
        <w:spacing w:line="360" w:lineRule="auto"/>
        <w:jc w:val="center"/>
        <w:rPr>
          <w:b/>
          <w:bCs/>
          <w:sz w:val="24"/>
          <w:szCs w:val="24"/>
        </w:rPr>
      </w:pPr>
      <w:r>
        <w:rPr>
          <w:b/>
          <w:bCs/>
          <w:sz w:val="24"/>
          <w:szCs w:val="24"/>
          <w:lang w:val="en-US"/>
        </w:rPr>
        <w:drawing>
          <wp:inline distT="114300" distB="114300" distL="114300" distR="114300">
            <wp:extent cx="5943600" cy="15494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referRelativeResize="0"/>
                  </pic:nvPicPr>
                  <pic:blipFill>
                    <a:blip r:embed="rId21"/>
                    <a:srcRect/>
                    <a:stretch>
                      <a:fillRect/>
                    </a:stretch>
                  </pic:blipFill>
                  <pic:spPr>
                    <a:xfrm>
                      <a:off x="0" y="0"/>
                      <a:ext cx="5943600" cy="1549400"/>
                    </a:xfrm>
                    <a:prstGeom prst="rect">
                      <a:avLst/>
                    </a:prstGeom>
                  </pic:spPr>
                </pic:pic>
              </a:graphicData>
            </a:graphic>
          </wp:inline>
        </w:drawing>
      </w:r>
    </w:p>
    <w:p w14:paraId="063D75E7">
      <w:pPr>
        <w:pStyle w:val="3"/>
        <w:spacing w:line="360" w:lineRule="auto"/>
        <w:jc w:val="center"/>
        <w:rPr>
          <w:b/>
          <w:bCs/>
          <w:sz w:val="24"/>
          <w:szCs w:val="24"/>
        </w:rPr>
      </w:pPr>
      <w:r>
        <w:rPr>
          <w:b/>
          <w:bCs/>
          <w:sz w:val="24"/>
          <w:szCs w:val="24"/>
          <w:lang w:val="en-US"/>
        </w:rPr>
        <w:drawing>
          <wp:inline distT="114300" distB="114300" distL="114300" distR="114300">
            <wp:extent cx="5943600" cy="1714500"/>
            <wp:effectExtent l="0" t="0" r="0" b="0"/>
            <wp:docPr id="25" name="image15.png"/>
            <wp:cNvGraphicFramePr/>
            <a:graphic xmlns:a="http://schemas.openxmlformats.org/drawingml/2006/main">
              <a:graphicData uri="http://schemas.openxmlformats.org/drawingml/2006/picture">
                <pic:pic xmlns:pic="http://schemas.openxmlformats.org/drawingml/2006/picture">
                  <pic:nvPicPr>
                    <pic:cNvPr id="25" name="image15.png"/>
                    <pic:cNvPicPr preferRelativeResize="0"/>
                  </pic:nvPicPr>
                  <pic:blipFill>
                    <a:blip r:embed="rId22"/>
                    <a:srcRect/>
                    <a:stretch>
                      <a:fillRect/>
                    </a:stretch>
                  </pic:blipFill>
                  <pic:spPr>
                    <a:xfrm>
                      <a:off x="0" y="0"/>
                      <a:ext cx="5943600" cy="1714500"/>
                    </a:xfrm>
                    <a:prstGeom prst="rect">
                      <a:avLst/>
                    </a:prstGeom>
                  </pic:spPr>
                </pic:pic>
              </a:graphicData>
            </a:graphic>
          </wp:inline>
        </w:drawing>
      </w:r>
    </w:p>
    <w:p w14:paraId="35E76A73">
      <w:pPr>
        <w:pStyle w:val="3"/>
        <w:spacing w:line="360" w:lineRule="auto"/>
        <w:jc w:val="center"/>
        <w:rPr>
          <w:b/>
          <w:bCs/>
          <w:sz w:val="24"/>
          <w:szCs w:val="24"/>
        </w:rPr>
      </w:pPr>
      <w:r>
        <w:rPr>
          <w:b/>
          <w:bCs/>
          <w:sz w:val="24"/>
          <w:szCs w:val="24"/>
          <w:lang w:val="en-US"/>
        </w:rPr>
        <w:drawing>
          <wp:inline distT="114300" distB="114300" distL="114300" distR="114300">
            <wp:extent cx="5943600" cy="15367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referRelativeResize="0"/>
                  </pic:nvPicPr>
                  <pic:blipFill>
                    <a:blip r:embed="rId23"/>
                    <a:srcRect/>
                    <a:stretch>
                      <a:fillRect/>
                    </a:stretch>
                  </pic:blipFill>
                  <pic:spPr>
                    <a:xfrm>
                      <a:off x="0" y="0"/>
                      <a:ext cx="5943600" cy="1536700"/>
                    </a:xfrm>
                    <a:prstGeom prst="rect">
                      <a:avLst/>
                    </a:prstGeom>
                  </pic:spPr>
                </pic:pic>
              </a:graphicData>
            </a:graphic>
          </wp:inline>
        </w:drawing>
      </w:r>
    </w:p>
    <w:p w14:paraId="3F1D1422">
      <w:pPr>
        <w:pStyle w:val="3"/>
        <w:spacing w:line="360" w:lineRule="auto"/>
        <w:jc w:val="center"/>
        <w:rPr>
          <w:b/>
          <w:bCs/>
          <w:sz w:val="24"/>
          <w:szCs w:val="24"/>
        </w:rPr>
      </w:pPr>
      <w:r>
        <w:rPr>
          <w:b/>
          <w:bCs/>
          <w:sz w:val="24"/>
          <w:szCs w:val="24"/>
          <w:lang w:val="en-US"/>
        </w:rPr>
        <w:drawing>
          <wp:inline distT="114300" distB="114300" distL="114300" distR="114300">
            <wp:extent cx="5943600" cy="2171700"/>
            <wp:effectExtent l="0" t="0" r="0" b="0"/>
            <wp:docPr id="11" name="image13.png"/>
            <wp:cNvGraphicFramePr/>
            <a:graphic xmlns:a="http://schemas.openxmlformats.org/drawingml/2006/main">
              <a:graphicData uri="http://schemas.openxmlformats.org/drawingml/2006/picture">
                <pic:pic xmlns:pic="http://schemas.openxmlformats.org/drawingml/2006/picture">
                  <pic:nvPicPr>
                    <pic:cNvPr id="11" name="image13.png"/>
                    <pic:cNvPicPr preferRelativeResize="0"/>
                  </pic:nvPicPr>
                  <pic:blipFill>
                    <a:blip r:embed="rId24"/>
                    <a:srcRect/>
                    <a:stretch>
                      <a:fillRect/>
                    </a:stretch>
                  </pic:blipFill>
                  <pic:spPr>
                    <a:xfrm>
                      <a:off x="0" y="0"/>
                      <a:ext cx="5943600" cy="2171700"/>
                    </a:xfrm>
                    <a:prstGeom prst="rect">
                      <a:avLst/>
                    </a:prstGeom>
                  </pic:spPr>
                </pic:pic>
              </a:graphicData>
            </a:graphic>
          </wp:inline>
        </w:drawing>
      </w:r>
    </w:p>
    <w:p w14:paraId="407DD9B1">
      <w:pPr>
        <w:pStyle w:val="4"/>
      </w:pPr>
      <w:bookmarkStart w:id="22" w:name="_Toc225413802"/>
      <w:r>
        <w:t>Investment appraisal calculations</w:t>
      </w:r>
      <w:bookmarkEnd w:id="22"/>
    </w:p>
    <w:p w14:paraId="282C38ED">
      <w:pPr>
        <w:pStyle w:val="3"/>
        <w:spacing w:line="360" w:lineRule="auto"/>
        <w:jc w:val="both"/>
        <w:rPr>
          <w:b/>
          <w:bCs/>
          <w:sz w:val="24"/>
          <w:szCs w:val="24"/>
        </w:rPr>
      </w:pPr>
      <w:r>
        <w:rPr>
          <w:b/>
          <w:bCs/>
          <w:sz w:val="24"/>
          <w:szCs w:val="24"/>
        </w:rPr>
        <w:t>Project A:</w:t>
      </w:r>
    </w:p>
    <w:p w14:paraId="61AC5538">
      <w:pPr>
        <w:pStyle w:val="3"/>
        <w:spacing w:line="360" w:lineRule="auto"/>
        <w:jc w:val="center"/>
        <w:rPr>
          <w:b/>
          <w:bCs/>
          <w:sz w:val="24"/>
          <w:szCs w:val="24"/>
        </w:rPr>
      </w:pPr>
      <w:r>
        <w:rPr>
          <w:b/>
          <w:bCs/>
          <w:sz w:val="24"/>
          <w:szCs w:val="24"/>
          <w:lang w:val="en-US"/>
        </w:rPr>
        <w:drawing>
          <wp:inline distT="114300" distB="114300" distL="114300" distR="114300">
            <wp:extent cx="4476750" cy="390525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2" name="image11.png"/>
                    <pic:cNvPicPr preferRelativeResize="0"/>
                  </pic:nvPicPr>
                  <pic:blipFill>
                    <a:blip r:embed="rId25"/>
                    <a:srcRect/>
                    <a:stretch>
                      <a:fillRect/>
                    </a:stretch>
                  </pic:blipFill>
                  <pic:spPr>
                    <a:xfrm>
                      <a:off x="0" y="0"/>
                      <a:ext cx="4476750" cy="3905250"/>
                    </a:xfrm>
                    <a:prstGeom prst="rect">
                      <a:avLst/>
                    </a:prstGeom>
                  </pic:spPr>
                </pic:pic>
              </a:graphicData>
            </a:graphic>
          </wp:inline>
        </w:drawing>
      </w:r>
    </w:p>
    <w:p w14:paraId="178F2002">
      <w:pPr>
        <w:pStyle w:val="3"/>
        <w:spacing w:line="360" w:lineRule="auto"/>
        <w:jc w:val="center"/>
        <w:rPr>
          <w:b/>
          <w:bCs/>
          <w:sz w:val="24"/>
          <w:szCs w:val="24"/>
        </w:rPr>
      </w:pPr>
      <w:r>
        <w:rPr>
          <w:b/>
          <w:bCs/>
          <w:sz w:val="24"/>
          <w:szCs w:val="24"/>
          <w:lang w:val="en-US"/>
        </w:rPr>
        <w:drawing>
          <wp:inline distT="114300" distB="114300" distL="114300" distR="114300">
            <wp:extent cx="4505325" cy="3105150"/>
            <wp:effectExtent l="0" t="0" r="0" b="0"/>
            <wp:docPr id="17" name="image3.png"/>
            <wp:cNvGraphicFramePr/>
            <a:graphic xmlns:a="http://schemas.openxmlformats.org/drawingml/2006/main">
              <a:graphicData uri="http://schemas.openxmlformats.org/drawingml/2006/picture">
                <pic:pic xmlns:pic="http://schemas.openxmlformats.org/drawingml/2006/picture">
                  <pic:nvPicPr>
                    <pic:cNvPr id="17" name="image3.png"/>
                    <pic:cNvPicPr preferRelativeResize="0"/>
                  </pic:nvPicPr>
                  <pic:blipFill>
                    <a:blip r:embed="rId26"/>
                    <a:srcRect/>
                    <a:stretch>
                      <a:fillRect/>
                    </a:stretch>
                  </pic:blipFill>
                  <pic:spPr>
                    <a:xfrm>
                      <a:off x="0" y="0"/>
                      <a:ext cx="4505325" cy="3105150"/>
                    </a:xfrm>
                    <a:prstGeom prst="rect">
                      <a:avLst/>
                    </a:prstGeom>
                  </pic:spPr>
                </pic:pic>
              </a:graphicData>
            </a:graphic>
          </wp:inline>
        </w:drawing>
      </w:r>
    </w:p>
    <w:p w14:paraId="3B148091">
      <w:pPr>
        <w:pStyle w:val="3"/>
        <w:spacing w:line="360" w:lineRule="auto"/>
        <w:jc w:val="center"/>
        <w:rPr>
          <w:b/>
          <w:bCs/>
          <w:sz w:val="24"/>
          <w:szCs w:val="24"/>
        </w:rPr>
      </w:pPr>
      <w:r>
        <w:rPr>
          <w:b/>
          <w:bCs/>
          <w:sz w:val="24"/>
          <w:szCs w:val="24"/>
          <w:lang w:val="en-US"/>
        </w:rPr>
        <w:drawing>
          <wp:inline distT="114300" distB="114300" distL="114300" distR="114300">
            <wp:extent cx="3381375" cy="1762125"/>
            <wp:effectExtent l="0" t="0" r="0" b="0"/>
            <wp:docPr id="21" name="image14.png"/>
            <wp:cNvGraphicFramePr/>
            <a:graphic xmlns:a="http://schemas.openxmlformats.org/drawingml/2006/main">
              <a:graphicData uri="http://schemas.openxmlformats.org/drawingml/2006/picture">
                <pic:pic xmlns:pic="http://schemas.openxmlformats.org/drawingml/2006/picture">
                  <pic:nvPicPr>
                    <pic:cNvPr id="21" name="image14.png"/>
                    <pic:cNvPicPr preferRelativeResize="0"/>
                  </pic:nvPicPr>
                  <pic:blipFill>
                    <a:blip r:embed="rId27"/>
                    <a:srcRect/>
                    <a:stretch>
                      <a:fillRect/>
                    </a:stretch>
                  </pic:blipFill>
                  <pic:spPr>
                    <a:xfrm>
                      <a:off x="0" y="0"/>
                      <a:ext cx="3381375" cy="1762125"/>
                    </a:xfrm>
                    <a:prstGeom prst="rect">
                      <a:avLst/>
                    </a:prstGeom>
                  </pic:spPr>
                </pic:pic>
              </a:graphicData>
            </a:graphic>
          </wp:inline>
        </w:drawing>
      </w:r>
    </w:p>
    <w:p w14:paraId="3BDF1A4F">
      <w:pPr>
        <w:pStyle w:val="3"/>
        <w:spacing w:line="360" w:lineRule="auto"/>
        <w:jc w:val="both"/>
        <w:rPr>
          <w:b/>
          <w:bCs/>
          <w:sz w:val="24"/>
          <w:szCs w:val="24"/>
        </w:rPr>
      </w:pPr>
      <w:r>
        <w:rPr>
          <w:b/>
          <w:bCs/>
          <w:sz w:val="24"/>
          <w:szCs w:val="24"/>
        </w:rPr>
        <w:t>Project B:</w:t>
      </w:r>
    </w:p>
    <w:p w14:paraId="7623413D">
      <w:pPr>
        <w:pStyle w:val="3"/>
        <w:spacing w:line="360" w:lineRule="auto"/>
        <w:jc w:val="center"/>
        <w:rPr>
          <w:b/>
          <w:bCs/>
          <w:sz w:val="24"/>
          <w:szCs w:val="24"/>
        </w:rPr>
      </w:pPr>
      <w:r>
        <w:rPr>
          <w:b/>
          <w:bCs/>
          <w:sz w:val="24"/>
          <w:szCs w:val="24"/>
          <w:lang w:val="en-US"/>
        </w:rPr>
        <w:drawing>
          <wp:inline distT="114300" distB="114300" distL="114300" distR="114300">
            <wp:extent cx="3762375" cy="389572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referRelativeResize="0"/>
                  </pic:nvPicPr>
                  <pic:blipFill>
                    <a:blip r:embed="rId28"/>
                    <a:srcRect/>
                    <a:stretch>
                      <a:fillRect/>
                    </a:stretch>
                  </pic:blipFill>
                  <pic:spPr>
                    <a:xfrm>
                      <a:off x="0" y="0"/>
                      <a:ext cx="3762375" cy="3895725"/>
                    </a:xfrm>
                    <a:prstGeom prst="rect">
                      <a:avLst/>
                    </a:prstGeom>
                  </pic:spPr>
                </pic:pic>
              </a:graphicData>
            </a:graphic>
          </wp:inline>
        </w:drawing>
      </w:r>
    </w:p>
    <w:p w14:paraId="37685512">
      <w:pPr>
        <w:pStyle w:val="3"/>
        <w:spacing w:line="360" w:lineRule="auto"/>
        <w:jc w:val="center"/>
        <w:rPr>
          <w:b/>
          <w:bCs/>
          <w:sz w:val="24"/>
          <w:szCs w:val="24"/>
        </w:rPr>
      </w:pPr>
      <w:r>
        <w:rPr>
          <w:b/>
          <w:bCs/>
          <w:sz w:val="24"/>
          <w:szCs w:val="24"/>
          <w:lang w:val="en-US"/>
        </w:rPr>
        <w:drawing>
          <wp:inline distT="114300" distB="114300" distL="114300" distR="114300">
            <wp:extent cx="3743325" cy="4619625"/>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referRelativeResize="0"/>
                  </pic:nvPicPr>
                  <pic:blipFill>
                    <a:blip r:embed="rId29"/>
                    <a:srcRect/>
                    <a:stretch>
                      <a:fillRect/>
                    </a:stretch>
                  </pic:blipFill>
                  <pic:spPr>
                    <a:xfrm>
                      <a:off x="0" y="0"/>
                      <a:ext cx="3743325" cy="4619625"/>
                    </a:xfrm>
                    <a:prstGeom prst="rect">
                      <a:avLst/>
                    </a:prstGeom>
                  </pic:spPr>
                </pic:pic>
              </a:graphicData>
            </a:graphic>
          </wp:inline>
        </w:drawing>
      </w:r>
    </w:p>
    <w:p w14:paraId="705D541C">
      <w:pPr>
        <w:pStyle w:val="3"/>
        <w:spacing w:line="360" w:lineRule="auto"/>
        <w:rPr>
          <w:b/>
          <w:bCs/>
          <w:sz w:val="24"/>
          <w:szCs w:val="24"/>
        </w:rPr>
      </w:pPr>
      <w:r>
        <w:rPr>
          <w:b/>
          <w:bCs/>
          <w:sz w:val="24"/>
          <w:szCs w:val="24"/>
        </w:rPr>
        <w:t>Project C:</w:t>
      </w:r>
    </w:p>
    <w:p w14:paraId="5E2F9200">
      <w:pPr>
        <w:pStyle w:val="3"/>
        <w:spacing w:line="360" w:lineRule="auto"/>
        <w:jc w:val="center"/>
        <w:rPr>
          <w:b/>
          <w:bCs/>
          <w:sz w:val="24"/>
          <w:szCs w:val="24"/>
        </w:rPr>
      </w:pPr>
      <w:r>
        <w:rPr>
          <w:b/>
          <w:bCs/>
          <w:sz w:val="24"/>
          <w:szCs w:val="24"/>
          <w:lang w:val="en-US"/>
        </w:rPr>
        <w:drawing>
          <wp:inline distT="114300" distB="114300" distL="114300" distR="114300">
            <wp:extent cx="3952875" cy="3905250"/>
            <wp:effectExtent l="0" t="0" r="0" b="0"/>
            <wp:docPr id="19" name="image9.png"/>
            <wp:cNvGraphicFramePr/>
            <a:graphic xmlns:a="http://schemas.openxmlformats.org/drawingml/2006/main">
              <a:graphicData uri="http://schemas.openxmlformats.org/drawingml/2006/picture">
                <pic:pic xmlns:pic="http://schemas.openxmlformats.org/drawingml/2006/picture">
                  <pic:nvPicPr>
                    <pic:cNvPr id="19" name="image9.png"/>
                    <pic:cNvPicPr preferRelativeResize="0"/>
                  </pic:nvPicPr>
                  <pic:blipFill>
                    <a:blip r:embed="rId30"/>
                    <a:srcRect/>
                    <a:stretch>
                      <a:fillRect/>
                    </a:stretch>
                  </pic:blipFill>
                  <pic:spPr>
                    <a:xfrm>
                      <a:off x="0" y="0"/>
                      <a:ext cx="3952875" cy="3905250"/>
                    </a:xfrm>
                    <a:prstGeom prst="rect">
                      <a:avLst/>
                    </a:prstGeom>
                  </pic:spPr>
                </pic:pic>
              </a:graphicData>
            </a:graphic>
          </wp:inline>
        </w:drawing>
      </w:r>
    </w:p>
    <w:p w14:paraId="6CD4ED76">
      <w:pPr>
        <w:pStyle w:val="3"/>
        <w:spacing w:line="360" w:lineRule="auto"/>
        <w:jc w:val="center"/>
        <w:rPr>
          <w:b/>
          <w:bCs/>
          <w:sz w:val="24"/>
          <w:szCs w:val="24"/>
        </w:rPr>
      </w:pPr>
      <w:r>
        <w:rPr>
          <w:b/>
          <w:bCs/>
          <w:sz w:val="24"/>
          <w:szCs w:val="24"/>
          <w:lang w:val="en-US"/>
        </w:rPr>
        <w:drawing>
          <wp:inline distT="114300" distB="114300" distL="114300" distR="114300">
            <wp:extent cx="3962400" cy="309562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referRelativeResize="0"/>
                  </pic:nvPicPr>
                  <pic:blipFill>
                    <a:blip r:embed="rId31"/>
                    <a:srcRect/>
                    <a:stretch>
                      <a:fillRect/>
                    </a:stretch>
                  </pic:blipFill>
                  <pic:spPr>
                    <a:xfrm>
                      <a:off x="0" y="0"/>
                      <a:ext cx="3962400" cy="3095625"/>
                    </a:xfrm>
                    <a:prstGeom prst="rect">
                      <a:avLst/>
                    </a:prstGeom>
                  </pic:spPr>
                </pic:pic>
              </a:graphicData>
            </a:graphic>
          </wp:inline>
        </w:drawing>
      </w:r>
    </w:p>
    <w:p w14:paraId="1C5D7B69">
      <w:pPr>
        <w:pStyle w:val="3"/>
        <w:spacing w:line="360" w:lineRule="auto"/>
        <w:jc w:val="center"/>
        <w:rPr>
          <w:b/>
          <w:bCs/>
          <w:sz w:val="24"/>
          <w:szCs w:val="24"/>
        </w:rPr>
      </w:pPr>
      <w:r>
        <w:rPr>
          <w:b/>
          <w:bCs/>
          <w:sz w:val="24"/>
          <w:szCs w:val="24"/>
          <w:lang w:val="en-US"/>
        </w:rPr>
        <w:drawing>
          <wp:inline distT="114300" distB="114300" distL="114300" distR="114300">
            <wp:extent cx="3333750" cy="1762125"/>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referRelativeResize="0"/>
                  </pic:nvPicPr>
                  <pic:blipFill>
                    <a:blip r:embed="rId32"/>
                    <a:srcRect/>
                    <a:stretch>
                      <a:fillRect/>
                    </a:stretch>
                  </pic:blipFill>
                  <pic:spPr>
                    <a:xfrm>
                      <a:off x="0" y="0"/>
                      <a:ext cx="3333750" cy="1762125"/>
                    </a:xfrm>
                    <a:prstGeom prst="rect">
                      <a:avLst/>
                    </a:prstGeom>
                  </pic:spPr>
                </pic:pic>
              </a:graphicData>
            </a:graphic>
          </wp:inline>
        </w:drawing>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embedRegular r:id="rId1" w:fontKey="{244091FC-02D8-4263-A6D7-40CC908CB4C4}"/>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5B9C50D0-E7DC-4001-968E-76206D19F146}"/>
  </w:font>
  <w:font w:name="Wingdings">
    <w:panose1 w:val="05000000000000000000"/>
    <w:charset w:val="02"/>
    <w:family w:val="auto"/>
    <w:pitch w:val="default"/>
    <w:sig w:usb0="00000000" w:usb1="00000000" w:usb2="00000000" w:usb3="00000000" w:csb0="80000000" w:csb1="00000000"/>
    <w:embedRegular r:id="rId3" w:fontKey="{1425B94A-9E4C-4D38-B243-6B87A23E832D}"/>
  </w:font>
  <w:font w:name="Calibri">
    <w:panose1 w:val="020F0502020204030204"/>
    <w:charset w:val="00"/>
    <w:family w:val="swiss"/>
    <w:pitch w:val="default"/>
    <w:sig w:usb0="E4002EFF" w:usb1="C200247B" w:usb2="00000009" w:usb3="00000000" w:csb0="200001FF" w:csb1="00000000"/>
    <w:embedRegular r:id="rId4" w:fontKey="{66E4BFCD-6E3B-4F45-B69B-1356DF694DC4}"/>
  </w:font>
  <w:font w:name="Tahoma">
    <w:panose1 w:val="020B0604030504040204"/>
    <w:charset w:val="00"/>
    <w:family w:val="swiss"/>
    <w:pitch w:val="default"/>
    <w:sig w:usb0="E1002EFF" w:usb1="C000605B" w:usb2="00000029" w:usb3="00000000" w:csb0="200101FF" w:csb1="20280000"/>
    <w:embedRegular r:id="rId5" w:fontKey="{D85A9B1F-1483-4CEA-93C0-719CE82C2DA3}"/>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8694032"/>
      <w:docPartObj>
        <w:docPartGallery w:val="AutoText"/>
      </w:docPartObj>
    </w:sdtPr>
    <w:sdtContent>
      <w:p w14:paraId="0E33B3B1">
        <w:pPr>
          <w:pStyle w:val="12"/>
          <w:jc w:val="right"/>
        </w:pPr>
        <w:r>
          <w:fldChar w:fldCharType="begin"/>
        </w:r>
        <w:r>
          <w:instrText xml:space="preserve"> PAGE   \* MERGEFORMAT </w:instrText>
        </w:r>
        <w:r>
          <w:fldChar w:fldCharType="separate"/>
        </w:r>
        <w:r>
          <w:t>34</w:t>
        </w:r>
        <w:r>
          <w:fldChar w:fldCharType="end"/>
        </w:r>
      </w:p>
    </w:sdtContent>
  </w:sdt>
  <w:p w14:paraId="451A0721">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6"/>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260B5D"/>
    <w:rsid w:val="00260B5D"/>
    <w:rsid w:val="0096170E"/>
    <w:rsid w:val="00ED2E0C"/>
    <w:rsid w:val="79F463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eastAsia="en-US" w:bidi="ar-SA"/>
    </w:rPr>
  </w:style>
  <w:style w:type="paragraph" w:styleId="2">
    <w:name w:val="heading 1"/>
    <w:basedOn w:val="3"/>
    <w:next w:val="3"/>
    <w:qFormat/>
    <w:uiPriority w:val="0"/>
    <w:pPr>
      <w:keepNext/>
      <w:keepLines/>
      <w:spacing w:before="400" w:after="120" w:line="360" w:lineRule="auto"/>
      <w:jc w:val="both"/>
      <w:outlineLvl w:val="0"/>
    </w:pPr>
    <w:rPr>
      <w:b/>
      <w:sz w:val="28"/>
      <w:szCs w:val="40"/>
    </w:rPr>
  </w:style>
  <w:style w:type="paragraph" w:styleId="4">
    <w:name w:val="heading 2"/>
    <w:basedOn w:val="3"/>
    <w:next w:val="3"/>
    <w:qFormat/>
    <w:uiPriority w:val="0"/>
    <w:pPr>
      <w:keepNext/>
      <w:keepLines/>
      <w:spacing w:before="360" w:after="120" w:line="360" w:lineRule="auto"/>
      <w:jc w:val="both"/>
      <w:outlineLvl w:val="1"/>
    </w:pPr>
    <w:rPr>
      <w:b/>
      <w:sz w:val="24"/>
      <w:szCs w:val="32"/>
    </w:rPr>
  </w:style>
  <w:style w:type="paragraph" w:styleId="5">
    <w:name w:val="heading 3"/>
    <w:basedOn w:val="3"/>
    <w:next w:val="3"/>
    <w:qFormat/>
    <w:uiPriority w:val="0"/>
    <w:pPr>
      <w:keepNext/>
      <w:keepLines/>
      <w:spacing w:before="320" w:after="80"/>
      <w:outlineLvl w:val="2"/>
    </w:pPr>
    <w:rPr>
      <w:color w:val="434343"/>
      <w:sz w:val="28"/>
      <w:szCs w:val="28"/>
    </w:rPr>
  </w:style>
  <w:style w:type="paragraph" w:styleId="6">
    <w:name w:val="heading 4"/>
    <w:basedOn w:val="3"/>
    <w:next w:val="3"/>
    <w:qFormat/>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iCs/>
      <w:color w:val="666666"/>
    </w:rPr>
  </w:style>
  <w:style w:type="character" w:default="1" w:styleId="9">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qFormat/>
    <w:uiPriority w:val="0"/>
    <w:pPr>
      <w:spacing w:line="276" w:lineRule="auto"/>
    </w:pPr>
    <w:rPr>
      <w:rFonts w:ascii="Arial" w:hAnsi="Arial" w:eastAsia="Arial" w:cs="Arial"/>
      <w:sz w:val="22"/>
      <w:szCs w:val="22"/>
      <w:lang w:eastAsia="en-US" w:bidi="ar-SA"/>
    </w:rPr>
  </w:style>
  <w:style w:type="paragraph" w:styleId="11">
    <w:name w:val="Balloon Text"/>
    <w:basedOn w:val="1"/>
    <w:link w:val="22"/>
    <w:semiHidden/>
    <w:unhideWhenUsed/>
    <w:uiPriority w:val="99"/>
    <w:pPr>
      <w:spacing w:line="240" w:lineRule="auto"/>
    </w:pPr>
    <w:rPr>
      <w:rFonts w:ascii="Tahoma" w:hAnsi="Tahoma" w:cs="Tahoma"/>
      <w:sz w:val="16"/>
      <w:szCs w:val="16"/>
    </w:rPr>
  </w:style>
  <w:style w:type="paragraph" w:styleId="12">
    <w:name w:val="footer"/>
    <w:basedOn w:val="1"/>
    <w:link w:val="21"/>
    <w:unhideWhenUsed/>
    <w:qFormat/>
    <w:uiPriority w:val="99"/>
    <w:pPr>
      <w:tabs>
        <w:tab w:val="center" w:pos="4680"/>
        <w:tab w:val="right" w:pos="9360"/>
      </w:tabs>
      <w:spacing w:line="240" w:lineRule="auto"/>
    </w:pPr>
  </w:style>
  <w:style w:type="paragraph" w:styleId="13">
    <w:name w:val="header"/>
    <w:basedOn w:val="1"/>
    <w:link w:val="20"/>
    <w:semiHidden/>
    <w:unhideWhenUsed/>
    <w:qFormat/>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rPr>
  </w:style>
  <w:style w:type="paragraph" w:styleId="15">
    <w:name w:val="Subtitle"/>
    <w:basedOn w:val="3"/>
    <w:next w:val="3"/>
    <w:qFormat/>
    <w:uiPriority w:val="0"/>
    <w:pPr>
      <w:keepNext/>
      <w:keepLines/>
      <w:spacing w:after="320"/>
    </w:pPr>
    <w:rPr>
      <w:color w:val="666666"/>
      <w:sz w:val="30"/>
      <w:szCs w:val="30"/>
    </w:rPr>
  </w:style>
  <w:style w:type="paragraph" w:styleId="16">
    <w:name w:val="Title"/>
    <w:basedOn w:val="3"/>
    <w:next w:val="3"/>
    <w:qFormat/>
    <w:uiPriority w:val="0"/>
    <w:pPr>
      <w:keepNext/>
      <w:keepLines/>
      <w:spacing w:after="60"/>
    </w:pPr>
    <w:rPr>
      <w:sz w:val="52"/>
      <w:szCs w:val="52"/>
    </w:rPr>
  </w:style>
  <w:style w:type="paragraph" w:styleId="17">
    <w:name w:val="toc 1"/>
    <w:basedOn w:val="1"/>
    <w:next w:val="1"/>
    <w:autoRedefine/>
    <w:unhideWhenUsed/>
    <w:uiPriority w:val="39"/>
    <w:pPr>
      <w:spacing w:after="100"/>
    </w:pPr>
  </w:style>
  <w:style w:type="paragraph" w:styleId="18">
    <w:name w:val="toc 2"/>
    <w:basedOn w:val="1"/>
    <w:next w:val="1"/>
    <w:autoRedefine/>
    <w:unhideWhenUsed/>
    <w:uiPriority w:val="39"/>
    <w:pPr>
      <w:spacing w:after="100"/>
      <w:ind w:left="220"/>
    </w:pPr>
  </w:style>
  <w:style w:type="table" w:customStyle="1" w:styleId="19">
    <w:name w:val="TableNormal"/>
    <w:qFormat/>
    <w:uiPriority w:val="0"/>
    <w:tblPr>
      <w:tblCellMar>
        <w:top w:w="100" w:type="dxa"/>
        <w:left w:w="100" w:type="dxa"/>
        <w:bottom w:w="100" w:type="dxa"/>
        <w:right w:w="100" w:type="dxa"/>
      </w:tblCellMar>
    </w:tblPr>
  </w:style>
  <w:style w:type="character" w:customStyle="1" w:styleId="20">
    <w:name w:val="Header Char"/>
    <w:basedOn w:val="9"/>
    <w:link w:val="13"/>
    <w:semiHidden/>
    <w:qFormat/>
    <w:uiPriority w:val="99"/>
  </w:style>
  <w:style w:type="character" w:customStyle="1" w:styleId="21">
    <w:name w:val="Footer Char"/>
    <w:basedOn w:val="9"/>
    <w:link w:val="12"/>
    <w:qFormat/>
    <w:uiPriority w:val="99"/>
  </w:style>
  <w:style w:type="character" w:customStyle="1" w:styleId="22">
    <w:name w:val="Balloon Text Char"/>
    <w:basedOn w:val="9"/>
    <w:link w:val="11"/>
    <w:semiHidden/>
    <w:uiPriority w:val="99"/>
    <w:rPr>
      <w:rFonts w:ascii="Tahoma" w:hAnsi="Tahoma" w:cs="Tahoma"/>
      <w:sz w:val="16"/>
      <w:szCs w:val="16"/>
    </w:rPr>
  </w:style>
  <w:style w:type="paragraph" w:customStyle="1" w:styleId="23">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4" Type="http://schemas.openxmlformats.org/officeDocument/2006/relationships/fontTable" Target="fontTable.xml"/><Relationship Id="rId33" Type="http://schemas.openxmlformats.org/officeDocument/2006/relationships/customXml" Target="../customXml/item1.xml"/><Relationship Id="rId32" Type="http://schemas.openxmlformats.org/officeDocument/2006/relationships/image" Target="media/image26.png"/><Relationship Id="rId31" Type="http://schemas.openxmlformats.org/officeDocument/2006/relationships/image" Target="media/image25.png"/><Relationship Id="rId30" Type="http://schemas.openxmlformats.org/officeDocument/2006/relationships/image" Target="media/image24.pn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pn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FA8F03-22B0-4287-BC57-25C9C53573EB}">
  <ds:schemaRefs/>
</ds:datastoreItem>
</file>

<file path=docProps/app.xml><?xml version="1.0" encoding="utf-8"?>
<Properties xmlns="http://schemas.openxmlformats.org/officeDocument/2006/extended-properties" xmlns:vt="http://schemas.openxmlformats.org/officeDocument/2006/docPropsVTypes">
  <Template>Normal</Template>
  <Pages>34</Pages>
  <Words>131</Words>
  <Characters>842</Characters>
  <Lines>325</Lines>
  <Paragraphs>91</Paragraphs>
  <TotalTime>4</TotalTime>
  <ScaleCrop>false</ScaleCrop>
  <LinksUpToDate>false</LinksUpToDate>
  <CharactersWithSpaces>993</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2026-03-26T05:01:00Z</dcterms:created>
  <dc:creator>Kavya Raghuraman</dc:creator>
  <cp:lastModifiedBy>ranjith ravivarman</cp:lastModifiedBy>
  <dcterms:modified xsi:type="dcterms:W3CDTF">2026-04-24T12:00:06Z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eyJoZGlkIjoiMGNmOGNlOTMwYzVjMDYwYmFiYTdiYTUwZmRhMTg0YzYiLCJ1c2VySWQiOiIzODY2MTM3NDk5NTYwIn0=</vt:lpwstr>
  </property>
  <property fmtid="{D5CDD505-2E9C-101B-9397-08002B2CF9AE}" pid="3" name="KSOProductBuildVer">
    <vt:lpwstr>1033-12.1.0.25242</vt:lpwstr>
  </property>
  <property fmtid="{D5CDD505-2E9C-101B-9397-08002B2CF9AE}" pid="4" name="ICV">
    <vt:lpwstr>B2936CD2A22B4D9C9BA8DC4A5E920A64_12</vt:lpwstr>
  </property>
</Properties>
</file>