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E1777" w14:textId="77777777" w:rsidR="00AD2731" w:rsidRPr="00F61D2F" w:rsidRDefault="00AD2731">
      <w:pPr>
        <w:spacing w:before="200" w:after="200"/>
        <w:jc w:val="center"/>
        <w:rPr>
          <w:b/>
          <w:bCs/>
          <w:sz w:val="32"/>
          <w:szCs w:val="32"/>
        </w:rPr>
      </w:pPr>
    </w:p>
    <w:p w14:paraId="45C6E49B" w14:textId="77777777" w:rsidR="00AD2731" w:rsidRPr="00F61D2F" w:rsidRDefault="00AD2731">
      <w:pPr>
        <w:spacing w:before="200" w:after="200"/>
        <w:jc w:val="center"/>
        <w:rPr>
          <w:b/>
          <w:bCs/>
          <w:sz w:val="32"/>
          <w:szCs w:val="32"/>
        </w:rPr>
      </w:pPr>
    </w:p>
    <w:p w14:paraId="7A3CE6DF" w14:textId="77777777" w:rsidR="00AD2731" w:rsidRPr="00F61D2F" w:rsidRDefault="00AD2731">
      <w:pPr>
        <w:spacing w:before="200" w:after="200"/>
        <w:jc w:val="center"/>
        <w:rPr>
          <w:b/>
          <w:bCs/>
          <w:sz w:val="32"/>
          <w:szCs w:val="32"/>
        </w:rPr>
      </w:pPr>
    </w:p>
    <w:p w14:paraId="0D71EDAE" w14:textId="77777777" w:rsidR="00AD2731" w:rsidRPr="00F61D2F" w:rsidRDefault="00AD2731">
      <w:pPr>
        <w:spacing w:before="200" w:after="200"/>
        <w:jc w:val="center"/>
        <w:rPr>
          <w:b/>
          <w:bCs/>
          <w:sz w:val="32"/>
          <w:szCs w:val="32"/>
        </w:rPr>
      </w:pPr>
    </w:p>
    <w:p w14:paraId="66B7D8A4" w14:textId="77777777" w:rsidR="00AD2731" w:rsidRPr="00F61D2F" w:rsidRDefault="00AD2731">
      <w:pPr>
        <w:spacing w:before="200" w:after="200"/>
        <w:jc w:val="center"/>
        <w:rPr>
          <w:b/>
          <w:bCs/>
          <w:sz w:val="32"/>
          <w:szCs w:val="32"/>
        </w:rPr>
      </w:pPr>
    </w:p>
    <w:p w14:paraId="35FF00C4" w14:textId="77777777" w:rsidR="00AD2731" w:rsidRPr="00F61D2F" w:rsidRDefault="0000313C">
      <w:pPr>
        <w:spacing w:before="200" w:after="200"/>
        <w:jc w:val="center"/>
        <w:rPr>
          <w:b/>
          <w:bCs/>
          <w:sz w:val="32"/>
          <w:szCs w:val="32"/>
        </w:rPr>
      </w:pPr>
      <w:r w:rsidRPr="00F61D2F">
        <w:rPr>
          <w:b/>
          <w:bCs/>
          <w:sz w:val="32"/>
          <w:szCs w:val="32"/>
        </w:rPr>
        <w:t>Master of Business Administration</w:t>
      </w:r>
    </w:p>
    <w:p w14:paraId="12CD3C58" w14:textId="77777777" w:rsidR="00AD2731" w:rsidRPr="00F61D2F" w:rsidRDefault="0000313C">
      <w:pPr>
        <w:spacing w:before="200" w:after="200"/>
        <w:jc w:val="center"/>
        <w:rPr>
          <w:b/>
          <w:bCs/>
          <w:sz w:val="32"/>
          <w:szCs w:val="32"/>
        </w:rPr>
      </w:pPr>
      <w:r w:rsidRPr="00F61D2F">
        <w:rPr>
          <w:b/>
          <w:bCs/>
          <w:sz w:val="32"/>
          <w:szCs w:val="32"/>
        </w:rPr>
        <w:t>Financial Management</w:t>
      </w:r>
    </w:p>
    <w:p w14:paraId="6690A6FA" w14:textId="77777777" w:rsidR="00AD2731" w:rsidRPr="00F61D2F" w:rsidRDefault="0000313C">
      <w:pPr>
        <w:spacing w:before="200" w:after="200"/>
        <w:jc w:val="center"/>
        <w:rPr>
          <w:b/>
          <w:bCs/>
          <w:sz w:val="32"/>
          <w:szCs w:val="32"/>
        </w:rPr>
      </w:pPr>
      <w:r w:rsidRPr="00F61D2F">
        <w:rPr>
          <w:b/>
          <w:bCs/>
          <w:sz w:val="32"/>
          <w:szCs w:val="32"/>
        </w:rPr>
        <w:t>Module Code: LCMB7002</w:t>
      </w:r>
    </w:p>
    <w:p w14:paraId="5662A8B3" w14:textId="77777777" w:rsidR="00AD2731" w:rsidRPr="00F61D2F" w:rsidRDefault="0000313C">
      <w:pPr>
        <w:spacing w:before="200" w:after="200"/>
        <w:jc w:val="center"/>
        <w:rPr>
          <w:b/>
          <w:bCs/>
          <w:sz w:val="32"/>
          <w:szCs w:val="32"/>
        </w:rPr>
      </w:pPr>
      <w:r w:rsidRPr="00F61D2F">
        <w:rPr>
          <w:b/>
          <w:bCs/>
          <w:sz w:val="32"/>
          <w:szCs w:val="32"/>
        </w:rPr>
        <w:t>Assessment: Financial Performance and Management</w:t>
      </w:r>
    </w:p>
    <w:p w14:paraId="21EEB9BD" w14:textId="77777777" w:rsidR="00AD2731" w:rsidRPr="00F61D2F" w:rsidRDefault="0000313C">
      <w:pPr>
        <w:spacing w:before="200" w:after="200"/>
        <w:jc w:val="center"/>
        <w:rPr>
          <w:b/>
          <w:bCs/>
          <w:sz w:val="32"/>
          <w:szCs w:val="32"/>
        </w:rPr>
      </w:pPr>
      <w:r w:rsidRPr="00F61D2F">
        <w:rPr>
          <w:b/>
          <w:bCs/>
          <w:sz w:val="32"/>
          <w:szCs w:val="32"/>
        </w:rPr>
        <w:t>Financial Performance, Strategic Restructuring and Investment Appraisal of Whitbread PLC</w:t>
      </w:r>
    </w:p>
    <w:p w14:paraId="5E5851EA" w14:textId="77777777" w:rsidR="00AD2731" w:rsidRPr="00F61D2F" w:rsidRDefault="0000313C">
      <w:pPr>
        <w:spacing w:before="200" w:after="200"/>
        <w:jc w:val="center"/>
        <w:rPr>
          <w:b/>
          <w:bCs/>
          <w:sz w:val="32"/>
          <w:szCs w:val="32"/>
        </w:rPr>
      </w:pPr>
      <w:r w:rsidRPr="00F61D2F">
        <w:rPr>
          <w:b/>
          <w:bCs/>
          <w:sz w:val="32"/>
          <w:szCs w:val="32"/>
        </w:rPr>
        <w:t>Selected Company: Whitbread PLC</w:t>
      </w:r>
    </w:p>
    <w:p w14:paraId="0811C9D4" w14:textId="77777777" w:rsidR="002561DD" w:rsidRDefault="0000313C">
      <w:pPr>
        <w:spacing w:before="200" w:after="200"/>
        <w:jc w:val="center"/>
        <w:rPr>
          <w:b/>
          <w:bCs/>
          <w:sz w:val="32"/>
          <w:szCs w:val="32"/>
        </w:rPr>
      </w:pPr>
      <w:r w:rsidRPr="00F61D2F">
        <w:rPr>
          <w:b/>
          <w:bCs/>
          <w:sz w:val="32"/>
          <w:szCs w:val="32"/>
        </w:rPr>
        <w:t xml:space="preserve">Student Name: Nitin </w:t>
      </w:r>
      <w:proofErr w:type="spellStart"/>
      <w:r w:rsidRPr="00F61D2F">
        <w:rPr>
          <w:b/>
          <w:bCs/>
          <w:sz w:val="32"/>
          <w:szCs w:val="32"/>
        </w:rPr>
        <w:t>Surela</w:t>
      </w:r>
      <w:proofErr w:type="spellEnd"/>
    </w:p>
    <w:p w14:paraId="7D4B5811" w14:textId="7861B0F4" w:rsidR="00AD2731" w:rsidRPr="00F61D2F" w:rsidRDefault="002561DD">
      <w:pPr>
        <w:spacing w:before="200" w:after="200"/>
        <w:jc w:val="center"/>
      </w:pPr>
      <w:r>
        <w:rPr>
          <w:b/>
          <w:bCs/>
          <w:sz w:val="32"/>
          <w:szCs w:val="32"/>
        </w:rPr>
        <w:t>Student id:2536654</w:t>
      </w:r>
      <w:r w:rsidR="0043255E">
        <w:rPr>
          <w:b/>
          <w:bCs/>
          <w:sz w:val="32"/>
          <w:szCs w:val="32"/>
        </w:rPr>
        <w:t>@student</w:t>
      </w:r>
      <w:r w:rsidR="00256916">
        <w:rPr>
          <w:b/>
          <w:bCs/>
          <w:sz w:val="32"/>
          <w:szCs w:val="32"/>
        </w:rPr>
        <w:t>.uwtsd.ac.uk</w:t>
      </w:r>
      <w:r w:rsidR="0000313C" w:rsidRPr="00F61D2F">
        <w:br w:type="page"/>
      </w:r>
    </w:p>
    <w:p w14:paraId="4E7E911E" w14:textId="77777777" w:rsidR="00AD2731" w:rsidRPr="00F61D2F" w:rsidRDefault="0000313C">
      <w:pPr>
        <w:spacing w:before="200" w:after="200"/>
        <w:jc w:val="center"/>
        <w:rPr>
          <w:b/>
          <w:bCs/>
        </w:rPr>
      </w:pPr>
      <w:r w:rsidRPr="00F61D2F">
        <w:rPr>
          <w:b/>
          <w:bCs/>
        </w:rPr>
        <w:t>Table of Contents</w:t>
      </w:r>
    </w:p>
    <w:sdt>
      <w:sdtPr>
        <w:id w:val="-1668882675"/>
        <w:docPartObj>
          <w:docPartGallery w:val="Table of Contents"/>
          <w:docPartUnique/>
        </w:docPartObj>
      </w:sdtPr>
      <w:sdtEndPr/>
      <w:sdtContent>
        <w:p w14:paraId="74748C2A" w14:textId="0111CEFC" w:rsidR="00941CB8" w:rsidRPr="00F61D2F" w:rsidRDefault="0000313C">
          <w:pPr>
            <w:pStyle w:val="TOC1"/>
            <w:tabs>
              <w:tab w:val="right" w:leader="dot" w:pos="9019"/>
            </w:tabs>
            <w:rPr>
              <w:rFonts w:eastAsiaTheme="minorEastAsia"/>
              <w:noProof/>
              <w:kern w:val="2"/>
              <w:lang w:val="en-IN"/>
              <w14:ligatures w14:val="standardContextual"/>
            </w:rPr>
          </w:pPr>
          <w:r w:rsidRPr="00F61D2F">
            <w:fldChar w:fldCharType="begin"/>
          </w:r>
          <w:r w:rsidRPr="00F61D2F">
            <w:instrText xml:space="preserve"> TOC \h \u \z \t "Heading 1,1,Heading 2,2,Heading 3,3,Heading 4,4,Heading 5,5,Heading 6,6,"</w:instrText>
          </w:r>
          <w:r w:rsidRPr="00F61D2F">
            <w:fldChar w:fldCharType="separate"/>
          </w:r>
          <w:hyperlink w:anchor="_Toc235041159" w:history="1">
            <w:r w:rsidR="00941CB8" w:rsidRPr="00F61D2F">
              <w:rPr>
                <w:rStyle w:val="Hyperlink"/>
                <w:noProof/>
              </w:rPr>
              <w:t>Introduction</w:t>
            </w:r>
            <w:r w:rsidR="00941CB8" w:rsidRPr="00F61D2F">
              <w:rPr>
                <w:noProof/>
                <w:webHidden/>
              </w:rPr>
              <w:tab/>
            </w:r>
            <w:r w:rsidR="00941CB8" w:rsidRPr="00F61D2F">
              <w:rPr>
                <w:noProof/>
                <w:webHidden/>
              </w:rPr>
              <w:fldChar w:fldCharType="begin"/>
            </w:r>
            <w:r w:rsidR="00941CB8" w:rsidRPr="00F61D2F">
              <w:rPr>
                <w:noProof/>
                <w:webHidden/>
              </w:rPr>
              <w:instrText xml:space="preserve"> PAGEREF _Toc235041159 \h </w:instrText>
            </w:r>
            <w:r w:rsidR="00941CB8" w:rsidRPr="00F61D2F">
              <w:rPr>
                <w:noProof/>
                <w:webHidden/>
              </w:rPr>
            </w:r>
            <w:r w:rsidR="00941CB8" w:rsidRPr="00F61D2F">
              <w:rPr>
                <w:noProof/>
                <w:webHidden/>
              </w:rPr>
              <w:fldChar w:fldCharType="separate"/>
            </w:r>
            <w:r w:rsidR="00941CB8" w:rsidRPr="00F61D2F">
              <w:rPr>
                <w:noProof/>
                <w:webHidden/>
              </w:rPr>
              <w:t>3</w:t>
            </w:r>
            <w:r w:rsidR="00941CB8" w:rsidRPr="00F61D2F">
              <w:rPr>
                <w:noProof/>
                <w:webHidden/>
              </w:rPr>
              <w:fldChar w:fldCharType="end"/>
            </w:r>
          </w:hyperlink>
        </w:p>
        <w:p w14:paraId="36320C1D" w14:textId="298500B0" w:rsidR="00941CB8" w:rsidRPr="00F61D2F" w:rsidRDefault="00941CB8">
          <w:pPr>
            <w:pStyle w:val="TOC1"/>
            <w:tabs>
              <w:tab w:val="right" w:leader="dot" w:pos="9019"/>
            </w:tabs>
            <w:rPr>
              <w:rFonts w:eastAsiaTheme="minorEastAsia"/>
              <w:noProof/>
              <w:kern w:val="2"/>
              <w:lang w:val="en-IN"/>
              <w14:ligatures w14:val="standardContextual"/>
            </w:rPr>
          </w:pPr>
          <w:hyperlink w:anchor="_Toc235041160" w:history="1">
            <w:r w:rsidRPr="00F61D2F">
              <w:rPr>
                <w:rStyle w:val="Hyperlink"/>
                <w:noProof/>
              </w:rPr>
              <w:t>Financial Health Check</w:t>
            </w:r>
            <w:r w:rsidRPr="00F61D2F">
              <w:rPr>
                <w:noProof/>
                <w:webHidden/>
              </w:rPr>
              <w:tab/>
            </w:r>
            <w:r w:rsidRPr="00F61D2F">
              <w:rPr>
                <w:noProof/>
                <w:webHidden/>
              </w:rPr>
              <w:fldChar w:fldCharType="begin"/>
            </w:r>
            <w:r w:rsidRPr="00F61D2F">
              <w:rPr>
                <w:noProof/>
                <w:webHidden/>
              </w:rPr>
              <w:instrText xml:space="preserve"> PAGEREF _Toc235041160 \h </w:instrText>
            </w:r>
            <w:r w:rsidRPr="00F61D2F">
              <w:rPr>
                <w:noProof/>
                <w:webHidden/>
              </w:rPr>
            </w:r>
            <w:r w:rsidRPr="00F61D2F">
              <w:rPr>
                <w:noProof/>
                <w:webHidden/>
              </w:rPr>
              <w:fldChar w:fldCharType="separate"/>
            </w:r>
            <w:r w:rsidRPr="00F61D2F">
              <w:rPr>
                <w:noProof/>
                <w:webHidden/>
              </w:rPr>
              <w:t>3</w:t>
            </w:r>
            <w:r w:rsidRPr="00F61D2F">
              <w:rPr>
                <w:noProof/>
                <w:webHidden/>
              </w:rPr>
              <w:fldChar w:fldCharType="end"/>
            </w:r>
          </w:hyperlink>
        </w:p>
        <w:p w14:paraId="39077AE5" w14:textId="147FD237" w:rsidR="00941CB8" w:rsidRPr="00F61D2F" w:rsidRDefault="00941CB8">
          <w:pPr>
            <w:pStyle w:val="TOC2"/>
            <w:tabs>
              <w:tab w:val="right" w:leader="dot" w:pos="9019"/>
            </w:tabs>
            <w:rPr>
              <w:rFonts w:eastAsiaTheme="minorEastAsia"/>
              <w:noProof/>
              <w:kern w:val="2"/>
              <w:lang w:val="en-IN"/>
              <w14:ligatures w14:val="standardContextual"/>
            </w:rPr>
          </w:pPr>
          <w:hyperlink w:anchor="_Toc235041161" w:history="1">
            <w:r w:rsidRPr="00F61D2F">
              <w:rPr>
                <w:rStyle w:val="Hyperlink"/>
                <w:noProof/>
              </w:rPr>
              <w:t>1.1 Profitability Ratio Analysis</w:t>
            </w:r>
            <w:r w:rsidRPr="00F61D2F">
              <w:rPr>
                <w:noProof/>
                <w:webHidden/>
              </w:rPr>
              <w:tab/>
            </w:r>
            <w:r w:rsidRPr="00F61D2F">
              <w:rPr>
                <w:noProof/>
                <w:webHidden/>
              </w:rPr>
              <w:fldChar w:fldCharType="begin"/>
            </w:r>
            <w:r w:rsidRPr="00F61D2F">
              <w:rPr>
                <w:noProof/>
                <w:webHidden/>
              </w:rPr>
              <w:instrText xml:space="preserve"> PAGEREF _Toc235041161 \h </w:instrText>
            </w:r>
            <w:r w:rsidRPr="00F61D2F">
              <w:rPr>
                <w:noProof/>
                <w:webHidden/>
              </w:rPr>
            </w:r>
            <w:r w:rsidRPr="00F61D2F">
              <w:rPr>
                <w:noProof/>
                <w:webHidden/>
              </w:rPr>
              <w:fldChar w:fldCharType="separate"/>
            </w:r>
            <w:r w:rsidRPr="00F61D2F">
              <w:rPr>
                <w:noProof/>
                <w:webHidden/>
              </w:rPr>
              <w:t>3</w:t>
            </w:r>
            <w:r w:rsidRPr="00F61D2F">
              <w:rPr>
                <w:noProof/>
                <w:webHidden/>
              </w:rPr>
              <w:fldChar w:fldCharType="end"/>
            </w:r>
          </w:hyperlink>
        </w:p>
        <w:p w14:paraId="6F026C2B" w14:textId="32E2BDCC" w:rsidR="00941CB8" w:rsidRPr="00F61D2F" w:rsidRDefault="00941CB8">
          <w:pPr>
            <w:pStyle w:val="TOC2"/>
            <w:tabs>
              <w:tab w:val="right" w:leader="dot" w:pos="9019"/>
            </w:tabs>
            <w:rPr>
              <w:rFonts w:eastAsiaTheme="minorEastAsia"/>
              <w:noProof/>
              <w:kern w:val="2"/>
              <w:lang w:val="en-IN"/>
              <w14:ligatures w14:val="standardContextual"/>
            </w:rPr>
          </w:pPr>
          <w:hyperlink w:anchor="_Toc235041162" w:history="1">
            <w:r w:rsidRPr="00F61D2F">
              <w:rPr>
                <w:rStyle w:val="Hyperlink"/>
                <w:noProof/>
              </w:rPr>
              <w:t>1.2 Liquidity Ratio Analysis</w:t>
            </w:r>
            <w:r w:rsidRPr="00F61D2F">
              <w:rPr>
                <w:noProof/>
                <w:webHidden/>
              </w:rPr>
              <w:tab/>
            </w:r>
            <w:r w:rsidRPr="00F61D2F">
              <w:rPr>
                <w:noProof/>
                <w:webHidden/>
              </w:rPr>
              <w:fldChar w:fldCharType="begin"/>
            </w:r>
            <w:r w:rsidRPr="00F61D2F">
              <w:rPr>
                <w:noProof/>
                <w:webHidden/>
              </w:rPr>
              <w:instrText xml:space="preserve"> PAGEREF _Toc235041162 \h </w:instrText>
            </w:r>
            <w:r w:rsidRPr="00F61D2F">
              <w:rPr>
                <w:noProof/>
                <w:webHidden/>
              </w:rPr>
            </w:r>
            <w:r w:rsidRPr="00F61D2F">
              <w:rPr>
                <w:noProof/>
                <w:webHidden/>
              </w:rPr>
              <w:fldChar w:fldCharType="separate"/>
            </w:r>
            <w:r w:rsidRPr="00F61D2F">
              <w:rPr>
                <w:noProof/>
                <w:webHidden/>
              </w:rPr>
              <w:t>3</w:t>
            </w:r>
            <w:r w:rsidRPr="00F61D2F">
              <w:rPr>
                <w:noProof/>
                <w:webHidden/>
              </w:rPr>
              <w:fldChar w:fldCharType="end"/>
            </w:r>
          </w:hyperlink>
        </w:p>
        <w:p w14:paraId="4AFCAAAD" w14:textId="45BC5EBB" w:rsidR="00941CB8" w:rsidRPr="00F61D2F" w:rsidRDefault="00941CB8">
          <w:pPr>
            <w:pStyle w:val="TOC2"/>
            <w:tabs>
              <w:tab w:val="right" w:leader="dot" w:pos="9019"/>
            </w:tabs>
            <w:rPr>
              <w:rFonts w:eastAsiaTheme="minorEastAsia"/>
              <w:noProof/>
              <w:kern w:val="2"/>
              <w:lang w:val="en-IN"/>
              <w14:ligatures w14:val="standardContextual"/>
            </w:rPr>
          </w:pPr>
          <w:hyperlink w:anchor="_Toc235041163" w:history="1">
            <w:r w:rsidRPr="00F61D2F">
              <w:rPr>
                <w:rStyle w:val="Hyperlink"/>
                <w:noProof/>
              </w:rPr>
              <w:t>1.3 Efficiency Ratio Analysis</w:t>
            </w:r>
            <w:r w:rsidRPr="00F61D2F">
              <w:rPr>
                <w:noProof/>
                <w:webHidden/>
              </w:rPr>
              <w:tab/>
            </w:r>
            <w:r w:rsidRPr="00F61D2F">
              <w:rPr>
                <w:noProof/>
                <w:webHidden/>
              </w:rPr>
              <w:fldChar w:fldCharType="begin"/>
            </w:r>
            <w:r w:rsidRPr="00F61D2F">
              <w:rPr>
                <w:noProof/>
                <w:webHidden/>
              </w:rPr>
              <w:instrText xml:space="preserve"> PAGEREF _Toc235041163 \h </w:instrText>
            </w:r>
            <w:r w:rsidRPr="00F61D2F">
              <w:rPr>
                <w:noProof/>
                <w:webHidden/>
              </w:rPr>
            </w:r>
            <w:r w:rsidRPr="00F61D2F">
              <w:rPr>
                <w:noProof/>
                <w:webHidden/>
              </w:rPr>
              <w:fldChar w:fldCharType="separate"/>
            </w:r>
            <w:r w:rsidRPr="00F61D2F">
              <w:rPr>
                <w:noProof/>
                <w:webHidden/>
              </w:rPr>
              <w:t>4</w:t>
            </w:r>
            <w:r w:rsidRPr="00F61D2F">
              <w:rPr>
                <w:noProof/>
                <w:webHidden/>
              </w:rPr>
              <w:fldChar w:fldCharType="end"/>
            </w:r>
          </w:hyperlink>
        </w:p>
        <w:p w14:paraId="5A2C8ED4" w14:textId="7BD9EC16" w:rsidR="00941CB8" w:rsidRPr="00F61D2F" w:rsidRDefault="00941CB8">
          <w:pPr>
            <w:pStyle w:val="TOC2"/>
            <w:tabs>
              <w:tab w:val="right" w:leader="dot" w:pos="9019"/>
            </w:tabs>
            <w:rPr>
              <w:rFonts w:eastAsiaTheme="minorEastAsia"/>
              <w:noProof/>
              <w:kern w:val="2"/>
              <w:lang w:val="en-IN"/>
              <w14:ligatures w14:val="standardContextual"/>
            </w:rPr>
          </w:pPr>
          <w:hyperlink w:anchor="_Toc235041164" w:history="1">
            <w:r w:rsidRPr="00F61D2F">
              <w:rPr>
                <w:rStyle w:val="Hyperlink"/>
                <w:noProof/>
              </w:rPr>
              <w:t>1.4 Gearing Ratio Analysis</w:t>
            </w:r>
            <w:r w:rsidRPr="00F61D2F">
              <w:rPr>
                <w:noProof/>
                <w:webHidden/>
              </w:rPr>
              <w:tab/>
            </w:r>
            <w:r w:rsidRPr="00F61D2F">
              <w:rPr>
                <w:noProof/>
                <w:webHidden/>
              </w:rPr>
              <w:fldChar w:fldCharType="begin"/>
            </w:r>
            <w:r w:rsidRPr="00F61D2F">
              <w:rPr>
                <w:noProof/>
                <w:webHidden/>
              </w:rPr>
              <w:instrText xml:space="preserve"> PAGEREF _Toc235041164 \h </w:instrText>
            </w:r>
            <w:r w:rsidRPr="00F61D2F">
              <w:rPr>
                <w:noProof/>
                <w:webHidden/>
              </w:rPr>
            </w:r>
            <w:r w:rsidRPr="00F61D2F">
              <w:rPr>
                <w:noProof/>
                <w:webHidden/>
              </w:rPr>
              <w:fldChar w:fldCharType="separate"/>
            </w:r>
            <w:r w:rsidRPr="00F61D2F">
              <w:rPr>
                <w:noProof/>
                <w:webHidden/>
              </w:rPr>
              <w:t>4</w:t>
            </w:r>
            <w:r w:rsidRPr="00F61D2F">
              <w:rPr>
                <w:noProof/>
                <w:webHidden/>
              </w:rPr>
              <w:fldChar w:fldCharType="end"/>
            </w:r>
          </w:hyperlink>
        </w:p>
        <w:p w14:paraId="7A704F00" w14:textId="0DA19A51" w:rsidR="00941CB8" w:rsidRPr="00F61D2F" w:rsidRDefault="00941CB8">
          <w:pPr>
            <w:pStyle w:val="TOC2"/>
            <w:tabs>
              <w:tab w:val="right" w:leader="dot" w:pos="9019"/>
            </w:tabs>
            <w:rPr>
              <w:rFonts w:eastAsiaTheme="minorEastAsia"/>
              <w:noProof/>
              <w:kern w:val="2"/>
              <w:lang w:val="en-IN"/>
              <w14:ligatures w14:val="standardContextual"/>
            </w:rPr>
          </w:pPr>
          <w:hyperlink w:anchor="_Toc235041165" w:history="1">
            <w:r w:rsidRPr="00F61D2F">
              <w:rPr>
                <w:rStyle w:val="Hyperlink"/>
                <w:noProof/>
              </w:rPr>
              <w:t>1.5 Investment Ratio Analysis</w:t>
            </w:r>
            <w:r w:rsidRPr="00F61D2F">
              <w:rPr>
                <w:noProof/>
                <w:webHidden/>
              </w:rPr>
              <w:tab/>
            </w:r>
            <w:r w:rsidRPr="00F61D2F">
              <w:rPr>
                <w:noProof/>
                <w:webHidden/>
              </w:rPr>
              <w:fldChar w:fldCharType="begin"/>
            </w:r>
            <w:r w:rsidRPr="00F61D2F">
              <w:rPr>
                <w:noProof/>
                <w:webHidden/>
              </w:rPr>
              <w:instrText xml:space="preserve"> PAGEREF _Toc235041165 \h </w:instrText>
            </w:r>
            <w:r w:rsidRPr="00F61D2F">
              <w:rPr>
                <w:noProof/>
                <w:webHidden/>
              </w:rPr>
            </w:r>
            <w:r w:rsidRPr="00F61D2F">
              <w:rPr>
                <w:noProof/>
                <w:webHidden/>
              </w:rPr>
              <w:fldChar w:fldCharType="separate"/>
            </w:r>
            <w:r w:rsidRPr="00F61D2F">
              <w:rPr>
                <w:noProof/>
                <w:webHidden/>
              </w:rPr>
              <w:t>4</w:t>
            </w:r>
            <w:r w:rsidRPr="00F61D2F">
              <w:rPr>
                <w:noProof/>
                <w:webHidden/>
              </w:rPr>
              <w:fldChar w:fldCharType="end"/>
            </w:r>
          </w:hyperlink>
        </w:p>
        <w:p w14:paraId="4193BA19" w14:textId="0A176868" w:rsidR="00941CB8" w:rsidRPr="00F61D2F" w:rsidRDefault="00941CB8">
          <w:pPr>
            <w:pStyle w:val="TOC2"/>
            <w:tabs>
              <w:tab w:val="right" w:leader="dot" w:pos="9019"/>
            </w:tabs>
            <w:rPr>
              <w:rFonts w:eastAsiaTheme="minorEastAsia"/>
              <w:noProof/>
              <w:kern w:val="2"/>
              <w:lang w:val="en-IN"/>
              <w14:ligatures w14:val="standardContextual"/>
            </w:rPr>
          </w:pPr>
          <w:hyperlink w:anchor="_Toc235041166" w:history="1">
            <w:r w:rsidRPr="00F61D2F">
              <w:rPr>
                <w:rStyle w:val="Hyperlink"/>
                <w:noProof/>
              </w:rPr>
              <w:t>1.6 Cash-Flow Ratio Analysis</w:t>
            </w:r>
            <w:r w:rsidRPr="00F61D2F">
              <w:rPr>
                <w:noProof/>
                <w:webHidden/>
              </w:rPr>
              <w:tab/>
            </w:r>
            <w:r w:rsidRPr="00F61D2F">
              <w:rPr>
                <w:noProof/>
                <w:webHidden/>
              </w:rPr>
              <w:fldChar w:fldCharType="begin"/>
            </w:r>
            <w:r w:rsidRPr="00F61D2F">
              <w:rPr>
                <w:noProof/>
                <w:webHidden/>
              </w:rPr>
              <w:instrText xml:space="preserve"> PAGEREF _Toc235041166 \h </w:instrText>
            </w:r>
            <w:r w:rsidRPr="00F61D2F">
              <w:rPr>
                <w:noProof/>
                <w:webHidden/>
              </w:rPr>
            </w:r>
            <w:r w:rsidRPr="00F61D2F">
              <w:rPr>
                <w:noProof/>
                <w:webHidden/>
              </w:rPr>
              <w:fldChar w:fldCharType="separate"/>
            </w:r>
            <w:r w:rsidRPr="00F61D2F">
              <w:rPr>
                <w:noProof/>
                <w:webHidden/>
              </w:rPr>
              <w:t>5</w:t>
            </w:r>
            <w:r w:rsidRPr="00F61D2F">
              <w:rPr>
                <w:noProof/>
                <w:webHidden/>
              </w:rPr>
              <w:fldChar w:fldCharType="end"/>
            </w:r>
          </w:hyperlink>
        </w:p>
        <w:p w14:paraId="5B5717BD" w14:textId="7316E5C0" w:rsidR="00941CB8" w:rsidRPr="00F61D2F" w:rsidRDefault="00941CB8">
          <w:pPr>
            <w:pStyle w:val="TOC2"/>
            <w:tabs>
              <w:tab w:val="right" w:leader="dot" w:pos="9019"/>
            </w:tabs>
            <w:rPr>
              <w:rFonts w:eastAsiaTheme="minorEastAsia"/>
              <w:noProof/>
              <w:kern w:val="2"/>
              <w:lang w:val="en-IN"/>
              <w14:ligatures w14:val="standardContextual"/>
            </w:rPr>
          </w:pPr>
          <w:hyperlink w:anchor="_Toc235041167" w:history="1">
            <w:r w:rsidRPr="00F61D2F">
              <w:rPr>
                <w:rStyle w:val="Hyperlink"/>
                <w:noProof/>
              </w:rPr>
              <w:t>1.7 Income Statement Analysis</w:t>
            </w:r>
            <w:r w:rsidRPr="00F61D2F">
              <w:rPr>
                <w:noProof/>
                <w:webHidden/>
              </w:rPr>
              <w:tab/>
            </w:r>
            <w:r w:rsidRPr="00F61D2F">
              <w:rPr>
                <w:noProof/>
                <w:webHidden/>
              </w:rPr>
              <w:fldChar w:fldCharType="begin"/>
            </w:r>
            <w:r w:rsidRPr="00F61D2F">
              <w:rPr>
                <w:noProof/>
                <w:webHidden/>
              </w:rPr>
              <w:instrText xml:space="preserve"> PAGEREF _Toc235041167 \h </w:instrText>
            </w:r>
            <w:r w:rsidRPr="00F61D2F">
              <w:rPr>
                <w:noProof/>
                <w:webHidden/>
              </w:rPr>
            </w:r>
            <w:r w:rsidRPr="00F61D2F">
              <w:rPr>
                <w:noProof/>
                <w:webHidden/>
              </w:rPr>
              <w:fldChar w:fldCharType="separate"/>
            </w:r>
            <w:r w:rsidRPr="00F61D2F">
              <w:rPr>
                <w:noProof/>
                <w:webHidden/>
              </w:rPr>
              <w:t>5</w:t>
            </w:r>
            <w:r w:rsidRPr="00F61D2F">
              <w:rPr>
                <w:noProof/>
                <w:webHidden/>
              </w:rPr>
              <w:fldChar w:fldCharType="end"/>
            </w:r>
          </w:hyperlink>
        </w:p>
        <w:p w14:paraId="37369284" w14:textId="49289D19" w:rsidR="00941CB8" w:rsidRPr="00F61D2F" w:rsidRDefault="00941CB8">
          <w:pPr>
            <w:pStyle w:val="TOC2"/>
            <w:tabs>
              <w:tab w:val="right" w:leader="dot" w:pos="9019"/>
            </w:tabs>
            <w:rPr>
              <w:rFonts w:eastAsiaTheme="minorEastAsia"/>
              <w:noProof/>
              <w:kern w:val="2"/>
              <w:lang w:val="en-IN"/>
              <w14:ligatures w14:val="standardContextual"/>
            </w:rPr>
          </w:pPr>
          <w:hyperlink w:anchor="_Toc235041168" w:history="1">
            <w:r w:rsidRPr="00F61D2F">
              <w:rPr>
                <w:rStyle w:val="Hyperlink"/>
                <w:noProof/>
              </w:rPr>
              <w:t>1.8 Balance Sheet Analysis</w:t>
            </w:r>
            <w:r w:rsidRPr="00F61D2F">
              <w:rPr>
                <w:noProof/>
                <w:webHidden/>
              </w:rPr>
              <w:tab/>
            </w:r>
            <w:r w:rsidRPr="00F61D2F">
              <w:rPr>
                <w:noProof/>
                <w:webHidden/>
              </w:rPr>
              <w:fldChar w:fldCharType="begin"/>
            </w:r>
            <w:r w:rsidRPr="00F61D2F">
              <w:rPr>
                <w:noProof/>
                <w:webHidden/>
              </w:rPr>
              <w:instrText xml:space="preserve"> PAGEREF _Toc235041168 \h </w:instrText>
            </w:r>
            <w:r w:rsidRPr="00F61D2F">
              <w:rPr>
                <w:noProof/>
                <w:webHidden/>
              </w:rPr>
            </w:r>
            <w:r w:rsidRPr="00F61D2F">
              <w:rPr>
                <w:noProof/>
                <w:webHidden/>
              </w:rPr>
              <w:fldChar w:fldCharType="separate"/>
            </w:r>
            <w:r w:rsidRPr="00F61D2F">
              <w:rPr>
                <w:noProof/>
                <w:webHidden/>
              </w:rPr>
              <w:t>5</w:t>
            </w:r>
            <w:r w:rsidRPr="00F61D2F">
              <w:rPr>
                <w:noProof/>
                <w:webHidden/>
              </w:rPr>
              <w:fldChar w:fldCharType="end"/>
            </w:r>
          </w:hyperlink>
        </w:p>
        <w:p w14:paraId="439F9829" w14:textId="76AD8B3D" w:rsidR="00941CB8" w:rsidRPr="00F61D2F" w:rsidRDefault="00941CB8">
          <w:pPr>
            <w:pStyle w:val="TOC2"/>
            <w:tabs>
              <w:tab w:val="right" w:leader="dot" w:pos="9019"/>
            </w:tabs>
            <w:rPr>
              <w:rFonts w:eastAsiaTheme="minorEastAsia"/>
              <w:noProof/>
              <w:kern w:val="2"/>
              <w:lang w:val="en-IN"/>
              <w14:ligatures w14:val="standardContextual"/>
            </w:rPr>
          </w:pPr>
          <w:hyperlink w:anchor="_Toc235041169" w:history="1">
            <w:r w:rsidRPr="00F61D2F">
              <w:rPr>
                <w:rStyle w:val="Hyperlink"/>
                <w:noProof/>
              </w:rPr>
              <w:t>1.9 Cash Flow Statement Analysis</w:t>
            </w:r>
            <w:r w:rsidRPr="00F61D2F">
              <w:rPr>
                <w:noProof/>
                <w:webHidden/>
              </w:rPr>
              <w:tab/>
            </w:r>
            <w:r w:rsidRPr="00F61D2F">
              <w:rPr>
                <w:noProof/>
                <w:webHidden/>
              </w:rPr>
              <w:fldChar w:fldCharType="begin"/>
            </w:r>
            <w:r w:rsidRPr="00F61D2F">
              <w:rPr>
                <w:noProof/>
                <w:webHidden/>
              </w:rPr>
              <w:instrText xml:space="preserve"> PAGEREF _Toc235041169 \h </w:instrText>
            </w:r>
            <w:r w:rsidRPr="00F61D2F">
              <w:rPr>
                <w:noProof/>
                <w:webHidden/>
              </w:rPr>
            </w:r>
            <w:r w:rsidRPr="00F61D2F">
              <w:rPr>
                <w:noProof/>
                <w:webHidden/>
              </w:rPr>
              <w:fldChar w:fldCharType="separate"/>
            </w:r>
            <w:r w:rsidRPr="00F61D2F">
              <w:rPr>
                <w:noProof/>
                <w:webHidden/>
              </w:rPr>
              <w:t>6</w:t>
            </w:r>
            <w:r w:rsidRPr="00F61D2F">
              <w:rPr>
                <w:noProof/>
                <w:webHidden/>
              </w:rPr>
              <w:fldChar w:fldCharType="end"/>
            </w:r>
          </w:hyperlink>
        </w:p>
        <w:p w14:paraId="5C9D3E4D" w14:textId="3E7E972F" w:rsidR="00941CB8" w:rsidRPr="00F61D2F" w:rsidRDefault="00941CB8">
          <w:pPr>
            <w:pStyle w:val="TOC2"/>
            <w:tabs>
              <w:tab w:val="right" w:leader="dot" w:pos="9019"/>
            </w:tabs>
            <w:rPr>
              <w:rFonts w:eastAsiaTheme="minorEastAsia"/>
              <w:noProof/>
              <w:kern w:val="2"/>
              <w:lang w:val="en-IN"/>
              <w14:ligatures w14:val="standardContextual"/>
            </w:rPr>
          </w:pPr>
          <w:hyperlink w:anchor="_Toc235041170" w:history="1">
            <w:r w:rsidRPr="00F61D2F">
              <w:rPr>
                <w:rStyle w:val="Hyperlink"/>
                <w:noProof/>
              </w:rPr>
              <w:t>1.10 Trends, Strengths and Potential Threats</w:t>
            </w:r>
            <w:r w:rsidRPr="00F61D2F">
              <w:rPr>
                <w:noProof/>
                <w:webHidden/>
              </w:rPr>
              <w:tab/>
            </w:r>
            <w:r w:rsidRPr="00F61D2F">
              <w:rPr>
                <w:noProof/>
                <w:webHidden/>
              </w:rPr>
              <w:fldChar w:fldCharType="begin"/>
            </w:r>
            <w:r w:rsidRPr="00F61D2F">
              <w:rPr>
                <w:noProof/>
                <w:webHidden/>
              </w:rPr>
              <w:instrText xml:space="preserve"> PAGEREF _Toc235041170 \h </w:instrText>
            </w:r>
            <w:r w:rsidRPr="00F61D2F">
              <w:rPr>
                <w:noProof/>
                <w:webHidden/>
              </w:rPr>
            </w:r>
            <w:r w:rsidRPr="00F61D2F">
              <w:rPr>
                <w:noProof/>
                <w:webHidden/>
              </w:rPr>
              <w:fldChar w:fldCharType="separate"/>
            </w:r>
            <w:r w:rsidRPr="00F61D2F">
              <w:rPr>
                <w:noProof/>
                <w:webHidden/>
              </w:rPr>
              <w:t>6</w:t>
            </w:r>
            <w:r w:rsidRPr="00F61D2F">
              <w:rPr>
                <w:noProof/>
                <w:webHidden/>
              </w:rPr>
              <w:fldChar w:fldCharType="end"/>
            </w:r>
          </w:hyperlink>
        </w:p>
        <w:p w14:paraId="176BEEE9" w14:textId="161E3A4D" w:rsidR="00941CB8" w:rsidRPr="00F61D2F" w:rsidRDefault="00941CB8">
          <w:pPr>
            <w:pStyle w:val="TOC2"/>
            <w:tabs>
              <w:tab w:val="right" w:leader="dot" w:pos="9019"/>
            </w:tabs>
            <w:rPr>
              <w:rFonts w:eastAsiaTheme="minorEastAsia"/>
              <w:noProof/>
              <w:kern w:val="2"/>
              <w:lang w:val="en-IN"/>
              <w14:ligatures w14:val="standardContextual"/>
            </w:rPr>
          </w:pPr>
          <w:hyperlink w:anchor="_Toc235041171" w:history="1">
            <w:r w:rsidRPr="00F61D2F">
              <w:rPr>
                <w:rStyle w:val="Hyperlink"/>
                <w:noProof/>
              </w:rPr>
              <w:t>1.11 Liquidity Ratios Compared with Industry Benchmarks</w:t>
            </w:r>
            <w:r w:rsidRPr="00F61D2F">
              <w:rPr>
                <w:noProof/>
                <w:webHidden/>
              </w:rPr>
              <w:tab/>
            </w:r>
            <w:r w:rsidRPr="00F61D2F">
              <w:rPr>
                <w:noProof/>
                <w:webHidden/>
              </w:rPr>
              <w:fldChar w:fldCharType="begin"/>
            </w:r>
            <w:r w:rsidRPr="00F61D2F">
              <w:rPr>
                <w:noProof/>
                <w:webHidden/>
              </w:rPr>
              <w:instrText xml:space="preserve"> PAGEREF _Toc235041171 \h </w:instrText>
            </w:r>
            <w:r w:rsidRPr="00F61D2F">
              <w:rPr>
                <w:noProof/>
                <w:webHidden/>
              </w:rPr>
            </w:r>
            <w:r w:rsidRPr="00F61D2F">
              <w:rPr>
                <w:noProof/>
                <w:webHidden/>
              </w:rPr>
              <w:fldChar w:fldCharType="separate"/>
            </w:r>
            <w:r w:rsidRPr="00F61D2F">
              <w:rPr>
                <w:noProof/>
                <w:webHidden/>
              </w:rPr>
              <w:t>6</w:t>
            </w:r>
            <w:r w:rsidRPr="00F61D2F">
              <w:rPr>
                <w:noProof/>
                <w:webHidden/>
              </w:rPr>
              <w:fldChar w:fldCharType="end"/>
            </w:r>
          </w:hyperlink>
        </w:p>
        <w:p w14:paraId="22B91971" w14:textId="039B5D05" w:rsidR="00941CB8" w:rsidRPr="00F61D2F" w:rsidRDefault="00941CB8">
          <w:pPr>
            <w:pStyle w:val="TOC1"/>
            <w:tabs>
              <w:tab w:val="right" w:leader="dot" w:pos="9019"/>
            </w:tabs>
            <w:rPr>
              <w:rFonts w:eastAsiaTheme="minorEastAsia"/>
              <w:noProof/>
              <w:kern w:val="2"/>
              <w:lang w:val="en-IN"/>
              <w14:ligatures w14:val="standardContextual"/>
            </w:rPr>
          </w:pPr>
          <w:hyperlink w:anchor="_Toc235041172" w:history="1">
            <w:r w:rsidRPr="00F61D2F">
              <w:rPr>
                <w:rStyle w:val="Hyperlink"/>
                <w:noProof/>
              </w:rPr>
              <w:t>Working Capital Management</w:t>
            </w:r>
            <w:r w:rsidRPr="00F61D2F">
              <w:rPr>
                <w:noProof/>
                <w:webHidden/>
              </w:rPr>
              <w:tab/>
            </w:r>
            <w:r w:rsidRPr="00F61D2F">
              <w:rPr>
                <w:noProof/>
                <w:webHidden/>
              </w:rPr>
              <w:fldChar w:fldCharType="begin"/>
            </w:r>
            <w:r w:rsidRPr="00F61D2F">
              <w:rPr>
                <w:noProof/>
                <w:webHidden/>
              </w:rPr>
              <w:instrText xml:space="preserve"> PAGEREF _Toc235041172 \h </w:instrText>
            </w:r>
            <w:r w:rsidRPr="00F61D2F">
              <w:rPr>
                <w:noProof/>
                <w:webHidden/>
              </w:rPr>
            </w:r>
            <w:r w:rsidRPr="00F61D2F">
              <w:rPr>
                <w:noProof/>
                <w:webHidden/>
              </w:rPr>
              <w:fldChar w:fldCharType="separate"/>
            </w:r>
            <w:r w:rsidRPr="00F61D2F">
              <w:rPr>
                <w:noProof/>
                <w:webHidden/>
              </w:rPr>
              <w:t>7</w:t>
            </w:r>
            <w:r w:rsidRPr="00F61D2F">
              <w:rPr>
                <w:noProof/>
                <w:webHidden/>
              </w:rPr>
              <w:fldChar w:fldCharType="end"/>
            </w:r>
          </w:hyperlink>
        </w:p>
        <w:p w14:paraId="3211D1C1" w14:textId="57227867" w:rsidR="00941CB8" w:rsidRPr="00F61D2F" w:rsidRDefault="00941CB8">
          <w:pPr>
            <w:pStyle w:val="TOC2"/>
            <w:tabs>
              <w:tab w:val="right" w:leader="dot" w:pos="9019"/>
            </w:tabs>
            <w:rPr>
              <w:rFonts w:eastAsiaTheme="minorEastAsia"/>
              <w:noProof/>
              <w:kern w:val="2"/>
              <w:lang w:val="en-IN"/>
              <w14:ligatures w14:val="standardContextual"/>
            </w:rPr>
          </w:pPr>
          <w:hyperlink w:anchor="_Toc235041173" w:history="1">
            <w:r w:rsidRPr="00F61D2F">
              <w:rPr>
                <w:rStyle w:val="Hyperlink"/>
                <w:noProof/>
              </w:rPr>
              <w:t>2.1 Assessment of the Cash Operating Cycle</w:t>
            </w:r>
            <w:r w:rsidRPr="00F61D2F">
              <w:rPr>
                <w:noProof/>
                <w:webHidden/>
              </w:rPr>
              <w:tab/>
            </w:r>
            <w:r w:rsidRPr="00F61D2F">
              <w:rPr>
                <w:noProof/>
                <w:webHidden/>
              </w:rPr>
              <w:fldChar w:fldCharType="begin"/>
            </w:r>
            <w:r w:rsidRPr="00F61D2F">
              <w:rPr>
                <w:noProof/>
                <w:webHidden/>
              </w:rPr>
              <w:instrText xml:space="preserve"> PAGEREF _Toc235041173 \h </w:instrText>
            </w:r>
            <w:r w:rsidRPr="00F61D2F">
              <w:rPr>
                <w:noProof/>
                <w:webHidden/>
              </w:rPr>
            </w:r>
            <w:r w:rsidRPr="00F61D2F">
              <w:rPr>
                <w:noProof/>
                <w:webHidden/>
              </w:rPr>
              <w:fldChar w:fldCharType="separate"/>
            </w:r>
            <w:r w:rsidRPr="00F61D2F">
              <w:rPr>
                <w:noProof/>
                <w:webHidden/>
              </w:rPr>
              <w:t>7</w:t>
            </w:r>
            <w:r w:rsidRPr="00F61D2F">
              <w:rPr>
                <w:noProof/>
                <w:webHidden/>
              </w:rPr>
              <w:fldChar w:fldCharType="end"/>
            </w:r>
          </w:hyperlink>
        </w:p>
        <w:p w14:paraId="70A89A73" w14:textId="0EA45294" w:rsidR="00941CB8" w:rsidRPr="00F61D2F" w:rsidRDefault="00941CB8">
          <w:pPr>
            <w:pStyle w:val="TOC2"/>
            <w:tabs>
              <w:tab w:val="right" w:leader="dot" w:pos="9019"/>
            </w:tabs>
            <w:rPr>
              <w:rFonts w:eastAsiaTheme="minorEastAsia"/>
              <w:noProof/>
              <w:kern w:val="2"/>
              <w:lang w:val="en-IN"/>
              <w14:ligatures w14:val="standardContextual"/>
            </w:rPr>
          </w:pPr>
          <w:hyperlink w:anchor="_Toc235041174" w:history="1">
            <w:r w:rsidRPr="00F61D2F">
              <w:rPr>
                <w:rStyle w:val="Hyperlink"/>
                <w:noProof/>
              </w:rPr>
              <w:t>2.2 Working Capital Reforms to Improve Liquidity</w:t>
            </w:r>
            <w:r w:rsidRPr="00F61D2F">
              <w:rPr>
                <w:noProof/>
                <w:webHidden/>
              </w:rPr>
              <w:tab/>
            </w:r>
            <w:r w:rsidRPr="00F61D2F">
              <w:rPr>
                <w:noProof/>
                <w:webHidden/>
              </w:rPr>
              <w:fldChar w:fldCharType="begin"/>
            </w:r>
            <w:r w:rsidRPr="00F61D2F">
              <w:rPr>
                <w:noProof/>
                <w:webHidden/>
              </w:rPr>
              <w:instrText xml:space="preserve"> PAGEREF _Toc235041174 \h </w:instrText>
            </w:r>
            <w:r w:rsidRPr="00F61D2F">
              <w:rPr>
                <w:noProof/>
                <w:webHidden/>
              </w:rPr>
            </w:r>
            <w:r w:rsidRPr="00F61D2F">
              <w:rPr>
                <w:noProof/>
                <w:webHidden/>
              </w:rPr>
              <w:fldChar w:fldCharType="separate"/>
            </w:r>
            <w:r w:rsidRPr="00F61D2F">
              <w:rPr>
                <w:noProof/>
                <w:webHidden/>
              </w:rPr>
              <w:t>7</w:t>
            </w:r>
            <w:r w:rsidRPr="00F61D2F">
              <w:rPr>
                <w:noProof/>
                <w:webHidden/>
              </w:rPr>
              <w:fldChar w:fldCharType="end"/>
            </w:r>
          </w:hyperlink>
        </w:p>
        <w:p w14:paraId="0F3A169B" w14:textId="23B5E42D" w:rsidR="00941CB8" w:rsidRPr="00F61D2F" w:rsidRDefault="00941CB8">
          <w:pPr>
            <w:pStyle w:val="TOC2"/>
            <w:tabs>
              <w:tab w:val="right" w:leader="dot" w:pos="9019"/>
            </w:tabs>
            <w:rPr>
              <w:rFonts w:eastAsiaTheme="minorEastAsia"/>
              <w:noProof/>
              <w:kern w:val="2"/>
              <w:lang w:val="en-IN"/>
              <w14:ligatures w14:val="standardContextual"/>
            </w:rPr>
          </w:pPr>
          <w:hyperlink w:anchor="_Toc235041175" w:history="1">
            <w:r w:rsidRPr="00F61D2F">
              <w:rPr>
                <w:rStyle w:val="Hyperlink"/>
                <w:noProof/>
              </w:rPr>
              <w:t>2.3 Short-Term versus Long-Term Financing</w:t>
            </w:r>
            <w:r w:rsidRPr="00F61D2F">
              <w:rPr>
                <w:noProof/>
                <w:webHidden/>
              </w:rPr>
              <w:tab/>
            </w:r>
            <w:r w:rsidRPr="00F61D2F">
              <w:rPr>
                <w:noProof/>
                <w:webHidden/>
              </w:rPr>
              <w:fldChar w:fldCharType="begin"/>
            </w:r>
            <w:r w:rsidRPr="00F61D2F">
              <w:rPr>
                <w:noProof/>
                <w:webHidden/>
              </w:rPr>
              <w:instrText xml:space="preserve"> PAGEREF _Toc235041175 \h </w:instrText>
            </w:r>
            <w:r w:rsidRPr="00F61D2F">
              <w:rPr>
                <w:noProof/>
                <w:webHidden/>
              </w:rPr>
            </w:r>
            <w:r w:rsidRPr="00F61D2F">
              <w:rPr>
                <w:noProof/>
                <w:webHidden/>
              </w:rPr>
              <w:fldChar w:fldCharType="separate"/>
            </w:r>
            <w:r w:rsidRPr="00F61D2F">
              <w:rPr>
                <w:noProof/>
                <w:webHidden/>
              </w:rPr>
              <w:t>8</w:t>
            </w:r>
            <w:r w:rsidRPr="00F61D2F">
              <w:rPr>
                <w:noProof/>
                <w:webHidden/>
              </w:rPr>
              <w:fldChar w:fldCharType="end"/>
            </w:r>
          </w:hyperlink>
        </w:p>
        <w:p w14:paraId="4281F048" w14:textId="4822C7E7" w:rsidR="00941CB8" w:rsidRPr="00F61D2F" w:rsidRDefault="00941CB8">
          <w:pPr>
            <w:pStyle w:val="TOC1"/>
            <w:tabs>
              <w:tab w:val="right" w:leader="dot" w:pos="9019"/>
            </w:tabs>
            <w:rPr>
              <w:rFonts w:eastAsiaTheme="minorEastAsia"/>
              <w:noProof/>
              <w:kern w:val="2"/>
              <w:lang w:val="en-IN"/>
              <w14:ligatures w14:val="standardContextual"/>
            </w:rPr>
          </w:pPr>
          <w:hyperlink w:anchor="_Toc235041176" w:history="1">
            <w:r w:rsidRPr="00F61D2F">
              <w:rPr>
                <w:rStyle w:val="Hyperlink"/>
                <w:noProof/>
              </w:rPr>
              <w:t>Strategic Financial Restructuring</w:t>
            </w:r>
            <w:r w:rsidRPr="00F61D2F">
              <w:rPr>
                <w:noProof/>
                <w:webHidden/>
              </w:rPr>
              <w:tab/>
            </w:r>
            <w:r w:rsidRPr="00F61D2F">
              <w:rPr>
                <w:noProof/>
                <w:webHidden/>
              </w:rPr>
              <w:fldChar w:fldCharType="begin"/>
            </w:r>
            <w:r w:rsidRPr="00F61D2F">
              <w:rPr>
                <w:noProof/>
                <w:webHidden/>
              </w:rPr>
              <w:instrText xml:space="preserve"> PAGEREF _Toc235041176 \h </w:instrText>
            </w:r>
            <w:r w:rsidRPr="00F61D2F">
              <w:rPr>
                <w:noProof/>
                <w:webHidden/>
              </w:rPr>
            </w:r>
            <w:r w:rsidRPr="00F61D2F">
              <w:rPr>
                <w:noProof/>
                <w:webHidden/>
              </w:rPr>
              <w:fldChar w:fldCharType="separate"/>
            </w:r>
            <w:r w:rsidRPr="00F61D2F">
              <w:rPr>
                <w:noProof/>
                <w:webHidden/>
              </w:rPr>
              <w:t>8</w:t>
            </w:r>
            <w:r w:rsidRPr="00F61D2F">
              <w:rPr>
                <w:noProof/>
                <w:webHidden/>
              </w:rPr>
              <w:fldChar w:fldCharType="end"/>
            </w:r>
          </w:hyperlink>
        </w:p>
        <w:p w14:paraId="0DEBC7EF" w14:textId="51FA8AC0" w:rsidR="00941CB8" w:rsidRPr="00F61D2F" w:rsidRDefault="00941CB8">
          <w:pPr>
            <w:pStyle w:val="TOC2"/>
            <w:tabs>
              <w:tab w:val="right" w:leader="dot" w:pos="9019"/>
            </w:tabs>
            <w:rPr>
              <w:rFonts w:eastAsiaTheme="minorEastAsia"/>
              <w:noProof/>
              <w:kern w:val="2"/>
              <w:lang w:val="en-IN"/>
              <w14:ligatures w14:val="standardContextual"/>
            </w:rPr>
          </w:pPr>
          <w:hyperlink w:anchor="_Toc235041177" w:history="1">
            <w:r w:rsidRPr="00F61D2F">
              <w:rPr>
                <w:rStyle w:val="Hyperlink"/>
                <w:noProof/>
              </w:rPr>
              <w:t>3.1 Recommended Financial Restructuring Options</w:t>
            </w:r>
            <w:r w:rsidRPr="00F61D2F">
              <w:rPr>
                <w:noProof/>
                <w:webHidden/>
              </w:rPr>
              <w:tab/>
            </w:r>
            <w:r w:rsidRPr="00F61D2F">
              <w:rPr>
                <w:noProof/>
                <w:webHidden/>
              </w:rPr>
              <w:fldChar w:fldCharType="begin"/>
            </w:r>
            <w:r w:rsidRPr="00F61D2F">
              <w:rPr>
                <w:noProof/>
                <w:webHidden/>
              </w:rPr>
              <w:instrText xml:space="preserve"> PAGEREF _Toc235041177 \h </w:instrText>
            </w:r>
            <w:r w:rsidRPr="00F61D2F">
              <w:rPr>
                <w:noProof/>
                <w:webHidden/>
              </w:rPr>
            </w:r>
            <w:r w:rsidRPr="00F61D2F">
              <w:rPr>
                <w:noProof/>
                <w:webHidden/>
              </w:rPr>
              <w:fldChar w:fldCharType="separate"/>
            </w:r>
            <w:r w:rsidRPr="00F61D2F">
              <w:rPr>
                <w:noProof/>
                <w:webHidden/>
              </w:rPr>
              <w:t>8</w:t>
            </w:r>
            <w:r w:rsidRPr="00F61D2F">
              <w:rPr>
                <w:noProof/>
                <w:webHidden/>
              </w:rPr>
              <w:fldChar w:fldCharType="end"/>
            </w:r>
          </w:hyperlink>
        </w:p>
        <w:p w14:paraId="2961E422" w14:textId="71BC97CD" w:rsidR="00941CB8" w:rsidRPr="00F61D2F" w:rsidRDefault="00941CB8">
          <w:pPr>
            <w:pStyle w:val="TOC2"/>
            <w:tabs>
              <w:tab w:val="right" w:leader="dot" w:pos="9019"/>
            </w:tabs>
            <w:rPr>
              <w:rFonts w:eastAsiaTheme="minorEastAsia"/>
              <w:noProof/>
              <w:kern w:val="2"/>
              <w:lang w:val="en-IN"/>
              <w14:ligatures w14:val="standardContextual"/>
            </w:rPr>
          </w:pPr>
          <w:hyperlink w:anchor="_Toc235041178" w:history="1">
            <w:r w:rsidRPr="00F61D2F">
              <w:rPr>
                <w:rStyle w:val="Hyperlink"/>
                <w:noProof/>
              </w:rPr>
              <w:t>3.2 Impact on Shareholder Value, Debt Structure and Operational Flexibility</w:t>
            </w:r>
            <w:r w:rsidRPr="00F61D2F">
              <w:rPr>
                <w:noProof/>
                <w:webHidden/>
              </w:rPr>
              <w:tab/>
            </w:r>
            <w:r w:rsidRPr="00F61D2F">
              <w:rPr>
                <w:noProof/>
                <w:webHidden/>
              </w:rPr>
              <w:fldChar w:fldCharType="begin"/>
            </w:r>
            <w:r w:rsidRPr="00F61D2F">
              <w:rPr>
                <w:noProof/>
                <w:webHidden/>
              </w:rPr>
              <w:instrText xml:space="preserve"> PAGEREF _Toc235041178 \h </w:instrText>
            </w:r>
            <w:r w:rsidRPr="00F61D2F">
              <w:rPr>
                <w:noProof/>
                <w:webHidden/>
              </w:rPr>
            </w:r>
            <w:r w:rsidRPr="00F61D2F">
              <w:rPr>
                <w:noProof/>
                <w:webHidden/>
              </w:rPr>
              <w:fldChar w:fldCharType="separate"/>
            </w:r>
            <w:r w:rsidRPr="00F61D2F">
              <w:rPr>
                <w:noProof/>
                <w:webHidden/>
              </w:rPr>
              <w:t>9</w:t>
            </w:r>
            <w:r w:rsidRPr="00F61D2F">
              <w:rPr>
                <w:noProof/>
                <w:webHidden/>
              </w:rPr>
              <w:fldChar w:fldCharType="end"/>
            </w:r>
          </w:hyperlink>
        </w:p>
        <w:p w14:paraId="2B79AAB2" w14:textId="281CEEA6" w:rsidR="00941CB8" w:rsidRPr="00F61D2F" w:rsidRDefault="00941CB8">
          <w:pPr>
            <w:pStyle w:val="TOC2"/>
            <w:tabs>
              <w:tab w:val="right" w:leader="dot" w:pos="9019"/>
            </w:tabs>
            <w:rPr>
              <w:rFonts w:eastAsiaTheme="minorEastAsia"/>
              <w:noProof/>
              <w:kern w:val="2"/>
              <w:lang w:val="en-IN"/>
              <w14:ligatures w14:val="standardContextual"/>
            </w:rPr>
          </w:pPr>
          <w:hyperlink w:anchor="_Toc235041179" w:history="1">
            <w:r w:rsidRPr="00F61D2F">
              <w:rPr>
                <w:rStyle w:val="Hyperlink"/>
                <w:noProof/>
              </w:rPr>
              <w:t>3.3 International, Ethical and ESG Considerations</w:t>
            </w:r>
            <w:r w:rsidRPr="00F61D2F">
              <w:rPr>
                <w:noProof/>
                <w:webHidden/>
              </w:rPr>
              <w:tab/>
            </w:r>
            <w:r w:rsidRPr="00F61D2F">
              <w:rPr>
                <w:noProof/>
                <w:webHidden/>
              </w:rPr>
              <w:fldChar w:fldCharType="begin"/>
            </w:r>
            <w:r w:rsidRPr="00F61D2F">
              <w:rPr>
                <w:noProof/>
                <w:webHidden/>
              </w:rPr>
              <w:instrText xml:space="preserve"> PAGEREF _Toc235041179 \h </w:instrText>
            </w:r>
            <w:r w:rsidRPr="00F61D2F">
              <w:rPr>
                <w:noProof/>
                <w:webHidden/>
              </w:rPr>
            </w:r>
            <w:r w:rsidRPr="00F61D2F">
              <w:rPr>
                <w:noProof/>
                <w:webHidden/>
              </w:rPr>
              <w:fldChar w:fldCharType="separate"/>
            </w:r>
            <w:r w:rsidRPr="00F61D2F">
              <w:rPr>
                <w:noProof/>
                <w:webHidden/>
              </w:rPr>
              <w:t>9</w:t>
            </w:r>
            <w:r w:rsidRPr="00F61D2F">
              <w:rPr>
                <w:noProof/>
                <w:webHidden/>
              </w:rPr>
              <w:fldChar w:fldCharType="end"/>
            </w:r>
          </w:hyperlink>
        </w:p>
        <w:p w14:paraId="759626EF" w14:textId="7C09A18B" w:rsidR="00941CB8" w:rsidRPr="00F61D2F" w:rsidRDefault="00941CB8">
          <w:pPr>
            <w:pStyle w:val="TOC1"/>
            <w:tabs>
              <w:tab w:val="right" w:leader="dot" w:pos="9019"/>
            </w:tabs>
            <w:rPr>
              <w:rFonts w:eastAsiaTheme="minorEastAsia"/>
              <w:noProof/>
              <w:kern w:val="2"/>
              <w:lang w:val="en-IN"/>
              <w14:ligatures w14:val="standardContextual"/>
            </w:rPr>
          </w:pPr>
          <w:hyperlink w:anchor="_Toc235041180" w:history="1">
            <w:r w:rsidRPr="00F61D2F">
              <w:rPr>
                <w:rStyle w:val="Hyperlink"/>
                <w:noProof/>
              </w:rPr>
              <w:t>Investment Appraisal</w:t>
            </w:r>
            <w:r w:rsidRPr="00F61D2F">
              <w:rPr>
                <w:noProof/>
                <w:webHidden/>
              </w:rPr>
              <w:tab/>
            </w:r>
            <w:r w:rsidRPr="00F61D2F">
              <w:rPr>
                <w:noProof/>
                <w:webHidden/>
              </w:rPr>
              <w:fldChar w:fldCharType="begin"/>
            </w:r>
            <w:r w:rsidRPr="00F61D2F">
              <w:rPr>
                <w:noProof/>
                <w:webHidden/>
              </w:rPr>
              <w:instrText xml:space="preserve"> PAGEREF _Toc235041180 \h </w:instrText>
            </w:r>
            <w:r w:rsidRPr="00F61D2F">
              <w:rPr>
                <w:noProof/>
                <w:webHidden/>
              </w:rPr>
            </w:r>
            <w:r w:rsidRPr="00F61D2F">
              <w:rPr>
                <w:noProof/>
                <w:webHidden/>
              </w:rPr>
              <w:fldChar w:fldCharType="separate"/>
            </w:r>
            <w:r w:rsidRPr="00F61D2F">
              <w:rPr>
                <w:noProof/>
                <w:webHidden/>
              </w:rPr>
              <w:t>10</w:t>
            </w:r>
            <w:r w:rsidRPr="00F61D2F">
              <w:rPr>
                <w:noProof/>
                <w:webHidden/>
              </w:rPr>
              <w:fldChar w:fldCharType="end"/>
            </w:r>
          </w:hyperlink>
        </w:p>
        <w:p w14:paraId="1C60887A" w14:textId="1A1C945D" w:rsidR="00941CB8" w:rsidRPr="00F61D2F" w:rsidRDefault="00941CB8">
          <w:pPr>
            <w:pStyle w:val="TOC2"/>
            <w:tabs>
              <w:tab w:val="right" w:leader="dot" w:pos="9019"/>
            </w:tabs>
            <w:rPr>
              <w:rFonts w:eastAsiaTheme="minorEastAsia"/>
              <w:noProof/>
              <w:kern w:val="2"/>
              <w:lang w:val="en-IN"/>
              <w14:ligatures w14:val="standardContextual"/>
            </w:rPr>
          </w:pPr>
          <w:hyperlink w:anchor="_Toc235041181" w:history="1">
            <w:r w:rsidRPr="00F61D2F">
              <w:rPr>
                <w:rStyle w:val="Hyperlink"/>
                <w:noProof/>
              </w:rPr>
              <w:t>4.1 Correction of the Investment Appraisal Results</w:t>
            </w:r>
            <w:r w:rsidRPr="00F61D2F">
              <w:rPr>
                <w:noProof/>
                <w:webHidden/>
              </w:rPr>
              <w:tab/>
            </w:r>
            <w:r w:rsidRPr="00F61D2F">
              <w:rPr>
                <w:noProof/>
                <w:webHidden/>
              </w:rPr>
              <w:fldChar w:fldCharType="begin"/>
            </w:r>
            <w:r w:rsidRPr="00F61D2F">
              <w:rPr>
                <w:noProof/>
                <w:webHidden/>
              </w:rPr>
              <w:instrText xml:space="preserve"> PAGEREF _Toc235041181 \h </w:instrText>
            </w:r>
            <w:r w:rsidRPr="00F61D2F">
              <w:rPr>
                <w:noProof/>
                <w:webHidden/>
              </w:rPr>
            </w:r>
            <w:r w:rsidRPr="00F61D2F">
              <w:rPr>
                <w:noProof/>
                <w:webHidden/>
              </w:rPr>
              <w:fldChar w:fldCharType="separate"/>
            </w:r>
            <w:r w:rsidRPr="00F61D2F">
              <w:rPr>
                <w:noProof/>
                <w:webHidden/>
              </w:rPr>
              <w:t>10</w:t>
            </w:r>
            <w:r w:rsidRPr="00F61D2F">
              <w:rPr>
                <w:noProof/>
                <w:webHidden/>
              </w:rPr>
              <w:fldChar w:fldCharType="end"/>
            </w:r>
          </w:hyperlink>
        </w:p>
        <w:p w14:paraId="3E60684B" w14:textId="6F7ED1EE" w:rsidR="00941CB8" w:rsidRPr="00F61D2F" w:rsidRDefault="00941CB8">
          <w:pPr>
            <w:pStyle w:val="TOC2"/>
            <w:tabs>
              <w:tab w:val="right" w:leader="dot" w:pos="9019"/>
            </w:tabs>
            <w:rPr>
              <w:rFonts w:eastAsiaTheme="minorEastAsia"/>
              <w:noProof/>
              <w:kern w:val="2"/>
              <w:lang w:val="en-IN"/>
              <w14:ligatures w14:val="standardContextual"/>
            </w:rPr>
          </w:pPr>
          <w:hyperlink w:anchor="_Toc235041182" w:history="1">
            <w:r w:rsidRPr="00F61D2F">
              <w:rPr>
                <w:rStyle w:val="Hyperlink"/>
                <w:noProof/>
              </w:rPr>
              <w:t>4.2 Comparison of the Three Projects</w:t>
            </w:r>
            <w:r w:rsidRPr="00F61D2F">
              <w:rPr>
                <w:noProof/>
                <w:webHidden/>
              </w:rPr>
              <w:tab/>
            </w:r>
            <w:r w:rsidRPr="00F61D2F">
              <w:rPr>
                <w:noProof/>
                <w:webHidden/>
              </w:rPr>
              <w:fldChar w:fldCharType="begin"/>
            </w:r>
            <w:r w:rsidRPr="00F61D2F">
              <w:rPr>
                <w:noProof/>
                <w:webHidden/>
              </w:rPr>
              <w:instrText xml:space="preserve"> PAGEREF _Toc235041182 \h </w:instrText>
            </w:r>
            <w:r w:rsidRPr="00F61D2F">
              <w:rPr>
                <w:noProof/>
                <w:webHidden/>
              </w:rPr>
            </w:r>
            <w:r w:rsidRPr="00F61D2F">
              <w:rPr>
                <w:noProof/>
                <w:webHidden/>
              </w:rPr>
              <w:fldChar w:fldCharType="separate"/>
            </w:r>
            <w:r w:rsidRPr="00F61D2F">
              <w:rPr>
                <w:noProof/>
                <w:webHidden/>
              </w:rPr>
              <w:t>11</w:t>
            </w:r>
            <w:r w:rsidRPr="00F61D2F">
              <w:rPr>
                <w:noProof/>
                <w:webHidden/>
              </w:rPr>
              <w:fldChar w:fldCharType="end"/>
            </w:r>
          </w:hyperlink>
        </w:p>
        <w:p w14:paraId="138DD306" w14:textId="4BEFA8F6" w:rsidR="00941CB8" w:rsidRPr="00F61D2F" w:rsidRDefault="00941CB8">
          <w:pPr>
            <w:pStyle w:val="TOC2"/>
            <w:tabs>
              <w:tab w:val="right" w:leader="dot" w:pos="9019"/>
            </w:tabs>
            <w:rPr>
              <w:rFonts w:eastAsiaTheme="minorEastAsia"/>
              <w:noProof/>
              <w:kern w:val="2"/>
              <w:lang w:val="en-IN"/>
              <w14:ligatures w14:val="standardContextual"/>
            </w:rPr>
          </w:pPr>
          <w:hyperlink w:anchor="_Toc235041183" w:history="1">
            <w:r w:rsidRPr="00F61D2F">
              <w:rPr>
                <w:rStyle w:val="Hyperlink"/>
                <w:noProof/>
              </w:rPr>
              <w:t>4.3 Recommended Project</w:t>
            </w:r>
            <w:r w:rsidRPr="00F61D2F">
              <w:rPr>
                <w:noProof/>
                <w:webHidden/>
              </w:rPr>
              <w:tab/>
            </w:r>
            <w:r w:rsidRPr="00F61D2F">
              <w:rPr>
                <w:noProof/>
                <w:webHidden/>
              </w:rPr>
              <w:fldChar w:fldCharType="begin"/>
            </w:r>
            <w:r w:rsidRPr="00F61D2F">
              <w:rPr>
                <w:noProof/>
                <w:webHidden/>
              </w:rPr>
              <w:instrText xml:space="preserve"> PAGEREF _Toc235041183 \h </w:instrText>
            </w:r>
            <w:r w:rsidRPr="00F61D2F">
              <w:rPr>
                <w:noProof/>
                <w:webHidden/>
              </w:rPr>
            </w:r>
            <w:r w:rsidRPr="00F61D2F">
              <w:rPr>
                <w:noProof/>
                <w:webHidden/>
              </w:rPr>
              <w:fldChar w:fldCharType="separate"/>
            </w:r>
            <w:r w:rsidRPr="00F61D2F">
              <w:rPr>
                <w:noProof/>
                <w:webHidden/>
              </w:rPr>
              <w:t>11</w:t>
            </w:r>
            <w:r w:rsidRPr="00F61D2F">
              <w:rPr>
                <w:noProof/>
                <w:webHidden/>
              </w:rPr>
              <w:fldChar w:fldCharType="end"/>
            </w:r>
          </w:hyperlink>
        </w:p>
        <w:p w14:paraId="42E5557C" w14:textId="419E3BA7" w:rsidR="00941CB8" w:rsidRPr="00F61D2F" w:rsidRDefault="00941CB8">
          <w:pPr>
            <w:pStyle w:val="TOC2"/>
            <w:tabs>
              <w:tab w:val="right" w:leader="dot" w:pos="9019"/>
            </w:tabs>
            <w:rPr>
              <w:rFonts w:eastAsiaTheme="minorEastAsia"/>
              <w:noProof/>
              <w:kern w:val="2"/>
              <w:lang w:val="en-IN"/>
              <w14:ligatures w14:val="standardContextual"/>
            </w:rPr>
          </w:pPr>
          <w:hyperlink w:anchor="_Toc235041184" w:history="1">
            <w:r w:rsidRPr="00F61D2F">
              <w:rPr>
                <w:rStyle w:val="Hyperlink"/>
                <w:noProof/>
              </w:rPr>
              <w:t>4.4 Non-Financial Risks Affecting Project C</w:t>
            </w:r>
            <w:r w:rsidRPr="00F61D2F">
              <w:rPr>
                <w:noProof/>
                <w:webHidden/>
              </w:rPr>
              <w:tab/>
            </w:r>
            <w:r w:rsidRPr="00F61D2F">
              <w:rPr>
                <w:noProof/>
                <w:webHidden/>
              </w:rPr>
              <w:fldChar w:fldCharType="begin"/>
            </w:r>
            <w:r w:rsidRPr="00F61D2F">
              <w:rPr>
                <w:noProof/>
                <w:webHidden/>
              </w:rPr>
              <w:instrText xml:space="preserve"> PAGEREF _Toc235041184 \h </w:instrText>
            </w:r>
            <w:r w:rsidRPr="00F61D2F">
              <w:rPr>
                <w:noProof/>
                <w:webHidden/>
              </w:rPr>
            </w:r>
            <w:r w:rsidRPr="00F61D2F">
              <w:rPr>
                <w:noProof/>
                <w:webHidden/>
              </w:rPr>
              <w:fldChar w:fldCharType="separate"/>
            </w:r>
            <w:r w:rsidRPr="00F61D2F">
              <w:rPr>
                <w:noProof/>
                <w:webHidden/>
              </w:rPr>
              <w:t>12</w:t>
            </w:r>
            <w:r w:rsidRPr="00F61D2F">
              <w:rPr>
                <w:noProof/>
                <w:webHidden/>
              </w:rPr>
              <w:fldChar w:fldCharType="end"/>
            </w:r>
          </w:hyperlink>
        </w:p>
        <w:p w14:paraId="730D5ABF" w14:textId="7321BD91" w:rsidR="00941CB8" w:rsidRPr="00F61D2F" w:rsidRDefault="00941CB8">
          <w:pPr>
            <w:pStyle w:val="TOC2"/>
            <w:tabs>
              <w:tab w:val="right" w:leader="dot" w:pos="9019"/>
            </w:tabs>
            <w:rPr>
              <w:rFonts w:eastAsiaTheme="minorEastAsia"/>
              <w:noProof/>
              <w:kern w:val="2"/>
              <w:lang w:val="en-IN"/>
              <w14:ligatures w14:val="standardContextual"/>
            </w:rPr>
          </w:pPr>
          <w:hyperlink w:anchor="_Toc235041185" w:history="1">
            <w:r w:rsidRPr="00F61D2F">
              <w:rPr>
                <w:rStyle w:val="Hyperlink"/>
                <w:noProof/>
              </w:rPr>
              <w:t>4.5 Capital-Rationing Analysis</w:t>
            </w:r>
            <w:r w:rsidRPr="00F61D2F">
              <w:rPr>
                <w:noProof/>
                <w:webHidden/>
              </w:rPr>
              <w:tab/>
            </w:r>
            <w:r w:rsidRPr="00F61D2F">
              <w:rPr>
                <w:noProof/>
                <w:webHidden/>
              </w:rPr>
              <w:fldChar w:fldCharType="begin"/>
            </w:r>
            <w:r w:rsidRPr="00F61D2F">
              <w:rPr>
                <w:noProof/>
                <w:webHidden/>
              </w:rPr>
              <w:instrText xml:space="preserve"> PAGEREF _Toc235041185 \h </w:instrText>
            </w:r>
            <w:r w:rsidRPr="00F61D2F">
              <w:rPr>
                <w:noProof/>
                <w:webHidden/>
              </w:rPr>
            </w:r>
            <w:r w:rsidRPr="00F61D2F">
              <w:rPr>
                <w:noProof/>
                <w:webHidden/>
              </w:rPr>
              <w:fldChar w:fldCharType="separate"/>
            </w:r>
            <w:r w:rsidRPr="00F61D2F">
              <w:rPr>
                <w:noProof/>
                <w:webHidden/>
              </w:rPr>
              <w:t>13</w:t>
            </w:r>
            <w:r w:rsidRPr="00F61D2F">
              <w:rPr>
                <w:noProof/>
                <w:webHidden/>
              </w:rPr>
              <w:fldChar w:fldCharType="end"/>
            </w:r>
          </w:hyperlink>
        </w:p>
        <w:p w14:paraId="625F5662" w14:textId="6FBEFCDD" w:rsidR="00941CB8" w:rsidRPr="00F61D2F" w:rsidRDefault="00941CB8">
          <w:pPr>
            <w:pStyle w:val="TOC1"/>
            <w:tabs>
              <w:tab w:val="right" w:leader="dot" w:pos="9019"/>
            </w:tabs>
            <w:rPr>
              <w:rFonts w:eastAsiaTheme="minorEastAsia"/>
              <w:noProof/>
              <w:kern w:val="2"/>
              <w:lang w:val="en-IN"/>
              <w14:ligatures w14:val="standardContextual"/>
            </w:rPr>
          </w:pPr>
          <w:hyperlink w:anchor="_Toc235041186" w:history="1">
            <w:r w:rsidRPr="00F61D2F">
              <w:rPr>
                <w:rStyle w:val="Hyperlink"/>
                <w:noProof/>
              </w:rPr>
              <w:t>Critical Reflection on AI</w:t>
            </w:r>
            <w:r w:rsidRPr="00F61D2F">
              <w:rPr>
                <w:noProof/>
                <w:webHidden/>
              </w:rPr>
              <w:tab/>
            </w:r>
            <w:r w:rsidRPr="00F61D2F">
              <w:rPr>
                <w:noProof/>
                <w:webHidden/>
              </w:rPr>
              <w:fldChar w:fldCharType="begin"/>
            </w:r>
            <w:r w:rsidRPr="00F61D2F">
              <w:rPr>
                <w:noProof/>
                <w:webHidden/>
              </w:rPr>
              <w:instrText xml:space="preserve"> PAGEREF _Toc235041186 \h </w:instrText>
            </w:r>
            <w:r w:rsidRPr="00F61D2F">
              <w:rPr>
                <w:noProof/>
                <w:webHidden/>
              </w:rPr>
            </w:r>
            <w:r w:rsidRPr="00F61D2F">
              <w:rPr>
                <w:noProof/>
                <w:webHidden/>
              </w:rPr>
              <w:fldChar w:fldCharType="separate"/>
            </w:r>
            <w:r w:rsidRPr="00F61D2F">
              <w:rPr>
                <w:noProof/>
                <w:webHidden/>
              </w:rPr>
              <w:t>14</w:t>
            </w:r>
            <w:r w:rsidRPr="00F61D2F">
              <w:rPr>
                <w:noProof/>
                <w:webHidden/>
              </w:rPr>
              <w:fldChar w:fldCharType="end"/>
            </w:r>
          </w:hyperlink>
        </w:p>
        <w:p w14:paraId="7E81D752" w14:textId="0F860683" w:rsidR="00941CB8" w:rsidRPr="00F61D2F" w:rsidRDefault="00941CB8">
          <w:pPr>
            <w:pStyle w:val="TOC2"/>
            <w:tabs>
              <w:tab w:val="right" w:leader="dot" w:pos="9019"/>
            </w:tabs>
            <w:rPr>
              <w:rFonts w:eastAsiaTheme="minorEastAsia"/>
              <w:noProof/>
              <w:kern w:val="2"/>
              <w:lang w:val="en-IN"/>
              <w14:ligatures w14:val="standardContextual"/>
            </w:rPr>
          </w:pPr>
          <w:hyperlink w:anchor="_Toc235041187" w:history="1">
            <w:r w:rsidRPr="00F61D2F">
              <w:rPr>
                <w:rStyle w:val="Hyperlink"/>
                <w:noProof/>
              </w:rPr>
              <w:t>5.1 Tool Disclosure</w:t>
            </w:r>
            <w:r w:rsidRPr="00F61D2F">
              <w:rPr>
                <w:noProof/>
                <w:webHidden/>
              </w:rPr>
              <w:tab/>
            </w:r>
            <w:r w:rsidRPr="00F61D2F">
              <w:rPr>
                <w:noProof/>
                <w:webHidden/>
              </w:rPr>
              <w:fldChar w:fldCharType="begin"/>
            </w:r>
            <w:r w:rsidRPr="00F61D2F">
              <w:rPr>
                <w:noProof/>
                <w:webHidden/>
              </w:rPr>
              <w:instrText xml:space="preserve"> PAGEREF _Toc235041187 \h </w:instrText>
            </w:r>
            <w:r w:rsidRPr="00F61D2F">
              <w:rPr>
                <w:noProof/>
                <w:webHidden/>
              </w:rPr>
            </w:r>
            <w:r w:rsidRPr="00F61D2F">
              <w:rPr>
                <w:noProof/>
                <w:webHidden/>
              </w:rPr>
              <w:fldChar w:fldCharType="separate"/>
            </w:r>
            <w:r w:rsidRPr="00F61D2F">
              <w:rPr>
                <w:noProof/>
                <w:webHidden/>
              </w:rPr>
              <w:t>14</w:t>
            </w:r>
            <w:r w:rsidRPr="00F61D2F">
              <w:rPr>
                <w:noProof/>
                <w:webHidden/>
              </w:rPr>
              <w:fldChar w:fldCharType="end"/>
            </w:r>
          </w:hyperlink>
        </w:p>
        <w:p w14:paraId="562E704E" w14:textId="5FEC8B26" w:rsidR="00941CB8" w:rsidRPr="00F61D2F" w:rsidRDefault="00941CB8">
          <w:pPr>
            <w:pStyle w:val="TOC2"/>
            <w:tabs>
              <w:tab w:val="right" w:leader="dot" w:pos="9019"/>
            </w:tabs>
            <w:rPr>
              <w:rFonts w:eastAsiaTheme="minorEastAsia"/>
              <w:noProof/>
              <w:kern w:val="2"/>
              <w:lang w:val="en-IN"/>
              <w14:ligatures w14:val="standardContextual"/>
            </w:rPr>
          </w:pPr>
          <w:hyperlink w:anchor="_Toc235041188" w:history="1">
            <w:r w:rsidRPr="00F61D2F">
              <w:rPr>
                <w:rStyle w:val="Hyperlink"/>
                <w:noProof/>
              </w:rPr>
              <w:t>5.2 Critical Evaluation and Verification of AI Output</w:t>
            </w:r>
            <w:r w:rsidRPr="00F61D2F">
              <w:rPr>
                <w:noProof/>
                <w:webHidden/>
              </w:rPr>
              <w:tab/>
            </w:r>
            <w:r w:rsidRPr="00F61D2F">
              <w:rPr>
                <w:noProof/>
                <w:webHidden/>
              </w:rPr>
              <w:fldChar w:fldCharType="begin"/>
            </w:r>
            <w:r w:rsidRPr="00F61D2F">
              <w:rPr>
                <w:noProof/>
                <w:webHidden/>
              </w:rPr>
              <w:instrText xml:space="preserve"> PAGEREF _Toc235041188 \h </w:instrText>
            </w:r>
            <w:r w:rsidRPr="00F61D2F">
              <w:rPr>
                <w:noProof/>
                <w:webHidden/>
              </w:rPr>
            </w:r>
            <w:r w:rsidRPr="00F61D2F">
              <w:rPr>
                <w:noProof/>
                <w:webHidden/>
              </w:rPr>
              <w:fldChar w:fldCharType="separate"/>
            </w:r>
            <w:r w:rsidRPr="00F61D2F">
              <w:rPr>
                <w:noProof/>
                <w:webHidden/>
              </w:rPr>
              <w:t>14</w:t>
            </w:r>
            <w:r w:rsidRPr="00F61D2F">
              <w:rPr>
                <w:noProof/>
                <w:webHidden/>
              </w:rPr>
              <w:fldChar w:fldCharType="end"/>
            </w:r>
          </w:hyperlink>
        </w:p>
        <w:p w14:paraId="4E974291" w14:textId="59779223" w:rsidR="00941CB8" w:rsidRPr="00F61D2F" w:rsidRDefault="00941CB8">
          <w:pPr>
            <w:pStyle w:val="TOC2"/>
            <w:tabs>
              <w:tab w:val="right" w:leader="dot" w:pos="9019"/>
            </w:tabs>
            <w:rPr>
              <w:rFonts w:eastAsiaTheme="minorEastAsia"/>
              <w:noProof/>
              <w:kern w:val="2"/>
              <w:lang w:val="en-IN"/>
              <w14:ligatures w14:val="standardContextual"/>
            </w:rPr>
          </w:pPr>
          <w:hyperlink w:anchor="_Toc235041189" w:history="1">
            <w:r w:rsidRPr="00F61D2F">
              <w:rPr>
                <w:rStyle w:val="Hyperlink"/>
                <w:noProof/>
              </w:rPr>
              <w:t>5.3 AI and Personal Contribution</w:t>
            </w:r>
            <w:r w:rsidRPr="00F61D2F">
              <w:rPr>
                <w:noProof/>
                <w:webHidden/>
              </w:rPr>
              <w:tab/>
            </w:r>
            <w:r w:rsidRPr="00F61D2F">
              <w:rPr>
                <w:noProof/>
                <w:webHidden/>
              </w:rPr>
              <w:fldChar w:fldCharType="begin"/>
            </w:r>
            <w:r w:rsidRPr="00F61D2F">
              <w:rPr>
                <w:noProof/>
                <w:webHidden/>
              </w:rPr>
              <w:instrText xml:space="preserve"> PAGEREF _Toc235041189 \h </w:instrText>
            </w:r>
            <w:r w:rsidRPr="00F61D2F">
              <w:rPr>
                <w:noProof/>
                <w:webHidden/>
              </w:rPr>
            </w:r>
            <w:r w:rsidRPr="00F61D2F">
              <w:rPr>
                <w:noProof/>
                <w:webHidden/>
              </w:rPr>
              <w:fldChar w:fldCharType="separate"/>
            </w:r>
            <w:r w:rsidRPr="00F61D2F">
              <w:rPr>
                <w:noProof/>
                <w:webHidden/>
              </w:rPr>
              <w:t>15</w:t>
            </w:r>
            <w:r w:rsidRPr="00F61D2F">
              <w:rPr>
                <w:noProof/>
                <w:webHidden/>
              </w:rPr>
              <w:fldChar w:fldCharType="end"/>
            </w:r>
          </w:hyperlink>
        </w:p>
        <w:p w14:paraId="1BE1938A" w14:textId="183D61BB" w:rsidR="00941CB8" w:rsidRPr="00F61D2F" w:rsidRDefault="00941CB8">
          <w:pPr>
            <w:pStyle w:val="TOC2"/>
            <w:tabs>
              <w:tab w:val="right" w:leader="dot" w:pos="9019"/>
            </w:tabs>
            <w:rPr>
              <w:rFonts w:eastAsiaTheme="minorEastAsia"/>
              <w:noProof/>
              <w:kern w:val="2"/>
              <w:lang w:val="en-IN"/>
              <w14:ligatures w14:val="standardContextual"/>
            </w:rPr>
          </w:pPr>
          <w:hyperlink w:anchor="_Toc235041190" w:history="1">
            <w:r w:rsidRPr="00F61D2F">
              <w:rPr>
                <w:rStyle w:val="Hyperlink"/>
                <w:noProof/>
              </w:rPr>
              <w:t>5.4 Ethical and Professional Reflection</w:t>
            </w:r>
            <w:r w:rsidRPr="00F61D2F">
              <w:rPr>
                <w:noProof/>
                <w:webHidden/>
              </w:rPr>
              <w:tab/>
            </w:r>
            <w:r w:rsidRPr="00F61D2F">
              <w:rPr>
                <w:noProof/>
                <w:webHidden/>
              </w:rPr>
              <w:fldChar w:fldCharType="begin"/>
            </w:r>
            <w:r w:rsidRPr="00F61D2F">
              <w:rPr>
                <w:noProof/>
                <w:webHidden/>
              </w:rPr>
              <w:instrText xml:space="preserve"> PAGEREF _Toc235041190 \h </w:instrText>
            </w:r>
            <w:r w:rsidRPr="00F61D2F">
              <w:rPr>
                <w:noProof/>
                <w:webHidden/>
              </w:rPr>
            </w:r>
            <w:r w:rsidRPr="00F61D2F">
              <w:rPr>
                <w:noProof/>
                <w:webHidden/>
              </w:rPr>
              <w:fldChar w:fldCharType="separate"/>
            </w:r>
            <w:r w:rsidRPr="00F61D2F">
              <w:rPr>
                <w:noProof/>
                <w:webHidden/>
              </w:rPr>
              <w:t>15</w:t>
            </w:r>
            <w:r w:rsidRPr="00F61D2F">
              <w:rPr>
                <w:noProof/>
                <w:webHidden/>
              </w:rPr>
              <w:fldChar w:fldCharType="end"/>
            </w:r>
          </w:hyperlink>
        </w:p>
        <w:p w14:paraId="37E5C6F6" w14:textId="3B48D609" w:rsidR="00941CB8" w:rsidRPr="00F61D2F" w:rsidRDefault="00941CB8">
          <w:pPr>
            <w:pStyle w:val="TOC1"/>
            <w:tabs>
              <w:tab w:val="right" w:leader="dot" w:pos="9019"/>
            </w:tabs>
            <w:rPr>
              <w:rFonts w:eastAsiaTheme="minorEastAsia"/>
              <w:noProof/>
              <w:kern w:val="2"/>
              <w:lang w:val="en-IN"/>
              <w14:ligatures w14:val="standardContextual"/>
            </w:rPr>
          </w:pPr>
          <w:hyperlink w:anchor="_Toc235041191" w:history="1">
            <w:r w:rsidRPr="00F61D2F">
              <w:rPr>
                <w:rStyle w:val="Hyperlink"/>
                <w:noProof/>
              </w:rPr>
              <w:t>Conclusion</w:t>
            </w:r>
            <w:r w:rsidRPr="00F61D2F">
              <w:rPr>
                <w:noProof/>
                <w:webHidden/>
              </w:rPr>
              <w:tab/>
            </w:r>
            <w:r w:rsidRPr="00F61D2F">
              <w:rPr>
                <w:noProof/>
                <w:webHidden/>
              </w:rPr>
              <w:fldChar w:fldCharType="begin"/>
            </w:r>
            <w:r w:rsidRPr="00F61D2F">
              <w:rPr>
                <w:noProof/>
                <w:webHidden/>
              </w:rPr>
              <w:instrText xml:space="preserve"> PAGEREF _Toc235041191 \h </w:instrText>
            </w:r>
            <w:r w:rsidRPr="00F61D2F">
              <w:rPr>
                <w:noProof/>
                <w:webHidden/>
              </w:rPr>
            </w:r>
            <w:r w:rsidRPr="00F61D2F">
              <w:rPr>
                <w:noProof/>
                <w:webHidden/>
              </w:rPr>
              <w:fldChar w:fldCharType="separate"/>
            </w:r>
            <w:r w:rsidRPr="00F61D2F">
              <w:rPr>
                <w:noProof/>
                <w:webHidden/>
              </w:rPr>
              <w:t>15</w:t>
            </w:r>
            <w:r w:rsidRPr="00F61D2F">
              <w:rPr>
                <w:noProof/>
                <w:webHidden/>
              </w:rPr>
              <w:fldChar w:fldCharType="end"/>
            </w:r>
          </w:hyperlink>
        </w:p>
        <w:p w14:paraId="050E9D31" w14:textId="03F453A3" w:rsidR="00941CB8" w:rsidRPr="00F61D2F" w:rsidRDefault="00941CB8">
          <w:pPr>
            <w:pStyle w:val="TOC1"/>
            <w:tabs>
              <w:tab w:val="right" w:leader="dot" w:pos="9019"/>
            </w:tabs>
            <w:rPr>
              <w:rFonts w:eastAsiaTheme="minorEastAsia"/>
              <w:noProof/>
              <w:kern w:val="2"/>
              <w:lang w:val="en-IN"/>
              <w14:ligatures w14:val="standardContextual"/>
            </w:rPr>
          </w:pPr>
          <w:hyperlink w:anchor="_Toc235041192" w:history="1">
            <w:r w:rsidRPr="00F61D2F">
              <w:rPr>
                <w:rStyle w:val="Hyperlink"/>
                <w:noProof/>
              </w:rPr>
              <w:t>References</w:t>
            </w:r>
            <w:r w:rsidRPr="00F61D2F">
              <w:rPr>
                <w:noProof/>
                <w:webHidden/>
              </w:rPr>
              <w:tab/>
            </w:r>
            <w:r w:rsidRPr="00F61D2F">
              <w:rPr>
                <w:noProof/>
                <w:webHidden/>
              </w:rPr>
              <w:fldChar w:fldCharType="begin"/>
            </w:r>
            <w:r w:rsidRPr="00F61D2F">
              <w:rPr>
                <w:noProof/>
                <w:webHidden/>
              </w:rPr>
              <w:instrText xml:space="preserve"> PAGEREF _Toc235041192 \h </w:instrText>
            </w:r>
            <w:r w:rsidRPr="00F61D2F">
              <w:rPr>
                <w:noProof/>
                <w:webHidden/>
              </w:rPr>
            </w:r>
            <w:r w:rsidRPr="00F61D2F">
              <w:rPr>
                <w:noProof/>
                <w:webHidden/>
              </w:rPr>
              <w:fldChar w:fldCharType="separate"/>
            </w:r>
            <w:r w:rsidRPr="00F61D2F">
              <w:rPr>
                <w:noProof/>
                <w:webHidden/>
              </w:rPr>
              <w:t>17</w:t>
            </w:r>
            <w:r w:rsidRPr="00F61D2F">
              <w:rPr>
                <w:noProof/>
                <w:webHidden/>
              </w:rPr>
              <w:fldChar w:fldCharType="end"/>
            </w:r>
          </w:hyperlink>
        </w:p>
        <w:p w14:paraId="1CB121C4" w14:textId="62D96A79" w:rsidR="00941CB8" w:rsidRPr="00F61D2F" w:rsidRDefault="00941CB8">
          <w:pPr>
            <w:pStyle w:val="TOC1"/>
            <w:tabs>
              <w:tab w:val="right" w:leader="dot" w:pos="9019"/>
            </w:tabs>
            <w:rPr>
              <w:rFonts w:eastAsiaTheme="minorEastAsia"/>
              <w:noProof/>
              <w:kern w:val="2"/>
              <w:lang w:val="en-IN"/>
              <w14:ligatures w14:val="standardContextual"/>
            </w:rPr>
          </w:pPr>
          <w:hyperlink w:anchor="_Toc235041193" w:history="1">
            <w:r w:rsidRPr="00F61D2F">
              <w:rPr>
                <w:rStyle w:val="Hyperlink"/>
                <w:noProof/>
              </w:rPr>
              <w:t>Appendices</w:t>
            </w:r>
            <w:r w:rsidRPr="00F61D2F">
              <w:rPr>
                <w:noProof/>
                <w:webHidden/>
              </w:rPr>
              <w:tab/>
            </w:r>
            <w:r w:rsidRPr="00F61D2F">
              <w:rPr>
                <w:noProof/>
                <w:webHidden/>
              </w:rPr>
              <w:fldChar w:fldCharType="begin"/>
            </w:r>
            <w:r w:rsidRPr="00F61D2F">
              <w:rPr>
                <w:noProof/>
                <w:webHidden/>
              </w:rPr>
              <w:instrText xml:space="preserve"> PAGEREF _Toc235041193 \h </w:instrText>
            </w:r>
            <w:r w:rsidRPr="00F61D2F">
              <w:rPr>
                <w:noProof/>
                <w:webHidden/>
              </w:rPr>
            </w:r>
            <w:r w:rsidRPr="00F61D2F">
              <w:rPr>
                <w:noProof/>
                <w:webHidden/>
              </w:rPr>
              <w:fldChar w:fldCharType="separate"/>
            </w:r>
            <w:r w:rsidRPr="00F61D2F">
              <w:rPr>
                <w:noProof/>
                <w:webHidden/>
              </w:rPr>
              <w:t>20</w:t>
            </w:r>
            <w:r w:rsidRPr="00F61D2F">
              <w:rPr>
                <w:noProof/>
                <w:webHidden/>
              </w:rPr>
              <w:fldChar w:fldCharType="end"/>
            </w:r>
          </w:hyperlink>
        </w:p>
        <w:p w14:paraId="5269222F" w14:textId="45E6BE4C" w:rsidR="00941CB8" w:rsidRPr="00F61D2F" w:rsidRDefault="00941CB8">
          <w:pPr>
            <w:pStyle w:val="TOC2"/>
            <w:tabs>
              <w:tab w:val="right" w:leader="dot" w:pos="9019"/>
            </w:tabs>
            <w:rPr>
              <w:rFonts w:eastAsiaTheme="minorEastAsia"/>
              <w:noProof/>
              <w:kern w:val="2"/>
              <w:lang w:val="en-IN"/>
              <w14:ligatures w14:val="standardContextual"/>
            </w:rPr>
          </w:pPr>
          <w:hyperlink w:anchor="_Toc235041194" w:history="1">
            <w:r w:rsidRPr="00F61D2F">
              <w:rPr>
                <w:rStyle w:val="Hyperlink"/>
                <w:noProof/>
              </w:rPr>
              <w:t>Appendix A: Ratio Tables</w:t>
            </w:r>
            <w:r w:rsidRPr="00F61D2F">
              <w:rPr>
                <w:noProof/>
                <w:webHidden/>
              </w:rPr>
              <w:tab/>
            </w:r>
            <w:r w:rsidRPr="00F61D2F">
              <w:rPr>
                <w:noProof/>
                <w:webHidden/>
              </w:rPr>
              <w:fldChar w:fldCharType="begin"/>
            </w:r>
            <w:r w:rsidRPr="00F61D2F">
              <w:rPr>
                <w:noProof/>
                <w:webHidden/>
              </w:rPr>
              <w:instrText xml:space="preserve"> PAGEREF _Toc235041194 \h </w:instrText>
            </w:r>
            <w:r w:rsidRPr="00F61D2F">
              <w:rPr>
                <w:noProof/>
                <w:webHidden/>
              </w:rPr>
            </w:r>
            <w:r w:rsidRPr="00F61D2F">
              <w:rPr>
                <w:noProof/>
                <w:webHidden/>
              </w:rPr>
              <w:fldChar w:fldCharType="separate"/>
            </w:r>
            <w:r w:rsidRPr="00F61D2F">
              <w:rPr>
                <w:noProof/>
                <w:webHidden/>
              </w:rPr>
              <w:t>20</w:t>
            </w:r>
            <w:r w:rsidRPr="00F61D2F">
              <w:rPr>
                <w:noProof/>
                <w:webHidden/>
              </w:rPr>
              <w:fldChar w:fldCharType="end"/>
            </w:r>
          </w:hyperlink>
        </w:p>
        <w:p w14:paraId="265157F1" w14:textId="0A2C274C" w:rsidR="00941CB8" w:rsidRPr="00F61D2F" w:rsidRDefault="00941CB8">
          <w:pPr>
            <w:pStyle w:val="TOC2"/>
            <w:tabs>
              <w:tab w:val="right" w:leader="dot" w:pos="9019"/>
            </w:tabs>
            <w:rPr>
              <w:rFonts w:eastAsiaTheme="minorEastAsia"/>
              <w:noProof/>
              <w:kern w:val="2"/>
              <w:lang w:val="en-IN"/>
              <w14:ligatures w14:val="standardContextual"/>
            </w:rPr>
          </w:pPr>
          <w:hyperlink w:anchor="_Toc235041195" w:history="1">
            <w:r w:rsidRPr="00F61D2F">
              <w:rPr>
                <w:rStyle w:val="Hyperlink"/>
                <w:noProof/>
              </w:rPr>
              <w:t>Appendix B: Ratio Graphs</w:t>
            </w:r>
            <w:r w:rsidRPr="00F61D2F">
              <w:rPr>
                <w:noProof/>
                <w:webHidden/>
              </w:rPr>
              <w:tab/>
            </w:r>
            <w:r w:rsidRPr="00F61D2F">
              <w:rPr>
                <w:noProof/>
                <w:webHidden/>
              </w:rPr>
              <w:fldChar w:fldCharType="begin"/>
            </w:r>
            <w:r w:rsidRPr="00F61D2F">
              <w:rPr>
                <w:noProof/>
                <w:webHidden/>
              </w:rPr>
              <w:instrText xml:space="preserve"> PAGEREF _Toc235041195 \h </w:instrText>
            </w:r>
            <w:r w:rsidRPr="00F61D2F">
              <w:rPr>
                <w:noProof/>
                <w:webHidden/>
              </w:rPr>
            </w:r>
            <w:r w:rsidRPr="00F61D2F">
              <w:rPr>
                <w:noProof/>
                <w:webHidden/>
              </w:rPr>
              <w:fldChar w:fldCharType="separate"/>
            </w:r>
            <w:r w:rsidRPr="00F61D2F">
              <w:rPr>
                <w:noProof/>
                <w:webHidden/>
              </w:rPr>
              <w:t>20</w:t>
            </w:r>
            <w:r w:rsidRPr="00F61D2F">
              <w:rPr>
                <w:noProof/>
                <w:webHidden/>
              </w:rPr>
              <w:fldChar w:fldCharType="end"/>
            </w:r>
          </w:hyperlink>
        </w:p>
        <w:p w14:paraId="19A77D7D" w14:textId="36B58063" w:rsidR="00941CB8" w:rsidRPr="00F61D2F" w:rsidRDefault="00941CB8">
          <w:pPr>
            <w:pStyle w:val="TOC2"/>
            <w:tabs>
              <w:tab w:val="right" w:leader="dot" w:pos="9019"/>
            </w:tabs>
            <w:rPr>
              <w:rFonts w:eastAsiaTheme="minorEastAsia"/>
              <w:noProof/>
              <w:kern w:val="2"/>
              <w:lang w:val="en-IN"/>
              <w14:ligatures w14:val="standardContextual"/>
            </w:rPr>
          </w:pPr>
          <w:hyperlink w:anchor="_Toc235041196" w:history="1">
            <w:r w:rsidRPr="00F61D2F">
              <w:rPr>
                <w:rStyle w:val="Hyperlink"/>
                <w:noProof/>
              </w:rPr>
              <w:t>Appendix C: Investment Appraisal Calculations</w:t>
            </w:r>
            <w:r w:rsidRPr="00F61D2F">
              <w:rPr>
                <w:noProof/>
                <w:webHidden/>
              </w:rPr>
              <w:tab/>
            </w:r>
            <w:r w:rsidRPr="00F61D2F">
              <w:rPr>
                <w:noProof/>
                <w:webHidden/>
              </w:rPr>
              <w:fldChar w:fldCharType="begin"/>
            </w:r>
            <w:r w:rsidRPr="00F61D2F">
              <w:rPr>
                <w:noProof/>
                <w:webHidden/>
              </w:rPr>
              <w:instrText xml:space="preserve"> PAGEREF _Toc235041196 \h </w:instrText>
            </w:r>
            <w:r w:rsidRPr="00F61D2F">
              <w:rPr>
                <w:noProof/>
                <w:webHidden/>
              </w:rPr>
            </w:r>
            <w:r w:rsidRPr="00F61D2F">
              <w:rPr>
                <w:noProof/>
                <w:webHidden/>
              </w:rPr>
              <w:fldChar w:fldCharType="separate"/>
            </w:r>
            <w:r w:rsidRPr="00F61D2F">
              <w:rPr>
                <w:noProof/>
                <w:webHidden/>
              </w:rPr>
              <w:t>20</w:t>
            </w:r>
            <w:r w:rsidRPr="00F61D2F">
              <w:rPr>
                <w:noProof/>
                <w:webHidden/>
              </w:rPr>
              <w:fldChar w:fldCharType="end"/>
            </w:r>
          </w:hyperlink>
        </w:p>
        <w:p w14:paraId="6C93C3DB" w14:textId="4985DC15" w:rsidR="00AD2731" w:rsidRPr="00F61D2F" w:rsidRDefault="0000313C">
          <w:pPr>
            <w:widowControl w:val="0"/>
            <w:tabs>
              <w:tab w:val="right" w:leader="dot" w:pos="12000"/>
            </w:tabs>
            <w:spacing w:before="60" w:after="0" w:line="240" w:lineRule="auto"/>
            <w:ind w:left="360"/>
            <w:jc w:val="left"/>
            <w:rPr>
              <w:rFonts w:eastAsia="Arial"/>
              <w:color w:val="000000"/>
              <w:sz w:val="22"/>
              <w:szCs w:val="22"/>
            </w:rPr>
          </w:pPr>
          <w:r w:rsidRPr="00F61D2F">
            <w:fldChar w:fldCharType="end"/>
          </w:r>
        </w:p>
      </w:sdtContent>
    </w:sdt>
    <w:p w14:paraId="7BCD8C6F" w14:textId="77777777" w:rsidR="00AD2731" w:rsidRPr="00F61D2F" w:rsidRDefault="00AD2731">
      <w:pPr>
        <w:spacing w:before="200" w:after="200"/>
      </w:pPr>
    </w:p>
    <w:p w14:paraId="17918379" w14:textId="77777777" w:rsidR="00AD2731" w:rsidRPr="00F61D2F" w:rsidRDefault="0000313C">
      <w:pPr>
        <w:pStyle w:val="Heading1"/>
        <w:spacing w:before="200" w:after="200"/>
      </w:pPr>
      <w:bookmarkStart w:id="0" w:name="_Toc235041159"/>
      <w:r w:rsidRPr="00F61D2F">
        <w:t>Introduction</w:t>
      </w:r>
      <w:bookmarkEnd w:id="0"/>
      <w:r w:rsidRPr="00F61D2F">
        <w:tab/>
      </w:r>
    </w:p>
    <w:p w14:paraId="446D8A41" w14:textId="73E58777" w:rsidR="00AD2731" w:rsidRPr="00F61D2F" w:rsidRDefault="0000313C">
      <w:pPr>
        <w:spacing w:before="200" w:after="200"/>
      </w:pPr>
      <w:r w:rsidRPr="00F61D2F">
        <w:t xml:space="preserve">This report appraises the financial performance and position of Whitbread PLC in the period 2021-2025. It </w:t>
      </w:r>
      <w:r w:rsidR="009C2692" w:rsidRPr="00F61D2F">
        <w:t>analyses</w:t>
      </w:r>
      <w:r w:rsidRPr="00F61D2F">
        <w:t xml:space="preserve"> the liquidity, profitability, efficiency, gearing, investment, and cash-flow ratios together with an income statement of the company, its balance sheet, and cash-flow statement. The current working-capital management, the comparison of financing options, and the recommendation of restructuring steps aimed at enhancing the liquidity and operating flexibility are also </w:t>
      </w:r>
      <w:r w:rsidR="009C2692" w:rsidRPr="00F61D2F">
        <w:t>analysed</w:t>
      </w:r>
      <w:r w:rsidRPr="00F61D2F">
        <w:t>. Moreover, three investment projects are estimated based on the payback period, ARR, NPV, PI, and IRR, and finally on capital-rationing. The report ends with a critical commentary on the use of AI, verification processes, accountability, and sustainability in the long-run value generation.</w:t>
      </w:r>
    </w:p>
    <w:p w14:paraId="395DBC86" w14:textId="77777777" w:rsidR="00AD2731" w:rsidRDefault="0000313C">
      <w:pPr>
        <w:pStyle w:val="Heading1"/>
        <w:spacing w:before="200" w:after="200"/>
      </w:pPr>
      <w:bookmarkStart w:id="1" w:name="_Toc235041160"/>
      <w:r w:rsidRPr="00F61D2F">
        <w:t>Financial Health Check</w:t>
      </w:r>
      <w:bookmarkEnd w:id="1"/>
    </w:p>
    <w:p w14:paraId="2848A67A" w14:textId="21A560E9" w:rsidR="00C10573" w:rsidRPr="00C10573" w:rsidRDefault="00C10573" w:rsidP="00C10573">
      <w:r w:rsidRPr="00C10573">
        <w:t>Financial health check assesses the overall financial strength of a company by analysing the profitability, liquidity, efficiency, gearing, investment returns and investing cash-flow capacity. It is important because it helps to detect financial strengths, weaknesses and new risks, provide improved financing, investment and operational decisions and evaluate long-term stability and resilience (Nam and Tuyen, 2024).</w:t>
      </w:r>
    </w:p>
    <w:p w14:paraId="5C164382" w14:textId="77777777" w:rsidR="00AD2731" w:rsidRPr="00F61D2F" w:rsidRDefault="0000313C">
      <w:pPr>
        <w:pStyle w:val="Heading2"/>
        <w:spacing w:before="200" w:after="200"/>
      </w:pPr>
      <w:bookmarkStart w:id="2" w:name="_Toc235041161"/>
      <w:r w:rsidRPr="00F61D2F">
        <w:t>1.1 Profitability Ratio Analysis</w:t>
      </w:r>
      <w:bookmarkEnd w:id="2"/>
      <w:r w:rsidRPr="00F61D2F">
        <w:t xml:space="preserve"> </w:t>
      </w:r>
    </w:p>
    <w:p w14:paraId="467D7DAD" w14:textId="44F25886" w:rsidR="00AE1C49" w:rsidRPr="00F61D2F" w:rsidRDefault="00107E72">
      <w:pPr>
        <w:spacing w:before="200" w:after="200"/>
      </w:pPr>
      <w:r w:rsidRPr="00107E72">
        <w:t xml:space="preserve">Profitability Ratio is a measure that indicates a company's efficiency in generating profit from sales, assets, equity, and operations. </w:t>
      </w:r>
      <w:r w:rsidR="00AE1C49" w:rsidRPr="00AE1C49">
        <w:t>ROE improved from -24% in 2021 to 8% in 2025, reflecting restored profitability, although it declined from 9% in 2024. Net profit margin similarly recovered from -154% to 9%, driven by higher hotel demand and operational recovery, but fell from 11% due to rising costs and finance expenses. ROA increased from -11% to 3%, indicating improved asset utilisation. However, the reported gross profit margins above 180% are unreliable because Whitbread does not separately report COGS</w:t>
      </w:r>
      <w:r w:rsidR="000C3D66">
        <w:t xml:space="preserve"> (</w:t>
      </w:r>
      <w:r w:rsidR="000C3D66" w:rsidRPr="00F61D2F">
        <w:t>Whitbread, 2021</w:t>
      </w:r>
      <w:r w:rsidR="000C3D66">
        <w:t>)</w:t>
      </w:r>
      <w:r w:rsidR="00AE1C49" w:rsidRPr="00AE1C49">
        <w:t>.</w:t>
      </w:r>
    </w:p>
    <w:p w14:paraId="7FB9532D" w14:textId="77777777" w:rsidR="00AD2731" w:rsidRPr="00F61D2F" w:rsidRDefault="0000313C">
      <w:pPr>
        <w:pStyle w:val="Heading2"/>
        <w:spacing w:before="200" w:after="200"/>
      </w:pPr>
      <w:bookmarkStart w:id="3" w:name="_Toc235041162"/>
      <w:r w:rsidRPr="00F61D2F">
        <w:t>1.2 Liquidity Ratio Analysis</w:t>
      </w:r>
      <w:bookmarkEnd w:id="3"/>
    </w:p>
    <w:p w14:paraId="03B8E089" w14:textId="4E16470E" w:rsidR="00AD2731" w:rsidRPr="00F61D2F" w:rsidRDefault="00C40CA5">
      <w:pPr>
        <w:spacing w:before="200" w:after="200"/>
      </w:pPr>
      <w:r w:rsidRPr="00C40CA5">
        <w:t xml:space="preserve">Liquidity Ratio is a company's ability to pay short-term obligations with cash and other current assets. </w:t>
      </w:r>
      <w:r w:rsidR="0000313C" w:rsidRPr="00F61D2F">
        <w:t xml:space="preserve">The current ratio declined from 1.76 in 2022 to 0.81 in 2025, while the acid-test ratio fell from 1.74 to 0.80. The previous ratios revealed that it had enough current assets to cover its short-term debts (Whitbread, 2022). </w:t>
      </w:r>
      <w:r w:rsidR="00D06F46" w:rsidRPr="00F61D2F">
        <w:t>Both ratios</w:t>
      </w:r>
      <w:r w:rsidR="0000313C" w:rsidRPr="00F61D2F">
        <w:t xml:space="preserve"> had values of less than one as of 2025, indicating that current liabilities were more than easily available and accessible current assets and generated higher refinancing and payment risk (Whitbread, 2025). This slight variation in the ratios is due to the minimal inventory holding of Whitbread. As much as liquidity is often low in cash-generating businesses in the hospitality sector, extended low liquidity can limit the flexibility and heighten reliance on outside financing (Nam and Tuyen, 2024).</w:t>
      </w:r>
    </w:p>
    <w:p w14:paraId="668A8C8F" w14:textId="77777777" w:rsidR="00AD2731" w:rsidRPr="00F61D2F" w:rsidRDefault="0000313C">
      <w:pPr>
        <w:pStyle w:val="Heading2"/>
        <w:spacing w:before="200" w:after="200"/>
      </w:pPr>
      <w:bookmarkStart w:id="4" w:name="_Toc235041163"/>
      <w:r w:rsidRPr="00F61D2F">
        <w:t>1.3 Efficiency Ratio Analysis</w:t>
      </w:r>
      <w:bookmarkEnd w:id="4"/>
    </w:p>
    <w:p w14:paraId="6C3F2AE7" w14:textId="6A5CA020" w:rsidR="00AD2731" w:rsidRPr="00F61D2F" w:rsidRDefault="00C40CA5">
      <w:pPr>
        <w:spacing w:before="200" w:after="200"/>
      </w:pPr>
      <w:r w:rsidRPr="00C40CA5">
        <w:t xml:space="preserve">Efficiency Ratio is the measure of the efficiency of the use of assets and resources to create sales and run the company. </w:t>
      </w:r>
      <w:r w:rsidR="0000313C" w:rsidRPr="00F61D2F">
        <w:t xml:space="preserve">In 2024, the receivables turnover rose to 24.81 times as compared to 7.94 times in 2021 and provided considerable evidence of quicker collection and enhancement in the revenue-to-cash process (Whitbread, 2024). The decrease to 22.99 times in 2025 implies a slight loss of collection efficiency. Continuous growth was seen in the inventory turnover from 48.71 up to 170.87 times, which was a result of a high rate of consumption of food, beverage, and hotel supplies. However, it is partly justified by the extremely high turnover being due to the nature of the operating model by Whitbread, being </w:t>
      </w:r>
      <w:r w:rsidRPr="00F61D2F">
        <w:t>service based</w:t>
      </w:r>
      <w:r w:rsidR="0000313C" w:rsidRPr="00F61D2F">
        <w:t xml:space="preserve"> rather than management performance. Occupancy, room utilisation and operating productivity measures should also be taken as measures of efficiency (Kim and Lin, 2024).</w:t>
      </w:r>
    </w:p>
    <w:p w14:paraId="4E5DE1C5" w14:textId="77777777" w:rsidR="00AD2731" w:rsidRPr="00F61D2F" w:rsidRDefault="0000313C">
      <w:pPr>
        <w:pStyle w:val="Heading2"/>
        <w:spacing w:before="200" w:after="200"/>
      </w:pPr>
      <w:bookmarkStart w:id="5" w:name="_Toc235041164"/>
      <w:r w:rsidRPr="00F61D2F">
        <w:t>1.4 Gearing Ratio Analysis</w:t>
      </w:r>
      <w:bookmarkEnd w:id="5"/>
    </w:p>
    <w:p w14:paraId="02AB142B" w14:textId="50F697FC" w:rsidR="00AD2731" w:rsidRPr="00F61D2F" w:rsidRDefault="00654E89">
      <w:pPr>
        <w:spacing w:before="200" w:after="200"/>
      </w:pPr>
      <w:r w:rsidRPr="00654E89">
        <w:t xml:space="preserve">Gearing ratio reflects a company's financial leverage, or how it funds its operations with debt versus shareholders' equity. </w:t>
      </w:r>
      <w:r w:rsidR="0000313C" w:rsidRPr="00F61D2F">
        <w:t>Compared to 1.29 in 2021, the reported debt-to-equity ratio rose by 1.97 in 2025, which implies that Whitbread became more reliant on liabilities compared to the equity of shareholders. The computation seems to utilize overall liabilities instead of interest-bearing debt, and thus, it should be described as the liabilities-to-equity ratio. The increase can be mainly attributed to further borrowings and high lease liabilities in 2025 (Whitbread, 2025). The fall suggests a lower earnings buffer as compared to finance costs. Too much leverage may undermine the financial stability of the hotel companies (Nguyen et al., 2023).</w:t>
      </w:r>
    </w:p>
    <w:p w14:paraId="783161AD" w14:textId="77777777" w:rsidR="00AD2731" w:rsidRPr="00F61D2F" w:rsidRDefault="0000313C">
      <w:pPr>
        <w:pStyle w:val="Heading2"/>
        <w:spacing w:before="200" w:after="200"/>
      </w:pPr>
      <w:bookmarkStart w:id="6" w:name="_Toc235041165"/>
      <w:r w:rsidRPr="00F61D2F">
        <w:t>1.5 Investment Ratio Analysis</w:t>
      </w:r>
      <w:bookmarkEnd w:id="6"/>
      <w:r w:rsidRPr="00F61D2F">
        <w:t xml:space="preserve"> </w:t>
      </w:r>
    </w:p>
    <w:p w14:paraId="197D2290" w14:textId="3650E016" w:rsidR="00AD2731" w:rsidRPr="00F61D2F" w:rsidRDefault="00654E89">
      <w:pPr>
        <w:spacing w:before="200" w:after="200"/>
      </w:pPr>
      <w:r w:rsidRPr="00654E89">
        <w:t xml:space="preserve">Investment Ratio reflects returns and the attractiveness of the market for investors by earnings, dividends, share prices and valuation indicators. </w:t>
      </w:r>
      <w:r w:rsidR="0000313C" w:rsidRPr="00F61D2F">
        <w:t>The payout ratio of dividends paid by Whitbread is 0.70 in 2025 compared to zero in 2021 and 2022, indicating the recovery of dividend payments to shareholders after the pandemic. Nonetheless, paying out 70% of revenue will decrease the size of profits saved to grow the hotel, settle debt, and secure funds (Whitbread, 2025). The increased payout can thus be hard to maintain in case of poor profitability or operating cash flow. The values of the reported P/E ratios also need to be recalculated, as they seem to be a mix of market prices and earnings per share in other units. Both should be expressed in pence or pounds and then divided. Effective investment ratios require uniform, transparent, and similar financial contributions (Poretti et al., 2024).</w:t>
      </w:r>
    </w:p>
    <w:p w14:paraId="70A3AA54" w14:textId="77777777" w:rsidR="00AD2731" w:rsidRPr="00F61D2F" w:rsidRDefault="0000313C">
      <w:pPr>
        <w:pStyle w:val="Heading2"/>
        <w:spacing w:before="200" w:after="200"/>
      </w:pPr>
      <w:bookmarkStart w:id="7" w:name="_Toc235041166"/>
      <w:r w:rsidRPr="00F61D2F">
        <w:t>1.6 Cash-Flow Ratio Analysis</w:t>
      </w:r>
      <w:bookmarkEnd w:id="7"/>
    </w:p>
    <w:p w14:paraId="51CA4550" w14:textId="33A5D498" w:rsidR="00AD2731" w:rsidRPr="00F61D2F" w:rsidRDefault="00654E89">
      <w:pPr>
        <w:spacing w:before="200" w:after="200"/>
      </w:pPr>
      <w:r w:rsidRPr="00654E89">
        <w:t xml:space="preserve">Cash-Flow Ratio is the ratio of a company's ability to generate enough cash to cover current liability, debt and ongoing operations. </w:t>
      </w:r>
      <w:r w:rsidR="0000313C" w:rsidRPr="00F61D2F">
        <w:t>The cash-flow position of Whitbread has improved significantly in comparison to the disruption by the pandemic. Compared to 2021, the operating cash-flow ratio was better in 2024 with the value of 1.01 (2024) rather than it was better in 2021 (0.50). The ratio dropped to 0.58 in 2025 since the current liabilities went up significantly, even with the continued positive operating cash generation. The cash-flow-to-debt ratio similarly improved from –0.08 in 2021 to 0.15 in 2024 before falling to 0.12 in 2025. This implies that 12% of the liabilities might be paid off using one year of operating cash flow. Better(stronger) working capital and cost controls are thus demanded (Berg et al., 2024).</w:t>
      </w:r>
    </w:p>
    <w:p w14:paraId="57D1DE03" w14:textId="77777777" w:rsidR="00AD2731" w:rsidRPr="00F61D2F" w:rsidRDefault="0000313C">
      <w:pPr>
        <w:pStyle w:val="Heading2"/>
        <w:spacing w:before="200" w:after="200"/>
      </w:pPr>
      <w:bookmarkStart w:id="8" w:name="_Toc235041167"/>
      <w:r w:rsidRPr="00F61D2F">
        <w:t>1.7 Income Statement Analysis</w:t>
      </w:r>
      <w:bookmarkEnd w:id="8"/>
      <w:r w:rsidRPr="00F61D2F">
        <w:t xml:space="preserve"> </w:t>
      </w:r>
    </w:p>
    <w:p w14:paraId="293EEBAA" w14:textId="77777777" w:rsidR="00AD2731" w:rsidRPr="00F61D2F" w:rsidRDefault="0000313C">
      <w:pPr>
        <w:spacing w:before="200" w:after="200"/>
      </w:pPr>
      <w:r w:rsidRPr="00F61D2F">
        <w:t>The income statement of Whitbread shows that the business has made a considerable rebound following the loss incurred in 2021 due to the pandemic. Revenue rose to £2,921.9 million in 2025 versus £589.4 million in 2021, and operating profit was an improvement of £514.0 million compared to a loss of £839.1 million in 2021. However, revenue decreased by a little compared to the figures in 2024 of £2,959.9 million, and net profit decreased to £253.7 million in 2025. The finance costs also increased to reach over £188.5 million, which is weakening the conversion of profit. The outcomes demonstrate a rebounding demand and new strain of operating costs, financing costs and taxation, demanding a greater degree of cost management and more disciplined long-term strategic decisions on capital allocation (Whitbread, 2025).</w:t>
      </w:r>
    </w:p>
    <w:p w14:paraId="6DE392AD" w14:textId="77777777" w:rsidR="00AD2731" w:rsidRPr="00F61D2F" w:rsidRDefault="0000313C">
      <w:pPr>
        <w:pStyle w:val="Heading2"/>
        <w:spacing w:before="200" w:after="200"/>
      </w:pPr>
      <w:bookmarkStart w:id="9" w:name="_Toc235041168"/>
      <w:r w:rsidRPr="00F61D2F">
        <w:t>1.8 Balance Sheet Analysis</w:t>
      </w:r>
      <w:bookmarkEnd w:id="9"/>
      <w:r w:rsidRPr="00F61D2F">
        <w:t xml:space="preserve"> </w:t>
      </w:r>
    </w:p>
    <w:p w14:paraId="4E7EE059" w14:textId="77777777" w:rsidR="00AD2731" w:rsidRPr="00F61D2F" w:rsidRDefault="0000313C">
      <w:pPr>
        <w:spacing w:before="200" w:after="200"/>
      </w:pPr>
      <w:r w:rsidRPr="00F61D2F">
        <w:t>The balance sheet of Whitbread shows that there is a growth in assets, with subsequent growth in financial obligations. The total assets also increased in 2025 compared to 2020 by growing to a figure of £9,904.7 million, being assisted by property, plant and equipment and right-of-use assets. The total liabilities, grew at a better rate, reaching £6,570.2 million in 2025, whereas the equity decreased to £3,334.5 million in 2025 since the amount was £4,119.0 million in 2022. The current liabilities were also higher than the current assets in the year 2025, indicating poor short-run solvency. Financial risk was further increased by increasing lease liabilities and borrowings, but the cash balance amount of £909.0 million helped cushion the situation. The net effect of this was an overall increased levered operationally less capital structure (Whitbread, 2025).</w:t>
      </w:r>
    </w:p>
    <w:p w14:paraId="74718694" w14:textId="77777777" w:rsidR="00AD2731" w:rsidRPr="00F61D2F" w:rsidRDefault="0000313C">
      <w:pPr>
        <w:pStyle w:val="Heading2"/>
        <w:spacing w:before="200" w:after="200"/>
      </w:pPr>
      <w:bookmarkStart w:id="10" w:name="_Toc235041169"/>
      <w:r w:rsidRPr="00F61D2F">
        <w:t>1.9 Cash Flow Statement Analysis</w:t>
      </w:r>
      <w:bookmarkEnd w:id="10"/>
      <w:r w:rsidRPr="00F61D2F">
        <w:t xml:space="preserve"> </w:t>
      </w:r>
    </w:p>
    <w:p w14:paraId="4244CA36" w14:textId="77777777" w:rsidR="00AD2731" w:rsidRPr="00F61D2F" w:rsidRDefault="0000313C">
      <w:pPr>
        <w:spacing w:before="200" w:after="200"/>
      </w:pPr>
      <w:r w:rsidRPr="00F61D2F">
        <w:t xml:space="preserve">The cash-flow statement of Whitbread has verified that the company operates well following the 2021 operating outlay of cash </w:t>
      </w:r>
      <w:proofErr w:type="spellStart"/>
      <w:r w:rsidRPr="00F61D2F">
        <w:t>totaling</w:t>
      </w:r>
      <w:proofErr w:type="spellEnd"/>
      <w:r w:rsidRPr="00F61D2F">
        <w:t xml:space="preserve"> £391.1 million pounds. In 2024, net operating cash flow peaked at £877.9 million and in 2025 at £761.7 million, but it was enough to finance the investment activity. Capital expenditure remained high and included spending of £466.4 million in property and equipment in 2025. The sources of financing of cash flows were negative due to dividends, lease payments, and share buybacks. However, in spite of these outflows, there was an increase to £909.0 million in cash closed. This trend shows strong cash creation; the dividend payment to shareholders and growth spending can decrease the liquidity flexibility in the future (Whitbread, 2025).</w:t>
      </w:r>
    </w:p>
    <w:p w14:paraId="640E4990" w14:textId="77777777" w:rsidR="00AD2731" w:rsidRPr="00F61D2F" w:rsidRDefault="0000313C">
      <w:pPr>
        <w:pStyle w:val="Heading2"/>
        <w:spacing w:before="200" w:after="200"/>
      </w:pPr>
      <w:bookmarkStart w:id="11" w:name="_Toc235041170"/>
      <w:r w:rsidRPr="00F61D2F">
        <w:t>1.10 Trends, Strengths and Potential Threats</w:t>
      </w:r>
      <w:bookmarkEnd w:id="11"/>
      <w:r w:rsidRPr="00F61D2F">
        <w:t xml:space="preserve"> </w:t>
      </w:r>
    </w:p>
    <w:p w14:paraId="13291240" w14:textId="77777777" w:rsidR="00AD2731" w:rsidRPr="00F61D2F" w:rsidRDefault="0000313C">
      <w:pPr>
        <w:spacing w:before="200" w:after="200"/>
      </w:pPr>
      <w:r w:rsidRPr="00F61D2F">
        <w:t>Whitbread's performance indicates the company has a strong recovery following the pandemic, with revenue, profit, and operating cash flow recovering sharply following the 2021 loss. The main strengths are the regained profitability, a high level of cash generation, quick turnover of the inventory, and a large cash balance. There was a decline in performance in 2025 with revenue, net profit, ROE, interest cover, and operating cash-flow coverage decreasing. Increased lease liabilities, borrowing, and total liabilities bolstered leverage, and equity shrank, and current liabilities surpassed current assets. The liquidity may be further inhibited by continued dividend payments, share repurchases, and capital expenditures. These trends indicate a resilience in its operations, although it is becoming more vulnerable to its financing costs and economic turbulence (Whitbread, 2025).</w:t>
      </w:r>
    </w:p>
    <w:p w14:paraId="29ADDB2C" w14:textId="77777777" w:rsidR="00AD2731" w:rsidRPr="00F61D2F" w:rsidRDefault="0000313C">
      <w:pPr>
        <w:pStyle w:val="Heading2"/>
        <w:spacing w:before="200" w:after="200"/>
      </w:pPr>
      <w:bookmarkStart w:id="12" w:name="_Toc235041171"/>
      <w:r w:rsidRPr="00F61D2F">
        <w:t>1.11 Liquidity Ratios Compared with Industry Benchmarks</w:t>
      </w:r>
      <w:bookmarkEnd w:id="12"/>
    </w:p>
    <w:p w14:paraId="0DBDEA20" w14:textId="77777777" w:rsidR="00AD2731" w:rsidRPr="00F61D2F" w:rsidRDefault="0000313C">
      <w:pPr>
        <w:spacing w:before="200" w:after="200"/>
      </w:pPr>
      <w:r w:rsidRPr="00F61D2F">
        <w:t>Whitbread’s current ratio fell from 1.76 in 2022 to 0.81 in 2025, while the acid-test ratio declined from 1.74 to 0.80. The two measures of 2025 were lower than the traditional 1.0 liquidity requirements, whereby liquid assets were lagging behind the current liabilities. However, hospitality properties tend to have a lower liquidity since customers often pay on the spot or in advance, and lower the risk of receivables. Nevertheless, the ratios of Whitbread worsened as well compared to its previous performance, indicating the lack of strong short-term strength that prices of the sector would be sufficient to offer only. Formidable cash forecasting, refinancing control, and working-capital discipline in general are thus essential to the company (Nam and Tuyen, 2024).</w:t>
      </w:r>
    </w:p>
    <w:p w14:paraId="49CB7782" w14:textId="77777777" w:rsidR="00AD2731" w:rsidRPr="00F61D2F" w:rsidRDefault="0000313C">
      <w:pPr>
        <w:pStyle w:val="Heading1"/>
        <w:spacing w:before="200" w:after="200"/>
      </w:pPr>
      <w:bookmarkStart w:id="13" w:name="_Toc235041172"/>
      <w:r w:rsidRPr="00F61D2F">
        <w:t>Working Capital Management</w:t>
      </w:r>
      <w:bookmarkEnd w:id="13"/>
      <w:r w:rsidRPr="00F61D2F">
        <w:tab/>
      </w:r>
    </w:p>
    <w:p w14:paraId="1DB4A4AC" w14:textId="77777777" w:rsidR="00AD2731" w:rsidRPr="00F61D2F" w:rsidRDefault="0000313C">
      <w:pPr>
        <w:pStyle w:val="Heading2"/>
        <w:keepNext w:val="0"/>
        <w:keepLines w:val="0"/>
      </w:pPr>
      <w:bookmarkStart w:id="14" w:name="_Toc235041173"/>
      <w:r w:rsidRPr="00F61D2F">
        <w:t>2.1 Assessment of the Cash Operating Cycle</w:t>
      </w:r>
      <w:bookmarkEnd w:id="14"/>
    </w:p>
    <w:p w14:paraId="361E2A49" w14:textId="77777777" w:rsidR="00AD2731" w:rsidRPr="00F61D2F" w:rsidRDefault="0000313C">
      <w:r w:rsidRPr="00F61D2F">
        <w:t>Whitbread has continued to show a negative cash conversion cycle over the last five years, but the average was slightly worse than in the previous years, with the company converting cash into cash in about -143 days in 2021 and -65 days in 2025. This means that the company would tend to receive cash in the hands of the customer and then settle the suppliers, thereby eliminating the need for outside working-capital funding. The inventory days decreased to 2.14 days compared to 7.49 days, indicating that the hotel and restaurant supplies are used quickly. The receivable days also decreased to 15.88 days from 45.95 days, and had faster collection and cash convertibility. Nonetheless, payable days declined from 196 to about 83 days, implying that suppliers were being paid much earlier than during the pandemic. Though the negative cycle still works positively, decreased negativity implies that Whitbread gets less finance by suppliers than before. The management should thus maintain negotiated credit terms but ensure that there are good supplier relations. Generally, the cycle sustains the liquidity, but they should still be observed as the current liabilities are greater in 2025 compared to current assets (Whitbread, 2025).</w:t>
      </w:r>
    </w:p>
    <w:p w14:paraId="3E48F727" w14:textId="77777777" w:rsidR="00AD2731" w:rsidRPr="00F61D2F" w:rsidRDefault="0000313C">
      <w:pPr>
        <w:pStyle w:val="Heading2"/>
        <w:keepNext w:val="0"/>
        <w:keepLines w:val="0"/>
      </w:pPr>
      <w:bookmarkStart w:id="15" w:name="_Toc235041174"/>
      <w:r w:rsidRPr="00F61D2F">
        <w:t>2.2 Working Capital Reforms to Improve Liquidity</w:t>
      </w:r>
      <w:bookmarkEnd w:id="15"/>
    </w:p>
    <w:p w14:paraId="103E7BB2" w14:textId="77777777" w:rsidR="00AD2731" w:rsidRPr="00F61D2F" w:rsidRDefault="0000313C">
      <w:r w:rsidRPr="00F61D2F">
        <w:t>Whitbread ought to fortify rolling cash-flows forecasts to sum total room demand, payroll, vendor payments, lease commitments, capital expenditure, and seasonal changes. Monitoring of a centralised treasury would enable the manager to detect the short-term funding shortages sooner and more effectively use cash in operations (</w:t>
      </w:r>
      <w:proofErr w:type="spellStart"/>
      <w:r w:rsidRPr="00F61D2F">
        <w:t>Valiña</w:t>
      </w:r>
      <w:proofErr w:type="spellEnd"/>
      <w:r w:rsidRPr="00F61D2F">
        <w:t>-Sotelo and Iglesias, 2026). Decisions related to working capital and cost management should be aligned since the decision to reduce operating expenditure can free up cash without adding to the dependence on external finance (Berg et al., 2024). There is a need to increase the use of advance payment, automated invoicing, and immediate follow-up of corporate accounts in order to improve the collection of receivables. The terms with the suppliers are to be renegotiated based on the volume of purchasing, whereas the payment performance should be ethical and commercially sustainable. Occupancy and restaurant-demand data must be used to forecast the inventory requirements, which would avoid shortages along with waste (Nam and Tuyen, 2024). A sufficient liquidity reserve should also be maintained by Whitbread since its current ratio dropped to less than one in 2025, indicating that current liabilities were more than current assets.</w:t>
      </w:r>
    </w:p>
    <w:p w14:paraId="481C1E0D" w14:textId="77777777" w:rsidR="00AD2731" w:rsidRPr="00F61D2F" w:rsidRDefault="0000313C">
      <w:pPr>
        <w:pStyle w:val="Heading2"/>
      </w:pPr>
      <w:bookmarkStart w:id="16" w:name="_Toc235041175"/>
      <w:r w:rsidRPr="00F61D2F">
        <w:t>2.3 Short-Term versus Long-Term Financing</w:t>
      </w:r>
      <w:bookmarkEnd w:id="16"/>
    </w:p>
    <w:p w14:paraId="79B9B003" w14:textId="77777777" w:rsidR="00AD2731" w:rsidRPr="00F61D2F" w:rsidRDefault="0000313C">
      <w:r w:rsidRPr="00F61D2F">
        <w:t>Financial facilities such as overdrafts, revolving credit facilities, supplier credit, and short-term finance are flexible and can be used to cover odd seasonal cash needs. It, however, introduces the refinancing and interest-rate risks since the facilities should be renewed frequently and can be costly in economic uncertainty. High short-term debts would thus deteriorate Whitbread's already undermined current-liability situation  (Nguyen et al., 2023). The financing through long-term financing like bonds is very stable to help fund the hotel construction, refurbishment and international expansion. It has some shortcomings such as the need to arrange at a higher cost, restrictive covenants, and long commitments (Blanco-Moreno et al., 2025). Whitbread ought to equate financing maturity to the property asset life with long-term funds and limited revolving facilities to the seasonal working-capital requirement. Liquidity would be facilitated by a benevolent maturity structure that would not permit too much reliance on short-term creditors. In hotel companies, capital-structure choices are of interest, especially when the financial instability during demand shocks is aggravated by both high fixed cost and lease obligations.</w:t>
      </w:r>
    </w:p>
    <w:p w14:paraId="63A25461" w14:textId="77777777" w:rsidR="00AD2731" w:rsidRPr="00F61D2F" w:rsidRDefault="0000313C">
      <w:pPr>
        <w:pStyle w:val="Heading1"/>
        <w:spacing w:before="200" w:after="200"/>
      </w:pPr>
      <w:bookmarkStart w:id="17" w:name="_Toc235041176"/>
      <w:r w:rsidRPr="00F61D2F">
        <w:t>Strategic Financial Restructuring</w:t>
      </w:r>
      <w:bookmarkEnd w:id="17"/>
    </w:p>
    <w:p w14:paraId="658BFFA7" w14:textId="77777777" w:rsidR="00AD2731" w:rsidRPr="00F61D2F" w:rsidRDefault="0000313C">
      <w:pPr>
        <w:pStyle w:val="Heading2"/>
        <w:spacing w:before="200" w:after="200"/>
      </w:pPr>
      <w:bookmarkStart w:id="18" w:name="_Toc235041177"/>
      <w:r w:rsidRPr="00F61D2F">
        <w:t>3.1 Recommended Financial Restructuring Options</w:t>
      </w:r>
      <w:bookmarkEnd w:id="18"/>
    </w:p>
    <w:p w14:paraId="46DB9185" w14:textId="77777777" w:rsidR="00AD2731" w:rsidRPr="00F61D2F" w:rsidRDefault="0000313C">
      <w:pPr>
        <w:spacing w:before="200" w:after="200"/>
      </w:pPr>
      <w:r w:rsidRPr="00F61D2F">
        <w:t>Whitbread needs to use a selective restructuring process that ensures a focus on debt refinancing strategy, selling off underperforming assets, and control distribution to shareholders. In 2025, the total liabilities hit the highest number of £6,570.2 million, and the total equity reached the lowest level of £3,334.5 million of financial flexibility and increased dependence on declared obligations (Whitbread, 2025). A portion of the short-term debt of the company should then be re-financed into long term fixed-rate debt. The latter would decrease the repayment pressure in the short term, enhance maturity matching and limit the exposure to interest-rate risk. Whitbread is also recommended to analyse its portfolio of hotels and properties and sell those that have low occupancy rates, poor profitability or could no longer be strategic. The sale of the disposals might be considered in order to repay debt, enhance liquidity as well as renovate more profitable Premiere Inn assets. Management is not supposed to dispose of good assets when the market is weak since uncertainty may cause the efficiency of investments in hospitality enterprises to decline (García-Gómez et al., 2023). A significant equity financing is not encouraged currently since it might dilute the existing shareholders. However, the amount of equity injection could be lower in the case that Whitbread enters into massive international growth which could not be funded safely by means of retained earnings. Too much debt may leave hotel companies weak when there is a disruption in demand, thus expansion should not heavily rely on extra borrowing.</w:t>
      </w:r>
    </w:p>
    <w:p w14:paraId="706A6BB6" w14:textId="77777777" w:rsidR="00AD2731" w:rsidRPr="00F61D2F" w:rsidRDefault="0000313C">
      <w:pPr>
        <w:pStyle w:val="Heading2"/>
        <w:spacing w:before="200" w:after="200"/>
      </w:pPr>
      <w:bookmarkStart w:id="19" w:name="_Toc235041178"/>
      <w:r w:rsidRPr="00F61D2F">
        <w:t>3.2 Impact on Shareholder Value, Debt Structure and Operational Flexibility</w:t>
      </w:r>
      <w:bookmarkEnd w:id="19"/>
    </w:p>
    <w:p w14:paraId="3DB32180" w14:textId="77777777" w:rsidR="00AD2731" w:rsidRPr="00F61D2F" w:rsidRDefault="0000313C">
      <w:pPr>
        <w:spacing w:before="200" w:after="200"/>
      </w:pPr>
      <w:r w:rsidRPr="00F61D2F">
        <w:t>Debt refinancing has the potential to enhance shareholder value by reducing risks related to refinancing and establishing more certain costs of finance. Increased maturity profile can also hedge dividend capacity and boost investor confidence. The longer-term debt however can have greater total interest payment so the gains must be more than the refinance cost. Selective divestiture would be able to enhance return on assets and free cash to pay down debt or to strategically invest (Poretti et al., 2024). However, selling off lucrative properties may decrease potential future revenues and undermine market penetration. Assets then ought to be considered based on financial performance, strategic location and growth perspective. Whitbread needs to keep growth of dividends and share buybacks moderate until liquidity growth and interest coverage are better. The preservation of cash is relevant as sufficient reserves enable hospitality firms to cope with uncertainty and shocks to the financial system (Ozdemir et al., 2023). A cut in distributions would bolster held earnings and give it increased flexibility in its operations to go through with refurbishment, digital investment and international expansion. Investor confidence would also be enhanced through transparent disclosure of the restructuring costs, proceeds of disposal and anticipated savings. Credible financial reporting enables shareholders to evaluate restructuring as being value creating and not just a way of enhancing short term results.</w:t>
      </w:r>
    </w:p>
    <w:p w14:paraId="1C18F30F" w14:textId="77777777" w:rsidR="00AD2731" w:rsidRPr="00F61D2F" w:rsidRDefault="0000313C">
      <w:pPr>
        <w:pStyle w:val="Heading2"/>
        <w:spacing w:before="200" w:after="200"/>
      </w:pPr>
      <w:bookmarkStart w:id="20" w:name="_Toc235041179"/>
      <w:r w:rsidRPr="00F61D2F">
        <w:t>3.3 International, Ethical and ESG Considerations</w:t>
      </w:r>
      <w:bookmarkEnd w:id="20"/>
    </w:p>
    <w:p w14:paraId="04314BD6" w14:textId="77777777" w:rsidR="00AD2731" w:rsidRPr="00F61D2F" w:rsidRDefault="0000313C">
      <w:pPr>
        <w:spacing w:before="200" w:after="200"/>
      </w:pPr>
      <w:r w:rsidRPr="00F61D2F">
        <w:t>The restructuring plan of Whitbread should be based on its exposure internationally, especially the growth it has in Germany. The movements of sterling euro exchange rate can impact on the translation of the revenue, construction expenditure, lease commitments and investment returns. The local-currency borrowing, natural hedging, and appropriate financial instruments should be utilized to manage the currency risk (Habib and Kayani, 2023). Wages, utilities, food costs and construction spending, which will be inflated, will need realistic assumptions made in financing and investment decisions. Planning tax evasion must be legal and ethically sound as tax aggression may weaken stakeholder confidence and expose the company to regulatory risk (Blanco-Moreno et al., 2025). Employees and local communities should also be taken into consideration in asset disposal and cost reduction. A consultative approach in structuring includes proper treatment and support of the affected workers. Environmental, social and governance performance must not detract focus on financing choices since the quality of ESG may affect the cost of borrowing in the hotel sector (He et al., 2024). Whitbread is advised to put a special focus on energy efficiency, responsible procurement, employee welfare and quantifiable carbon cutoff since sustainability has gained a vital role in strategy of hospitality.</w:t>
      </w:r>
    </w:p>
    <w:p w14:paraId="72370BDC" w14:textId="77777777" w:rsidR="00AD2731" w:rsidRPr="00F61D2F" w:rsidRDefault="0000313C">
      <w:pPr>
        <w:pStyle w:val="Heading1"/>
        <w:spacing w:before="200" w:after="200"/>
      </w:pPr>
      <w:bookmarkStart w:id="21" w:name="_Toc235041180"/>
      <w:r w:rsidRPr="00F61D2F">
        <w:t>Investment Appraisal</w:t>
      </w:r>
      <w:bookmarkEnd w:id="21"/>
    </w:p>
    <w:p w14:paraId="44CEDCD3" w14:textId="77777777" w:rsidR="00AD2731" w:rsidRPr="00F61D2F" w:rsidRDefault="0000313C">
      <w:pPr>
        <w:pStyle w:val="Heading2"/>
        <w:keepNext w:val="0"/>
        <w:keepLines w:val="0"/>
      </w:pPr>
      <w:bookmarkStart w:id="22" w:name="_Toc235041181"/>
      <w:r w:rsidRPr="00F61D2F">
        <w:t>4.1 Correction of the Investment Appraisal Results</w:t>
      </w:r>
      <w:bookmarkEnd w:id="22"/>
    </w:p>
    <w:p w14:paraId="4EFA65B1" w14:textId="77777777" w:rsidR="00AD2731" w:rsidRPr="00F61D2F" w:rsidRDefault="0000313C">
      <w:r w:rsidRPr="00F61D2F">
        <w:t>The profitability index and the payback figures must be corrected before deciding on a project. The positive NPV is expected to be normally associated with the profitability index, which should be higher than 1.00, and the negative NPV must be expected to result in the index that should fall below 1.00. Thus, the PI values of Projects A, B and C are inconsistent between their NPVs. The traditional payback period also represents that the initial investment of the three projects pay back in five years. Internally consistent calculations must be employed in capital-budgeting decisions, and an error may occur in one type of calculation, leading to the inadequate prioritization of the project (Sureka et al., 2022).</w:t>
      </w:r>
    </w:p>
    <w:tbl>
      <w:tblPr>
        <w:tblStyle w:val="a"/>
        <w:tblW w:w="70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65"/>
        <w:gridCol w:w="1400"/>
        <w:gridCol w:w="1565"/>
        <w:gridCol w:w="1445"/>
        <w:gridCol w:w="845"/>
        <w:gridCol w:w="845"/>
      </w:tblGrid>
      <w:tr w:rsidR="00AD2731" w:rsidRPr="00F61D2F" w14:paraId="3E18F3E2" w14:textId="77777777">
        <w:trPr>
          <w:trHeight w:val="515"/>
        </w:trPr>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C055F" w14:textId="77777777" w:rsidR="00AD2731" w:rsidRPr="00F61D2F" w:rsidRDefault="0000313C">
            <w:pPr>
              <w:spacing w:before="200" w:after="200"/>
              <w:jc w:val="center"/>
            </w:pPr>
            <w:r w:rsidRPr="00F61D2F">
              <w:rPr>
                <w:b/>
                <w:bCs/>
              </w:rPr>
              <w:t>Project</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07180F" w14:textId="77777777" w:rsidR="00AD2731" w:rsidRPr="00F61D2F" w:rsidRDefault="0000313C">
            <w:pPr>
              <w:spacing w:before="200" w:after="200"/>
              <w:jc w:val="center"/>
            </w:pPr>
            <w:r w:rsidRPr="00F61D2F">
              <w:rPr>
                <w:b/>
                <w:bCs/>
              </w:rPr>
              <w:t>NPV at 8%</w:t>
            </w:r>
          </w:p>
        </w:tc>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2A561" w14:textId="77777777" w:rsidR="00AD2731" w:rsidRPr="00F61D2F" w:rsidRDefault="0000313C">
            <w:pPr>
              <w:spacing w:before="200" w:after="200"/>
              <w:jc w:val="center"/>
            </w:pPr>
            <w:r w:rsidRPr="00F61D2F">
              <w:rPr>
                <w:b/>
                <w:bCs/>
              </w:rPr>
              <w:t>Corrected PI</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F6156" w14:textId="77777777" w:rsidR="00AD2731" w:rsidRPr="00F61D2F" w:rsidRDefault="0000313C">
            <w:pPr>
              <w:spacing w:before="200" w:after="200"/>
              <w:jc w:val="center"/>
            </w:pPr>
            <w:r w:rsidRPr="00F61D2F">
              <w:rPr>
                <w:b/>
                <w:bCs/>
              </w:rPr>
              <w:t>Simple PBP</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461E0D" w14:textId="77777777" w:rsidR="00AD2731" w:rsidRPr="00F61D2F" w:rsidRDefault="0000313C">
            <w:pPr>
              <w:spacing w:before="200" w:after="200"/>
              <w:jc w:val="center"/>
            </w:pPr>
            <w:r w:rsidRPr="00F61D2F">
              <w:rPr>
                <w:b/>
                <w:bCs/>
              </w:rPr>
              <w:t>IRR</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B8B3A" w14:textId="77777777" w:rsidR="00AD2731" w:rsidRPr="00F61D2F" w:rsidRDefault="0000313C">
            <w:pPr>
              <w:spacing w:before="200" w:after="200"/>
              <w:jc w:val="center"/>
            </w:pPr>
            <w:r w:rsidRPr="00F61D2F">
              <w:rPr>
                <w:b/>
                <w:bCs/>
              </w:rPr>
              <w:t>ARR</w:t>
            </w:r>
          </w:p>
        </w:tc>
      </w:tr>
      <w:tr w:rsidR="00AD2731" w:rsidRPr="00F61D2F" w14:paraId="3D8C4D34" w14:textId="77777777">
        <w:trPr>
          <w:trHeight w:val="515"/>
        </w:trPr>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0E756" w14:textId="77777777" w:rsidR="00AD2731" w:rsidRPr="00F61D2F" w:rsidRDefault="0000313C">
            <w:pPr>
              <w:spacing w:before="200" w:after="200"/>
            </w:pPr>
            <w:r w:rsidRPr="00F61D2F">
              <w:t>A</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C7BDF5" w14:textId="77777777" w:rsidR="00AD2731" w:rsidRPr="00F61D2F" w:rsidRDefault="0000313C">
            <w:pPr>
              <w:spacing w:before="200" w:after="200"/>
            </w:pPr>
            <w:r w:rsidRPr="00F61D2F">
              <w:t>–£6.54m</w:t>
            </w:r>
          </w:p>
        </w:tc>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F5989" w14:textId="77777777" w:rsidR="00AD2731" w:rsidRPr="00F61D2F" w:rsidRDefault="0000313C">
            <w:pPr>
              <w:spacing w:before="200" w:after="200"/>
            </w:pPr>
            <w:r w:rsidRPr="00F61D2F">
              <w:t>0.87</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AACE6F" w14:textId="77777777" w:rsidR="00AD2731" w:rsidRPr="00F61D2F" w:rsidRDefault="0000313C">
            <w:pPr>
              <w:spacing w:before="200" w:after="200"/>
            </w:pPr>
            <w:r w:rsidRPr="00F61D2F">
              <w:t>4.50 years</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E6737" w14:textId="77777777" w:rsidR="00AD2731" w:rsidRPr="00F61D2F" w:rsidRDefault="0000313C">
            <w:pPr>
              <w:spacing w:before="200" w:after="200"/>
            </w:pPr>
            <w:r w:rsidRPr="00F61D2F">
              <w:t>2.72%</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AA298" w14:textId="77777777" w:rsidR="00AD2731" w:rsidRPr="00F61D2F" w:rsidRDefault="0000313C">
            <w:pPr>
              <w:spacing w:before="200" w:after="200"/>
            </w:pPr>
            <w:r w:rsidRPr="00F61D2F">
              <w:t>1.60%</w:t>
            </w:r>
          </w:p>
        </w:tc>
      </w:tr>
      <w:tr w:rsidR="00AD2731" w:rsidRPr="00F61D2F" w14:paraId="3D7681B3" w14:textId="77777777">
        <w:trPr>
          <w:trHeight w:val="515"/>
        </w:trPr>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A8F45" w14:textId="77777777" w:rsidR="00AD2731" w:rsidRPr="00F61D2F" w:rsidRDefault="0000313C">
            <w:pPr>
              <w:spacing w:before="200" w:after="200"/>
            </w:pPr>
            <w:r w:rsidRPr="00F61D2F">
              <w:t>B</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71990" w14:textId="77777777" w:rsidR="00AD2731" w:rsidRPr="00F61D2F" w:rsidRDefault="0000313C">
            <w:pPr>
              <w:spacing w:before="200" w:after="200"/>
            </w:pPr>
            <w:r w:rsidRPr="00F61D2F">
              <w:t>–£6.08m</w:t>
            </w:r>
          </w:p>
        </w:tc>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C9ECE" w14:textId="77777777" w:rsidR="00AD2731" w:rsidRPr="00F61D2F" w:rsidRDefault="0000313C">
            <w:pPr>
              <w:spacing w:before="200" w:after="200"/>
            </w:pPr>
            <w:r w:rsidRPr="00F61D2F">
              <w:t>0.88</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4F11E" w14:textId="77777777" w:rsidR="00AD2731" w:rsidRPr="00F61D2F" w:rsidRDefault="0000313C">
            <w:pPr>
              <w:spacing w:before="200" w:after="200"/>
            </w:pPr>
            <w:r w:rsidRPr="00F61D2F">
              <w:t>4.55 years</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82F326" w14:textId="77777777" w:rsidR="00AD2731" w:rsidRPr="00F61D2F" w:rsidRDefault="0000313C">
            <w:pPr>
              <w:spacing w:before="200" w:after="200"/>
            </w:pPr>
            <w:r w:rsidRPr="00F61D2F">
              <w:t>3.26%</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6DE2E" w14:textId="77777777" w:rsidR="00AD2731" w:rsidRPr="00F61D2F" w:rsidRDefault="0000313C">
            <w:pPr>
              <w:spacing w:before="200" w:after="200"/>
            </w:pPr>
            <w:r w:rsidRPr="00F61D2F">
              <w:t>2.00%</w:t>
            </w:r>
          </w:p>
        </w:tc>
      </w:tr>
      <w:tr w:rsidR="00AD2731" w:rsidRPr="00F61D2F" w14:paraId="57FFB30F" w14:textId="77777777">
        <w:trPr>
          <w:trHeight w:val="515"/>
        </w:trPr>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5A7497" w14:textId="77777777" w:rsidR="00AD2731" w:rsidRPr="00F61D2F" w:rsidRDefault="0000313C">
            <w:pPr>
              <w:spacing w:before="200" w:after="200"/>
            </w:pPr>
            <w:r w:rsidRPr="00F61D2F">
              <w:t>C</w:t>
            </w:r>
          </w:p>
        </w:tc>
        <w:tc>
          <w:tcPr>
            <w:tcW w:w="1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7800C" w14:textId="77777777" w:rsidR="00AD2731" w:rsidRPr="00F61D2F" w:rsidRDefault="0000313C">
            <w:pPr>
              <w:spacing w:before="200" w:after="200"/>
            </w:pPr>
            <w:r w:rsidRPr="00F61D2F">
              <w:t>£0.86m</w:t>
            </w:r>
          </w:p>
        </w:tc>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8393C" w14:textId="77777777" w:rsidR="00AD2731" w:rsidRPr="00F61D2F" w:rsidRDefault="0000313C">
            <w:pPr>
              <w:spacing w:before="200" w:after="200"/>
            </w:pPr>
            <w:r w:rsidRPr="00F61D2F">
              <w:t>1.02</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8635A" w14:textId="77777777" w:rsidR="00AD2731" w:rsidRPr="00F61D2F" w:rsidRDefault="0000313C">
            <w:pPr>
              <w:spacing w:before="200" w:after="200"/>
            </w:pPr>
            <w:r w:rsidRPr="00F61D2F">
              <w:t>3.60 years</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84225" w14:textId="77777777" w:rsidR="00AD2731" w:rsidRPr="00F61D2F" w:rsidRDefault="0000313C">
            <w:pPr>
              <w:spacing w:before="200" w:after="200"/>
            </w:pPr>
            <w:r w:rsidRPr="00F61D2F">
              <w:t>8.59%</w:t>
            </w:r>
          </w:p>
        </w:tc>
        <w:tc>
          <w:tcPr>
            <w:tcW w:w="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E6618" w14:textId="77777777" w:rsidR="00AD2731" w:rsidRPr="00F61D2F" w:rsidRDefault="0000313C">
            <w:pPr>
              <w:spacing w:before="200" w:after="200"/>
            </w:pPr>
            <w:r w:rsidRPr="00F61D2F">
              <w:t>6.00%</w:t>
            </w:r>
          </w:p>
        </w:tc>
      </w:tr>
    </w:tbl>
    <w:p w14:paraId="07852889" w14:textId="77777777" w:rsidR="00AD2731" w:rsidRPr="00F61D2F" w:rsidRDefault="0000313C">
      <w:r w:rsidRPr="00F61D2F">
        <w:t>Under the discounted payback, Projects A and B would not be able to recoup their starting investments within five years whereas Project C would recoup their discounted investment towards the end of the fifth year.</w:t>
      </w:r>
    </w:p>
    <w:p w14:paraId="1A70BA55" w14:textId="77777777" w:rsidR="00AD2731" w:rsidRPr="00F61D2F" w:rsidRDefault="0000313C">
      <w:pPr>
        <w:pStyle w:val="Heading2"/>
        <w:keepNext w:val="0"/>
        <w:keepLines w:val="0"/>
      </w:pPr>
      <w:bookmarkStart w:id="23" w:name="_Toc235041182"/>
      <w:r w:rsidRPr="00F61D2F">
        <w:t>4.2 Comparison of the Three Projects</w:t>
      </w:r>
      <w:bookmarkEnd w:id="23"/>
    </w:p>
    <w:p w14:paraId="71A908F2" w14:textId="77777777" w:rsidR="00AD2731" w:rsidRPr="00F61D2F" w:rsidRDefault="0000313C">
      <w:r w:rsidRPr="00F61D2F">
        <w:t>Project A has a total undiscounted inflows of £54 million, yet the NPV of the project A is found to be -6.54 million within which the receipts are said to be inadequate after considering the use of time value of money and the required 8 percent return. Its PI of 0.87 substantiates the fact that every 1 pound invested results in a present-value inflow only of about 0.87. Its 2.72% IRR is significantly lower than the required return, whereas its 1.60% ARR is only marginally profitable to the accounting. Even though the project breaks-even after 4.50 years, the long payback and negative NPV value means that it would wipe out the shareholder value.</w:t>
      </w:r>
    </w:p>
    <w:p w14:paraId="7CC92359" w14:textId="77777777" w:rsidR="00AD2731" w:rsidRPr="00F61D2F" w:rsidRDefault="0000313C">
      <w:r w:rsidRPr="00F61D2F">
        <w:t xml:space="preserve">Project B offers consistent yearly cash flows of the amount of £11 million, and this can simplify budgetary procedures and liquidity projections. Nonetheless, it has a negative NPV of -.608 million pounds, and the PI of 0.88 reflects a lack of covering that initial investment with discounted benefits. Its IRR of 3.26 is more than Project A but still is very low compared to the 8% hurdle rate. Project B is then not generating a reasonable financial return and is providing cash-flow stability. When appraisal techniques seem conflicting, NPV offers a more useful value creation assessment than separate percentage or payback values (Sokolov, 2024). </w:t>
      </w:r>
    </w:p>
    <w:p w14:paraId="4B5DFBDA" w14:textId="77777777" w:rsidR="00AD2731" w:rsidRPr="00F61D2F" w:rsidRDefault="0000313C">
      <w:r w:rsidRPr="00F61D2F">
        <w:t>Project C has an NPV of £0.86 million pounds and is the only project that is likely to add value to the corporation. Its PI of about 1.02 implies the discounted inflows are slightly higher than the amount invested which is about 50 million pounds. It also has IRR of 8.59 which is higher than the required 8% and ARR of 6.00 which is the best of the other options. Simple payback of project C also is the fastest; 3.60 years. As a result, Project C is the most financially sound choice with all the five methods of appraisal ranking it as such. Advanced capital-budgeting choices must however keep in mind quantified returns and uncertainty with regard to the estimated cash flows (</w:t>
      </w:r>
      <w:proofErr w:type="spellStart"/>
      <w:r w:rsidRPr="00F61D2F">
        <w:t>Darmansyah</w:t>
      </w:r>
      <w:proofErr w:type="spellEnd"/>
      <w:r w:rsidRPr="00F61D2F">
        <w:t xml:space="preserve"> et al., 2025).</w:t>
      </w:r>
    </w:p>
    <w:p w14:paraId="6F93B109" w14:textId="77777777" w:rsidR="00AD2731" w:rsidRPr="00F61D2F" w:rsidRDefault="0000313C">
      <w:pPr>
        <w:pStyle w:val="Heading2"/>
        <w:keepNext w:val="0"/>
        <w:keepLines w:val="0"/>
      </w:pPr>
      <w:bookmarkStart w:id="24" w:name="_Toc235041183"/>
      <w:r w:rsidRPr="00F61D2F">
        <w:t>4.3 Recommended Project</w:t>
      </w:r>
      <w:bookmarkEnd w:id="24"/>
    </w:p>
    <w:p w14:paraId="0FFB941E" w14:textId="77777777" w:rsidR="00AD2731" w:rsidRPr="00F61D2F" w:rsidRDefault="0000313C">
      <w:r w:rsidRPr="00F61D2F">
        <w:t>Project C ought to be accepted since it will meet the principal discounted cash-flow acceptance criteria. Its positive NPV implies its ability to create the value, its PI is greater than one, and its IRR is bigger than the expected required return of 8% of Whitbread. This project also provides a superior ARR and shorter recovery period compared to Projects A and B. Projects A and B should be rejected as their negative NPVs indicate that their returns would not cover up the investment amount and financial risk that Whitbread incurs. Such a recommendation is especially suitable, given the financial state of Whitbread. In 2025, net profit fell to £253.7M due to the change downward of the net profit in 2025 by £312.1M with net profit margin also decreasing to about 9%. The current ratio dropped down to 0.81, and the operating cash-flow ratio came down to 0.58 indicating that current assets and annual operating cash flows covered only a small part of short-term debt. The total liabilities have equally had an increase of up to £6,570.2 million, with interest cover deteriorating to 2.21 times (Whitbread, 2025). Such states render it unsuitable to invest £50 million in a project with negative-NPV.</w:t>
      </w:r>
    </w:p>
    <w:p w14:paraId="416E0177" w14:textId="77777777" w:rsidR="00AD2731" w:rsidRPr="00F61D2F" w:rsidRDefault="0000313C">
      <w:r w:rsidRPr="00F61D2F">
        <w:t>Increasing liabilities and huge lease obligations of Whitbread also imply that further investments must maintain not debilitate financial flexibility. High- fixed financial liability hotel companies can be more prone to instability, in case of an unexpected decrease in demand (Nguyen et al., 2023). Project C would only have a modest/light NPV of just over £0.86 million, hence the forecasts should still be subjected to sensitivity and scenario analysis. The slight decrease in the estimated inflows, or the increase in the discount rate would wipe out its positive payoff.</w:t>
      </w:r>
    </w:p>
    <w:p w14:paraId="343AFF68" w14:textId="77777777" w:rsidR="00AD2731" w:rsidRPr="00F61D2F" w:rsidRDefault="0000313C">
      <w:pPr>
        <w:pStyle w:val="Heading2"/>
        <w:keepNext w:val="0"/>
        <w:keepLines w:val="0"/>
      </w:pPr>
      <w:bookmarkStart w:id="25" w:name="_Toc235041184"/>
      <w:r w:rsidRPr="00F61D2F">
        <w:t>4.4 Non-Financial Risks Affecting Project C</w:t>
      </w:r>
      <w:bookmarkEnd w:id="25"/>
    </w:p>
    <w:p w14:paraId="56651611" w14:textId="77777777" w:rsidR="00AD2731" w:rsidRPr="00F61D2F" w:rsidRDefault="0000313C">
      <w:r w:rsidRPr="00F61D2F">
        <w:t>The project C cash flows are clumped between Years 3 and 4 in Project C, resulting in increased vulnerability to implementation delays and market fluctuations. The bigger later-stage receipts might be delayed due to political instability, changes in regulations controlling the planning process, taxation and employment requirements. The uncertainty surrounding economic policy will also lead to the fact that hospitality firms fail to make decisions on time or overinvest or invest their money inefficiently (García-Gómez et al., 2023). Another threat is inflation since inflation might raise expenditure beyond the assumptions made in the appraisal due to higher wages, costs of construction, utilities and food. Another impact of exchange-rate movements in costs and returns would be experienced in a project that involves international activities. Phased investment, supplier contracts at fixed prices, local-currency financing and suitable hedging arrangements should therefore be considered by Whitbread.</w:t>
      </w:r>
    </w:p>
    <w:p w14:paraId="7F0C697B" w14:textId="77777777" w:rsidR="00AD2731" w:rsidRPr="00F61D2F" w:rsidRDefault="0000313C">
      <w:r w:rsidRPr="00F61D2F">
        <w:t>Customer loyalty is also crucial in the sense that the predicted hotel cash flows rely on occupancy, repeat, pricing acceptance and brand reputation. Alterations in consumer needs on technology, quality of services, flexibility and sustainability may decrease the demand because of the project not keeping up with the new hospitality trends (Aksoy et al., 2022). Before full investment should thus be done market research and testing on the customers should be done. Project C would also have to fulfil environmental and social commitments of Whitbread. Responsible procurement and employee wellbeing, energy efficiency could incur extra initial costs, but would be able to mitigate operating and reputational risk in the long term. Good ESG performance can also contribute to the cost of borrowing and access to finance by the hotel companies (He et al., 2024).</w:t>
      </w:r>
    </w:p>
    <w:p w14:paraId="1A3795B0" w14:textId="77777777" w:rsidR="00AD2731" w:rsidRPr="00F61D2F" w:rsidRDefault="0000313C">
      <w:pPr>
        <w:pStyle w:val="Heading2"/>
        <w:keepNext w:val="0"/>
        <w:keepLines w:val="0"/>
      </w:pPr>
      <w:bookmarkStart w:id="26" w:name="_Toc235041185"/>
      <w:r w:rsidRPr="00F61D2F">
        <w:t>4.5 Capital-Rationing Analysis</w:t>
      </w:r>
      <w:bookmarkEnd w:id="26"/>
    </w:p>
    <w:p w14:paraId="61763A1B" w14:textId="77777777" w:rsidR="00AD2731" w:rsidRPr="00F61D2F" w:rsidRDefault="0000313C">
      <w:r w:rsidRPr="00F61D2F">
        <w:t>Since each project will be funded with 50 million pounds, the maximum budget of 100 million will allow any combination of projects in two.</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68"/>
        <w:gridCol w:w="1579"/>
        <w:gridCol w:w="1509"/>
        <w:gridCol w:w="1370"/>
        <w:gridCol w:w="3099"/>
      </w:tblGrid>
      <w:tr w:rsidR="00AD2731" w:rsidRPr="00F61D2F" w14:paraId="782F527C" w14:textId="77777777">
        <w:trPr>
          <w:trHeight w:val="785"/>
        </w:trPr>
        <w:tc>
          <w:tcPr>
            <w:tcW w:w="1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00E5B" w14:textId="77777777" w:rsidR="00AD2731" w:rsidRPr="00F61D2F" w:rsidRDefault="0000313C">
            <w:pPr>
              <w:spacing w:before="200" w:after="200"/>
              <w:jc w:val="center"/>
            </w:pPr>
            <w:r w:rsidRPr="00F61D2F">
              <w:rPr>
                <w:b/>
                <w:bCs/>
              </w:rPr>
              <w:t>Combination</w:t>
            </w: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365CB" w14:textId="77777777" w:rsidR="00AD2731" w:rsidRPr="00F61D2F" w:rsidRDefault="0000313C">
            <w:pPr>
              <w:spacing w:before="200" w:after="200"/>
              <w:jc w:val="center"/>
            </w:pPr>
            <w:r w:rsidRPr="00F61D2F">
              <w:rPr>
                <w:b/>
                <w:bCs/>
              </w:rPr>
              <w:t>Total investment</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4E115" w14:textId="77777777" w:rsidR="00AD2731" w:rsidRPr="00F61D2F" w:rsidRDefault="0000313C">
            <w:pPr>
              <w:spacing w:before="200" w:after="200"/>
              <w:jc w:val="center"/>
            </w:pPr>
            <w:r w:rsidRPr="00F61D2F">
              <w:rPr>
                <w:b/>
                <w:bCs/>
              </w:rPr>
              <w:t>Combined NPV</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BAF47" w14:textId="77777777" w:rsidR="00AD2731" w:rsidRPr="00F61D2F" w:rsidRDefault="0000313C">
            <w:pPr>
              <w:spacing w:before="200" w:after="200"/>
              <w:jc w:val="center"/>
            </w:pPr>
            <w:r w:rsidRPr="00F61D2F">
              <w:rPr>
                <w:b/>
                <w:bCs/>
              </w:rPr>
              <w:t>Combined PI</w:t>
            </w:r>
          </w:p>
        </w:tc>
        <w:tc>
          <w:tcPr>
            <w:tcW w:w="3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03006" w14:textId="77777777" w:rsidR="00AD2731" w:rsidRPr="00F61D2F" w:rsidRDefault="0000313C">
            <w:pPr>
              <w:spacing w:before="200" w:after="200"/>
              <w:jc w:val="center"/>
            </w:pPr>
            <w:r w:rsidRPr="00F61D2F">
              <w:rPr>
                <w:b/>
                <w:bCs/>
              </w:rPr>
              <w:t>Decision</w:t>
            </w:r>
          </w:p>
        </w:tc>
      </w:tr>
      <w:tr w:rsidR="00AD2731" w:rsidRPr="00F61D2F" w14:paraId="265C2A10" w14:textId="77777777">
        <w:trPr>
          <w:trHeight w:val="515"/>
        </w:trPr>
        <w:tc>
          <w:tcPr>
            <w:tcW w:w="1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C4613" w14:textId="77777777" w:rsidR="00AD2731" w:rsidRPr="00F61D2F" w:rsidRDefault="0000313C">
            <w:pPr>
              <w:spacing w:before="200" w:after="200"/>
            </w:pPr>
            <w:r w:rsidRPr="00F61D2F">
              <w:t>A + B</w:t>
            </w: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91774" w14:textId="77777777" w:rsidR="00AD2731" w:rsidRPr="00F61D2F" w:rsidRDefault="0000313C">
            <w:pPr>
              <w:spacing w:before="200" w:after="200"/>
            </w:pPr>
            <w:r w:rsidRPr="00F61D2F">
              <w:t>£100m</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57ABC" w14:textId="77777777" w:rsidR="00AD2731" w:rsidRPr="00F61D2F" w:rsidRDefault="0000313C">
            <w:pPr>
              <w:spacing w:before="200" w:after="200"/>
            </w:pPr>
            <w:r w:rsidRPr="00F61D2F">
              <w:t>–£12.62m</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23D9D" w14:textId="77777777" w:rsidR="00AD2731" w:rsidRPr="00F61D2F" w:rsidRDefault="0000313C">
            <w:pPr>
              <w:spacing w:before="200" w:after="200"/>
            </w:pPr>
            <w:r w:rsidRPr="00F61D2F">
              <w:t>0.87</w:t>
            </w:r>
          </w:p>
        </w:tc>
        <w:tc>
          <w:tcPr>
            <w:tcW w:w="3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2762B" w14:textId="77777777" w:rsidR="00AD2731" w:rsidRPr="00F61D2F" w:rsidRDefault="0000313C">
            <w:pPr>
              <w:spacing w:before="200" w:after="200"/>
            </w:pPr>
            <w:r w:rsidRPr="00F61D2F">
              <w:t>Reject</w:t>
            </w:r>
          </w:p>
        </w:tc>
      </w:tr>
      <w:tr w:rsidR="00AD2731" w:rsidRPr="00F61D2F" w14:paraId="3776F601" w14:textId="77777777">
        <w:trPr>
          <w:trHeight w:val="515"/>
        </w:trPr>
        <w:tc>
          <w:tcPr>
            <w:tcW w:w="1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C66481" w14:textId="77777777" w:rsidR="00AD2731" w:rsidRPr="00F61D2F" w:rsidRDefault="0000313C">
            <w:pPr>
              <w:spacing w:before="200" w:after="200"/>
            </w:pPr>
            <w:r w:rsidRPr="00F61D2F">
              <w:t>A + C</w:t>
            </w: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A87A6" w14:textId="77777777" w:rsidR="00AD2731" w:rsidRPr="00F61D2F" w:rsidRDefault="0000313C">
            <w:pPr>
              <w:spacing w:before="200" w:after="200"/>
            </w:pPr>
            <w:r w:rsidRPr="00F61D2F">
              <w:t>£100m</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2BC86" w14:textId="77777777" w:rsidR="00AD2731" w:rsidRPr="00F61D2F" w:rsidRDefault="0000313C">
            <w:pPr>
              <w:spacing w:before="200" w:after="200"/>
            </w:pPr>
            <w:r w:rsidRPr="00F61D2F">
              <w:t>–£5.69m</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75CFD" w14:textId="77777777" w:rsidR="00AD2731" w:rsidRPr="00F61D2F" w:rsidRDefault="0000313C">
            <w:pPr>
              <w:spacing w:before="200" w:after="200"/>
            </w:pPr>
            <w:r w:rsidRPr="00F61D2F">
              <w:t>0.94</w:t>
            </w:r>
          </w:p>
        </w:tc>
        <w:tc>
          <w:tcPr>
            <w:tcW w:w="3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7167F" w14:textId="77777777" w:rsidR="00AD2731" w:rsidRPr="00F61D2F" w:rsidRDefault="0000313C">
            <w:pPr>
              <w:spacing w:before="200" w:after="200"/>
            </w:pPr>
            <w:r w:rsidRPr="00F61D2F">
              <w:t>Reject</w:t>
            </w:r>
          </w:p>
        </w:tc>
      </w:tr>
      <w:tr w:rsidR="00AD2731" w:rsidRPr="00F61D2F" w14:paraId="6386F7F9" w14:textId="77777777">
        <w:trPr>
          <w:trHeight w:val="785"/>
        </w:trPr>
        <w:tc>
          <w:tcPr>
            <w:tcW w:w="1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8658B" w14:textId="77777777" w:rsidR="00AD2731" w:rsidRPr="00F61D2F" w:rsidRDefault="0000313C">
            <w:pPr>
              <w:spacing w:before="200" w:after="200"/>
            </w:pPr>
            <w:r w:rsidRPr="00F61D2F">
              <w:t>B + C</w:t>
            </w: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C75E3" w14:textId="77777777" w:rsidR="00AD2731" w:rsidRPr="00F61D2F" w:rsidRDefault="0000313C">
            <w:pPr>
              <w:spacing w:before="200" w:after="200"/>
            </w:pPr>
            <w:r w:rsidRPr="00F61D2F">
              <w:t>£100m</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370FC" w14:textId="77777777" w:rsidR="00AD2731" w:rsidRPr="00F61D2F" w:rsidRDefault="0000313C">
            <w:pPr>
              <w:spacing w:before="200" w:after="200"/>
            </w:pPr>
            <w:r w:rsidRPr="00F61D2F">
              <w:t>–£5.22m</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C2667D" w14:textId="77777777" w:rsidR="00AD2731" w:rsidRPr="00F61D2F" w:rsidRDefault="0000313C">
            <w:pPr>
              <w:spacing w:before="200" w:after="200"/>
            </w:pPr>
            <w:r w:rsidRPr="00F61D2F">
              <w:t>0.95</w:t>
            </w:r>
          </w:p>
        </w:tc>
        <w:tc>
          <w:tcPr>
            <w:tcW w:w="3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29550" w14:textId="77777777" w:rsidR="00AD2731" w:rsidRPr="00F61D2F" w:rsidRDefault="0000313C">
            <w:pPr>
              <w:spacing w:before="200" w:after="200"/>
            </w:pPr>
            <w:r w:rsidRPr="00F61D2F">
              <w:t>Best two-project combination, but still reject</w:t>
            </w:r>
          </w:p>
        </w:tc>
      </w:tr>
    </w:tbl>
    <w:p w14:paraId="4BE40A76" w14:textId="77777777" w:rsidR="00AD2731" w:rsidRPr="00F61D2F" w:rsidRDefault="0000313C">
      <w:r w:rsidRPr="00F61D2F">
        <w:t>Out of the given choices, Project B and Project C offer the largest combined NPV of -£5.22 million and the largest combined PI of about 0.95 respectively. Thus the desired combination of B and C would be possible only in those cases, when the management has to complete just two undertakings. This would however cause the destruction of the shareholder value of £5.22 million due to the combination still having a negative aggregate NPV and its PI being less than one. The amount of money is set at £100 million which is not a compulsion of having to put up the total amount, but a cap of how much one can invest. Whitbread should then utilize Project C to an extent of £50 million and keep the rest of the money (£50 million) as a buffer against liquidity, debt reduction, or future positive-NPV projects. Hoarding cash is especially relevant in the situation when uncertainty and worsening liquidity are already in place since sufficient cash reserves can help the hospitality sector to stand on their own two feet (Ozdemir et al., 2023). Project C therefore, is the capital-rationing decision that is financially rational, whereas B and C are simply the least harmful two-project choice.</w:t>
      </w:r>
    </w:p>
    <w:p w14:paraId="06722624" w14:textId="77777777" w:rsidR="00AD2731" w:rsidRPr="00F61D2F" w:rsidRDefault="0000313C">
      <w:pPr>
        <w:pStyle w:val="Heading1"/>
        <w:spacing w:before="200" w:after="200"/>
      </w:pPr>
      <w:bookmarkStart w:id="27" w:name="_Toc235041186"/>
      <w:r w:rsidRPr="00F61D2F">
        <w:t>Critical Reflection on AI</w:t>
      </w:r>
      <w:bookmarkEnd w:id="27"/>
    </w:p>
    <w:p w14:paraId="642DDB50" w14:textId="77777777" w:rsidR="00AD2731" w:rsidRPr="00F61D2F" w:rsidRDefault="0000313C">
      <w:pPr>
        <w:pStyle w:val="Heading2"/>
        <w:spacing w:before="200" w:after="200"/>
      </w:pPr>
      <w:bookmarkStart w:id="28" w:name="_Toc235041187"/>
      <w:r w:rsidRPr="00F61D2F">
        <w:t>5.1 Tool Disclosure</w:t>
      </w:r>
      <w:bookmarkEnd w:id="28"/>
    </w:p>
    <w:p w14:paraId="4E437AA8" w14:textId="77777777" w:rsidR="00AD2731" w:rsidRPr="00F61D2F" w:rsidRDefault="0000313C">
      <w:pPr>
        <w:spacing w:before="200" w:after="200"/>
      </w:pPr>
      <w:r w:rsidRPr="00F61D2F">
        <w:t>This report was prepared with the support of ChatGPT, which was involved in the course of research and data-analysis. Its uses were to clarify the formulae of financial ratios, to test the reasonableness of the investment-appraisal calculations and to propose clearer grammar forms. The ratios, NPV, IRR, PI, ARR and payback periods were computed using Microsoft Excel on its own. To comply with the AI-use recognition of the assessment, AI was not viewed as an authoritative source of finances and personal judgement alternative. The financial evidence of Whitbread was assessed through the structure of the report with the assessment specification being followed and the final discussion and recommendations being made by the evaluation of Whitbread. Finance Generative AI can enhance efficiency, with the development staying open and in a proper manner (Lee et al., 2024).</w:t>
      </w:r>
    </w:p>
    <w:p w14:paraId="0DC55CC5" w14:textId="77777777" w:rsidR="00AD2731" w:rsidRPr="00F61D2F" w:rsidRDefault="0000313C">
      <w:pPr>
        <w:pStyle w:val="Heading2"/>
        <w:spacing w:before="200" w:after="200"/>
      </w:pPr>
      <w:bookmarkStart w:id="29" w:name="_Toc235041188"/>
      <w:r w:rsidRPr="00F61D2F">
        <w:t>5.2 Critical Evaluation and Verification of AI Output</w:t>
      </w:r>
      <w:bookmarkEnd w:id="29"/>
    </w:p>
    <w:p w14:paraId="6784ADF5" w14:textId="77777777" w:rsidR="00AD2731" w:rsidRPr="00F61D2F" w:rsidRDefault="0000313C">
      <w:pPr>
        <w:spacing w:before="200" w:after="200"/>
      </w:pPr>
      <w:r w:rsidRPr="00F61D2F">
        <w:t>Explanations and calculations made by AI were not embraced as automatic. All the financial data were compared with the publication official annual reports at Whitbread and ratio and investment-appraisal results were re-computed by hand and using Excel. A series of logical inconsistencies were found in the process. To illustrate, the initial values of profitability indices were inconsistent with the values of NPV since the negative-NPV projects had been erroneously identified as those above PI values one (</w:t>
      </w:r>
      <w:proofErr w:type="spellStart"/>
      <w:r w:rsidRPr="00F61D2F">
        <w:t>Mansilla</w:t>
      </w:r>
      <w:proofErr w:type="spellEnd"/>
      <w:r w:rsidRPr="00F61D2F">
        <w:t>-Fernandez and Milgram-</w:t>
      </w:r>
      <w:proofErr w:type="spellStart"/>
      <w:r w:rsidRPr="00F61D2F">
        <w:t>Baleix</w:t>
      </w:r>
      <w:proofErr w:type="spellEnd"/>
      <w:r w:rsidRPr="00F61D2F">
        <w:t xml:space="preserve">, 2023). The payback findings were also </w:t>
      </w:r>
      <w:proofErr w:type="spellStart"/>
      <w:r w:rsidRPr="00F61D2F">
        <w:t>analyzed</w:t>
      </w:r>
      <w:proofErr w:type="spellEnd"/>
      <w:r w:rsidRPr="00F61D2F">
        <w:t xml:space="preserve"> since the undiscounted cash inflows reflected that all the projects had paid back their initial investment after five years. Furthermore, the operating costs of Whitbread could not be properly categorized as the cost of goods sold since the company did not make a separate reporting of cost of goods sold. These problems proved that AI can generate reasonable yet economically ineffective answers that have to be otherwise verified by professionals.</w:t>
      </w:r>
    </w:p>
    <w:p w14:paraId="68127947" w14:textId="77777777" w:rsidR="00AD2731" w:rsidRPr="00F61D2F" w:rsidRDefault="0000313C">
      <w:pPr>
        <w:pStyle w:val="Heading2"/>
        <w:spacing w:before="200" w:after="200"/>
      </w:pPr>
      <w:bookmarkStart w:id="30" w:name="_Toc235041189"/>
      <w:r w:rsidRPr="00F61D2F">
        <w:t>5.3 AI and Personal Contribution</w:t>
      </w:r>
      <w:bookmarkEnd w:id="30"/>
    </w:p>
    <w:p w14:paraId="27C37A80" w14:textId="77777777" w:rsidR="00AD2731" w:rsidRPr="00F61D2F" w:rsidRDefault="0000313C">
      <w:pPr>
        <w:spacing w:before="200" w:after="200"/>
      </w:pPr>
      <w:r w:rsidRPr="00F61D2F">
        <w:t>AI was involved primarily in the support of research, clarification of the formulas, verification of calculations and need to be further investigated. It also gave editing recommendations to enhance clarity and scholarly formatting. Nevertheless, the explanation of the decreasing liquidity of Whitbread, growing liabilities, lower interest coverage and investment power was the personal analysis of the researcher (</w:t>
      </w:r>
      <w:proofErr w:type="spellStart"/>
      <w:r w:rsidRPr="00F61D2F">
        <w:t>Valiña</w:t>
      </w:r>
      <w:proofErr w:type="spellEnd"/>
      <w:r w:rsidRPr="00F61D2F">
        <w:t>-Sotelo and Iglesias, 2026). A combination of the personally checked NPV, IRR, PI, ARR and the payback calculation led to the choice of Project C as the final recommendation. Likewise, the suggested debt refinancing, selective divestiture and lower shareholders distributions were a series of conclusions, which is based on the synthesis of the financial statement Whitbread, and the evidence based on the hospitality-sector and not blind execution of AI results.</w:t>
      </w:r>
    </w:p>
    <w:p w14:paraId="113F54F3" w14:textId="77777777" w:rsidR="00AD2731" w:rsidRPr="00F61D2F" w:rsidRDefault="0000313C">
      <w:pPr>
        <w:pStyle w:val="Heading2"/>
        <w:spacing w:before="200" w:after="200"/>
      </w:pPr>
      <w:bookmarkStart w:id="31" w:name="_Toc235041190"/>
      <w:r w:rsidRPr="00F61D2F">
        <w:t>5.4 Ethical and Professional Reflection</w:t>
      </w:r>
      <w:bookmarkEnd w:id="31"/>
    </w:p>
    <w:p w14:paraId="45AA9697" w14:textId="77777777" w:rsidR="00AD2731" w:rsidRPr="00F61D2F" w:rsidRDefault="0000313C">
      <w:pPr>
        <w:spacing w:before="200" w:after="200"/>
      </w:pPr>
      <w:r w:rsidRPr="00F61D2F">
        <w:t>The use of AI in financial management opens significant ethical and professional demands. Unsecured AI systems should not receive confidential or commercially sensitive information as it can pose a risk to privacy and data-governance. It also needs to be transparent to assure stakeholders of a time when AI has been used to make analysis. AI can result in bias, misunderstand accounting categories or create fake data, which is accountant-responsible (</w:t>
      </w:r>
      <w:proofErr w:type="spellStart"/>
      <w:r w:rsidRPr="00F61D2F">
        <w:t>Ridzuan</w:t>
      </w:r>
      <w:proofErr w:type="spellEnd"/>
      <w:r w:rsidRPr="00F61D2F">
        <w:t xml:space="preserve"> et al., 2024). It is especially perilous at the executive level, since the decisions made in restructuring and investment policies have an impact on the shareholders, employees and communities. To have responsible financial AI utilization, it is thus necessary to have human supervision, independent checking and proper documentation of decision making.</w:t>
      </w:r>
    </w:p>
    <w:p w14:paraId="3C5FEE0E" w14:textId="77777777" w:rsidR="00AD2731" w:rsidRPr="00F61D2F" w:rsidRDefault="0000313C">
      <w:pPr>
        <w:pStyle w:val="Heading1"/>
        <w:spacing w:before="200" w:after="200"/>
      </w:pPr>
      <w:bookmarkStart w:id="32" w:name="_Toc235041191"/>
      <w:r w:rsidRPr="00F61D2F">
        <w:t>Conclusion</w:t>
      </w:r>
      <w:bookmarkEnd w:id="32"/>
    </w:p>
    <w:p w14:paraId="473C68B3" w14:textId="21CEBB0D" w:rsidR="00AD2731" w:rsidRPr="00F61D2F" w:rsidRDefault="0000313C">
      <w:pPr>
        <w:spacing w:before="200" w:after="200"/>
      </w:pPr>
      <w:r w:rsidRPr="00F61D2F">
        <w:t xml:space="preserve">Whitbread exhibited a post-pandemic recovery, with its 2025 performance showing deteriorating profitability, decreasing liquidity, increasing liabilities and decreasing interest-cover protection. The negative cash operating cycle can be seen as a beneficial factor whilst the rapid supplier payments and the larger current liabilities compared to current assets demand working-capital management. To enhance the flexibility, it is advised to do debt refinancing, asset sales and restrained dividend payments. Project C is acceptable since it has a positive NPV, PI of more than one and IRR of over the required return. Whitbread ought to under capital rationing only </w:t>
      </w:r>
      <w:r w:rsidR="00DA1B6F" w:rsidRPr="00F61D2F">
        <w:t>invests</w:t>
      </w:r>
      <w:r w:rsidRPr="00F61D2F">
        <w:t xml:space="preserve"> in Project C expenditure with a capital of £50 million </w:t>
      </w:r>
      <w:r w:rsidR="00DA1B6F" w:rsidRPr="00F61D2F">
        <w:t>dollars and</w:t>
      </w:r>
      <w:r w:rsidRPr="00F61D2F">
        <w:t xml:space="preserve"> leave the rest of the money in liquidity securities.</w:t>
      </w:r>
      <w:r w:rsidRPr="00F61D2F">
        <w:br w:type="page"/>
      </w:r>
    </w:p>
    <w:p w14:paraId="73897E28" w14:textId="77777777" w:rsidR="00AD2731" w:rsidRPr="00F61D2F" w:rsidRDefault="0000313C">
      <w:pPr>
        <w:pStyle w:val="Heading1"/>
      </w:pPr>
      <w:bookmarkStart w:id="33" w:name="_Toc235041192"/>
      <w:r w:rsidRPr="00F61D2F">
        <w:t>References</w:t>
      </w:r>
      <w:bookmarkEnd w:id="33"/>
      <w:r w:rsidRPr="00F61D2F">
        <w:t xml:space="preserve"> </w:t>
      </w:r>
    </w:p>
    <w:p w14:paraId="7CB9AA48" w14:textId="77777777" w:rsidR="00AD2731" w:rsidRPr="00F61D2F" w:rsidRDefault="0000313C">
      <w:pPr>
        <w:spacing w:before="200" w:after="200"/>
      </w:pPr>
      <w:r w:rsidRPr="00F61D2F">
        <w:t xml:space="preserve">Whitbread. 2021. </w:t>
      </w:r>
      <w:r w:rsidRPr="00F61D2F">
        <w:rPr>
          <w:i/>
          <w:iCs/>
        </w:rPr>
        <w:t>Whitbread PLC Annual Report and Accounts 2020/21</w:t>
      </w:r>
      <w:r w:rsidRPr="00F61D2F">
        <w:t xml:space="preserve">. </w:t>
      </w:r>
      <w:hyperlink r:id="rId6">
        <w:r w:rsidR="00AD2731" w:rsidRPr="00F61D2F">
          <w:rPr>
            <w:color w:val="1155CC"/>
            <w:u w:val="single"/>
          </w:rPr>
          <w:t>https://www.annualreports.com/HostedData/AnnualReportArchive/w/LSE_WTB_2021.pdf</w:t>
        </w:r>
      </w:hyperlink>
      <w:r w:rsidRPr="00F61D2F">
        <w:t xml:space="preserve"> </w:t>
      </w:r>
    </w:p>
    <w:p w14:paraId="79C67FC4" w14:textId="77777777" w:rsidR="00AD2731" w:rsidRPr="00F61D2F" w:rsidRDefault="0000313C">
      <w:pPr>
        <w:spacing w:before="200" w:after="200"/>
      </w:pPr>
      <w:r w:rsidRPr="00F61D2F">
        <w:t xml:space="preserve">Whitbread. 2024. </w:t>
      </w:r>
      <w:r w:rsidRPr="00F61D2F">
        <w:rPr>
          <w:i/>
          <w:iCs/>
        </w:rPr>
        <w:t>Whitbread PLC Annual Report and Accounts 2023/24</w:t>
      </w:r>
      <w:r w:rsidRPr="00F61D2F">
        <w:t xml:space="preserve">. </w:t>
      </w:r>
      <w:hyperlink r:id="rId7">
        <w:r w:rsidR="00AD2731" w:rsidRPr="00F61D2F">
          <w:rPr>
            <w:color w:val="1155CC"/>
            <w:u w:val="single"/>
          </w:rPr>
          <w:t>https://www.annualreports.com/HostedData/AnnualReportArchive/w/LSE_WTB_2024.pdf</w:t>
        </w:r>
      </w:hyperlink>
      <w:r w:rsidRPr="00F61D2F">
        <w:t xml:space="preserve"> </w:t>
      </w:r>
    </w:p>
    <w:p w14:paraId="4F208CE5" w14:textId="77777777" w:rsidR="00AD2731" w:rsidRPr="00F61D2F" w:rsidRDefault="0000313C">
      <w:pPr>
        <w:spacing w:before="200" w:after="200"/>
      </w:pPr>
      <w:r w:rsidRPr="00F61D2F">
        <w:t xml:space="preserve">Whitbread. 2022. </w:t>
      </w:r>
      <w:r w:rsidRPr="00F61D2F">
        <w:rPr>
          <w:i/>
          <w:iCs/>
        </w:rPr>
        <w:t>Whitbread PLC Annual Report and Accounts 2021/22</w:t>
      </w:r>
      <w:r w:rsidRPr="00F61D2F">
        <w:t xml:space="preserve">. </w:t>
      </w:r>
      <w:hyperlink r:id="rId8">
        <w:r w:rsidR="00AD2731" w:rsidRPr="00F61D2F">
          <w:rPr>
            <w:color w:val="1155CC"/>
            <w:u w:val="single"/>
          </w:rPr>
          <w:t>https://www.annualreports.com/HostedData/AnnualReportArchive/w/LSE_WTB_2022.pdf</w:t>
        </w:r>
      </w:hyperlink>
      <w:r w:rsidRPr="00F61D2F">
        <w:t xml:space="preserve"> </w:t>
      </w:r>
    </w:p>
    <w:p w14:paraId="2ECA0F6C" w14:textId="77777777" w:rsidR="00AD2731" w:rsidRPr="00F61D2F" w:rsidRDefault="0000313C">
      <w:pPr>
        <w:spacing w:before="200" w:after="200"/>
      </w:pPr>
      <w:r w:rsidRPr="00F61D2F">
        <w:t xml:space="preserve">Whitbread. 2023. </w:t>
      </w:r>
      <w:r w:rsidRPr="00F61D2F">
        <w:rPr>
          <w:i/>
          <w:iCs/>
        </w:rPr>
        <w:t>Whitbread PLC Annual Report and Accounts 2022/23</w:t>
      </w:r>
      <w:r w:rsidRPr="00F61D2F">
        <w:t xml:space="preserve">. </w:t>
      </w:r>
      <w:hyperlink r:id="rId9">
        <w:r w:rsidR="00AD2731" w:rsidRPr="00F61D2F">
          <w:rPr>
            <w:color w:val="1155CC"/>
            <w:u w:val="single"/>
          </w:rPr>
          <w:t>https://www.annualreports.com/HostedData/AnnualReportArchive/w/LSE_WTB_2023.pdf</w:t>
        </w:r>
      </w:hyperlink>
      <w:r w:rsidRPr="00F61D2F">
        <w:t xml:space="preserve"> </w:t>
      </w:r>
    </w:p>
    <w:p w14:paraId="18BE8119" w14:textId="77777777" w:rsidR="00AD2731" w:rsidRPr="00F61D2F" w:rsidRDefault="0000313C">
      <w:pPr>
        <w:spacing w:before="200" w:after="200"/>
      </w:pPr>
      <w:r w:rsidRPr="00F61D2F">
        <w:t xml:space="preserve">Whitbread. 2025. </w:t>
      </w:r>
      <w:r w:rsidRPr="00F61D2F">
        <w:rPr>
          <w:i/>
          <w:iCs/>
        </w:rPr>
        <w:t>Whitbread PLC Annual Report and Accounts 2024/25</w:t>
      </w:r>
      <w:r w:rsidRPr="00F61D2F">
        <w:t xml:space="preserve">. </w:t>
      </w:r>
      <w:hyperlink r:id="rId10">
        <w:r w:rsidR="00AD2731" w:rsidRPr="00F61D2F">
          <w:rPr>
            <w:color w:val="1155CC"/>
            <w:u w:val="single"/>
          </w:rPr>
          <w:t>https://www.annualreports.com/HostedData/AnnualReports/PDF/LSE_WTB_2025.pdf</w:t>
        </w:r>
      </w:hyperlink>
      <w:r w:rsidRPr="00F61D2F">
        <w:t xml:space="preserve"> </w:t>
      </w:r>
    </w:p>
    <w:p w14:paraId="5F6B4DE8" w14:textId="77777777" w:rsidR="00AD2731" w:rsidRPr="00F61D2F" w:rsidRDefault="0000313C">
      <w:pPr>
        <w:spacing w:before="200" w:after="200"/>
      </w:pPr>
      <w:r w:rsidRPr="00F61D2F">
        <w:rPr>
          <w:highlight w:val="white"/>
        </w:rPr>
        <w:t xml:space="preserve">Aksoy, L., Choi, S., </w:t>
      </w:r>
      <w:proofErr w:type="spellStart"/>
      <w:r w:rsidRPr="00F61D2F">
        <w:rPr>
          <w:highlight w:val="white"/>
        </w:rPr>
        <w:t>Dogru</w:t>
      </w:r>
      <w:proofErr w:type="spellEnd"/>
      <w:r w:rsidRPr="00F61D2F">
        <w:rPr>
          <w:highlight w:val="white"/>
        </w:rPr>
        <w:t xml:space="preserve">, T., </w:t>
      </w:r>
      <w:proofErr w:type="spellStart"/>
      <w:r w:rsidRPr="00F61D2F">
        <w:rPr>
          <w:highlight w:val="white"/>
        </w:rPr>
        <w:t>Keiningham</w:t>
      </w:r>
      <w:proofErr w:type="spellEnd"/>
      <w:r w:rsidRPr="00F61D2F">
        <w:rPr>
          <w:highlight w:val="white"/>
        </w:rPr>
        <w:t xml:space="preserve">, T., Lorenz, M., Rubin, D. and Tracey, J.B., 2022. Global trends in hospitality. </w:t>
      </w:r>
      <w:r w:rsidRPr="00F61D2F">
        <w:rPr>
          <w:i/>
          <w:iCs/>
          <w:highlight w:val="white"/>
        </w:rPr>
        <w:t>Journal of Business Research</w:t>
      </w:r>
      <w:r w:rsidRPr="00F61D2F">
        <w:rPr>
          <w:highlight w:val="white"/>
        </w:rPr>
        <w:t xml:space="preserve">, </w:t>
      </w:r>
      <w:r w:rsidRPr="00F61D2F">
        <w:rPr>
          <w:i/>
          <w:iCs/>
          <w:highlight w:val="white"/>
        </w:rPr>
        <w:t>142</w:t>
      </w:r>
      <w:r w:rsidRPr="00F61D2F">
        <w:rPr>
          <w:highlight w:val="white"/>
        </w:rPr>
        <w:t>, pp.957-973.</w:t>
      </w:r>
      <w:r w:rsidRPr="00F61D2F">
        <w:t xml:space="preserve"> </w:t>
      </w:r>
      <w:hyperlink r:id="rId11">
        <w:r w:rsidR="00AD2731" w:rsidRPr="00F61D2F">
          <w:rPr>
            <w:color w:val="1155CC"/>
            <w:u w:val="single"/>
          </w:rPr>
          <w:t>https://pmc.ncbi.nlm.nih.gov/articles/PMC9754751/pdf/main.pdf</w:t>
        </w:r>
      </w:hyperlink>
      <w:r w:rsidRPr="00F61D2F">
        <w:t xml:space="preserve"> </w:t>
      </w:r>
    </w:p>
    <w:p w14:paraId="3298B578" w14:textId="77777777" w:rsidR="00AD2731" w:rsidRPr="00F61D2F" w:rsidRDefault="0000313C">
      <w:pPr>
        <w:spacing w:before="200" w:after="200"/>
      </w:pPr>
      <w:r w:rsidRPr="00F61D2F">
        <w:rPr>
          <w:highlight w:val="white"/>
        </w:rPr>
        <w:t xml:space="preserve">Nguyen, L.T.M., Le, D., Vu, K.T. and Tran, T.K., 2023. The role of capital structure management in maintaining the financial stability of hotel firms during the pandemic—A global investigation. </w:t>
      </w:r>
      <w:r w:rsidRPr="00F61D2F">
        <w:rPr>
          <w:i/>
          <w:iCs/>
          <w:highlight w:val="white"/>
        </w:rPr>
        <w:t>International Journal of Hospitality Management</w:t>
      </w:r>
      <w:r w:rsidRPr="00F61D2F">
        <w:rPr>
          <w:highlight w:val="white"/>
        </w:rPr>
        <w:t xml:space="preserve">, </w:t>
      </w:r>
      <w:r w:rsidRPr="00F61D2F">
        <w:rPr>
          <w:i/>
          <w:iCs/>
          <w:highlight w:val="white"/>
        </w:rPr>
        <w:t>109</w:t>
      </w:r>
      <w:r w:rsidRPr="00F61D2F">
        <w:rPr>
          <w:highlight w:val="white"/>
        </w:rPr>
        <w:t>, p.103366.</w:t>
      </w:r>
      <w:r w:rsidRPr="00F61D2F">
        <w:t xml:space="preserve"> </w:t>
      </w:r>
      <w:hyperlink r:id="rId12">
        <w:r w:rsidR="00AD2731" w:rsidRPr="00F61D2F">
          <w:rPr>
            <w:color w:val="1155CC"/>
            <w:u w:val="single"/>
          </w:rPr>
          <w:t>https://pmc.ncbi.nlm.nih.gov/articles/PMC9683742/pdf/main.pdf</w:t>
        </w:r>
      </w:hyperlink>
      <w:r w:rsidRPr="00F61D2F">
        <w:t xml:space="preserve"> </w:t>
      </w:r>
    </w:p>
    <w:p w14:paraId="27767D8F" w14:textId="77777777" w:rsidR="00AD2731" w:rsidRPr="00F61D2F" w:rsidRDefault="0000313C">
      <w:pPr>
        <w:spacing w:before="200" w:after="200"/>
      </w:pPr>
      <w:r w:rsidRPr="00F61D2F">
        <w:rPr>
          <w:highlight w:val="white"/>
        </w:rPr>
        <w:t xml:space="preserve">García-Gómez, C.D., Demir, E., Díez-Esteban, J.M. and </w:t>
      </w:r>
      <w:proofErr w:type="spellStart"/>
      <w:r w:rsidRPr="00F61D2F">
        <w:rPr>
          <w:highlight w:val="white"/>
        </w:rPr>
        <w:t>Popesko</w:t>
      </w:r>
      <w:proofErr w:type="spellEnd"/>
      <w:r w:rsidRPr="00F61D2F">
        <w:rPr>
          <w:highlight w:val="white"/>
        </w:rPr>
        <w:t xml:space="preserve">, B., 2023. Investment inefficiency in the hospitality industry: The role of economic policy uncertainty. </w:t>
      </w:r>
      <w:r w:rsidRPr="00F61D2F">
        <w:rPr>
          <w:i/>
          <w:iCs/>
          <w:highlight w:val="white"/>
        </w:rPr>
        <w:t>Journal of Hospitality and Tourism Management</w:t>
      </w:r>
      <w:r w:rsidRPr="00F61D2F">
        <w:rPr>
          <w:highlight w:val="white"/>
        </w:rPr>
        <w:t xml:space="preserve">, </w:t>
      </w:r>
      <w:r w:rsidRPr="00F61D2F">
        <w:rPr>
          <w:i/>
          <w:iCs/>
          <w:highlight w:val="white"/>
        </w:rPr>
        <w:t>54</w:t>
      </w:r>
      <w:r w:rsidRPr="00F61D2F">
        <w:rPr>
          <w:highlight w:val="white"/>
        </w:rPr>
        <w:t>, pp.383-391.</w:t>
      </w:r>
      <w:r w:rsidRPr="00F61D2F">
        <w:t xml:space="preserve"> </w:t>
      </w:r>
      <w:hyperlink r:id="rId13">
        <w:r w:rsidR="00AD2731" w:rsidRPr="00F61D2F">
          <w:rPr>
            <w:color w:val="1155CC"/>
            <w:u w:val="single"/>
          </w:rPr>
          <w:t>https://thuvienso.hoasen.edu.vn/server/api/core/bitstreams/3e0b2046-b671-4156-9ca0-c8353e537d51/content</w:t>
        </w:r>
      </w:hyperlink>
      <w:r w:rsidRPr="00F61D2F">
        <w:t xml:space="preserve"> </w:t>
      </w:r>
    </w:p>
    <w:p w14:paraId="07BB9CF0" w14:textId="77777777" w:rsidR="00AD2731" w:rsidRPr="00F61D2F" w:rsidRDefault="0000313C">
      <w:pPr>
        <w:spacing w:before="200" w:after="200"/>
      </w:pPr>
      <w:r w:rsidRPr="00F61D2F">
        <w:rPr>
          <w:highlight w:val="white"/>
        </w:rPr>
        <w:t xml:space="preserve">Ozdemir, O., </w:t>
      </w:r>
      <w:proofErr w:type="spellStart"/>
      <w:r w:rsidRPr="00F61D2F">
        <w:rPr>
          <w:highlight w:val="white"/>
        </w:rPr>
        <w:t>Erkmen</w:t>
      </w:r>
      <w:proofErr w:type="spellEnd"/>
      <w:r w:rsidRPr="00F61D2F">
        <w:rPr>
          <w:highlight w:val="white"/>
        </w:rPr>
        <w:t xml:space="preserve">, E. and Han, W., 2023. EPU and financial performance in the hospitality and tourism industry: Moderating effect of CSR, institutional ownership and cash holding. </w:t>
      </w:r>
      <w:r w:rsidRPr="00F61D2F">
        <w:rPr>
          <w:i/>
          <w:iCs/>
          <w:highlight w:val="white"/>
        </w:rPr>
        <w:t>Tourism Management</w:t>
      </w:r>
      <w:r w:rsidRPr="00F61D2F">
        <w:rPr>
          <w:highlight w:val="white"/>
        </w:rPr>
        <w:t xml:space="preserve">, </w:t>
      </w:r>
      <w:r w:rsidRPr="00F61D2F">
        <w:rPr>
          <w:i/>
          <w:iCs/>
          <w:highlight w:val="white"/>
        </w:rPr>
        <w:t>98</w:t>
      </w:r>
      <w:r w:rsidRPr="00F61D2F">
        <w:rPr>
          <w:highlight w:val="white"/>
        </w:rPr>
        <w:t>, p.104769.</w:t>
      </w:r>
      <w:r w:rsidRPr="00F61D2F">
        <w:t xml:space="preserve"> </w:t>
      </w:r>
      <w:hyperlink r:id="rId14">
        <w:r w:rsidR="00AD2731" w:rsidRPr="00F61D2F">
          <w:rPr>
            <w:color w:val="1155CC"/>
            <w:u w:val="single"/>
          </w:rPr>
          <w:t>https://www.sciencedirect.com/science/article/pii/S0261517723000511</w:t>
        </w:r>
      </w:hyperlink>
      <w:r w:rsidRPr="00F61D2F">
        <w:t xml:space="preserve"> </w:t>
      </w:r>
    </w:p>
    <w:p w14:paraId="43804953" w14:textId="77777777" w:rsidR="00AD2731" w:rsidRPr="00F61D2F" w:rsidRDefault="0000313C">
      <w:pPr>
        <w:spacing w:before="200" w:after="200"/>
      </w:pPr>
      <w:r w:rsidRPr="00F61D2F">
        <w:rPr>
          <w:highlight w:val="white"/>
        </w:rPr>
        <w:t xml:space="preserve">Poretti, C., Jérôme, T. and Das, P., 2024. Plural form business strategy and financial reporting quality in hospitality firms. </w:t>
      </w:r>
      <w:r w:rsidRPr="00F61D2F">
        <w:rPr>
          <w:i/>
          <w:iCs/>
          <w:highlight w:val="white"/>
        </w:rPr>
        <w:t>Journal of Hospitality and Tourism Management</w:t>
      </w:r>
      <w:r w:rsidRPr="00F61D2F">
        <w:rPr>
          <w:highlight w:val="white"/>
        </w:rPr>
        <w:t xml:space="preserve">, </w:t>
      </w:r>
      <w:r w:rsidRPr="00F61D2F">
        <w:rPr>
          <w:i/>
          <w:iCs/>
          <w:highlight w:val="white"/>
        </w:rPr>
        <w:t>59</w:t>
      </w:r>
      <w:r w:rsidRPr="00F61D2F">
        <w:rPr>
          <w:highlight w:val="white"/>
        </w:rPr>
        <w:t>, pp.60-69.</w:t>
      </w:r>
      <w:r w:rsidRPr="00F61D2F">
        <w:t xml:space="preserve"> </w:t>
      </w:r>
      <w:hyperlink r:id="rId15">
        <w:r w:rsidR="00AD2731" w:rsidRPr="00F61D2F">
          <w:rPr>
            <w:color w:val="1155CC"/>
            <w:u w:val="single"/>
          </w:rPr>
          <w:t>https://arodes.hes-so.ch/record/14936/files/Poretti_2024_Plural_form_business_strategy.pdf</w:t>
        </w:r>
      </w:hyperlink>
      <w:r w:rsidRPr="00F61D2F">
        <w:t xml:space="preserve"> </w:t>
      </w:r>
    </w:p>
    <w:p w14:paraId="2B89E074" w14:textId="77777777" w:rsidR="00AD2731" w:rsidRPr="00F61D2F" w:rsidRDefault="0000313C">
      <w:pPr>
        <w:spacing w:before="200" w:after="200"/>
      </w:pPr>
      <w:r w:rsidRPr="00F61D2F">
        <w:rPr>
          <w:highlight w:val="white"/>
        </w:rPr>
        <w:t xml:space="preserve">He, Y., Qi, R., So, K.K.F. and Li, Y., 2024. Which ESG dimensions matter in the hotel industry? Evidence from the cost of debt. </w:t>
      </w:r>
      <w:r w:rsidRPr="00F61D2F">
        <w:rPr>
          <w:i/>
          <w:iCs/>
          <w:highlight w:val="white"/>
        </w:rPr>
        <w:t>International Journal of Hospitality Management</w:t>
      </w:r>
      <w:r w:rsidRPr="00F61D2F">
        <w:rPr>
          <w:highlight w:val="white"/>
        </w:rPr>
        <w:t xml:space="preserve">, </w:t>
      </w:r>
      <w:r w:rsidRPr="00F61D2F">
        <w:rPr>
          <w:i/>
          <w:iCs/>
          <w:highlight w:val="white"/>
        </w:rPr>
        <w:t>122</w:t>
      </w:r>
      <w:r w:rsidRPr="00F61D2F">
        <w:rPr>
          <w:highlight w:val="white"/>
        </w:rPr>
        <w:t>, p.103866.</w:t>
      </w:r>
      <w:r w:rsidRPr="00F61D2F">
        <w:t xml:space="preserve"> </w:t>
      </w:r>
      <w:hyperlink r:id="rId16">
        <w:r w:rsidR="00AD2731" w:rsidRPr="00F61D2F">
          <w:rPr>
            <w:color w:val="1155CC"/>
            <w:u w:val="single"/>
          </w:rPr>
          <w:t>https://www.sciencedirect.com/science/article/pii/S0278431924001786</w:t>
        </w:r>
      </w:hyperlink>
      <w:r w:rsidRPr="00F61D2F">
        <w:t xml:space="preserve"> </w:t>
      </w:r>
    </w:p>
    <w:p w14:paraId="637479CF" w14:textId="77777777" w:rsidR="00AD2731" w:rsidRPr="00F61D2F" w:rsidRDefault="0000313C">
      <w:pPr>
        <w:spacing w:before="200" w:after="200"/>
        <w:rPr>
          <w:b/>
          <w:bCs/>
        </w:rPr>
      </w:pPr>
      <w:r w:rsidRPr="00F61D2F">
        <w:rPr>
          <w:highlight w:val="white"/>
        </w:rPr>
        <w:t xml:space="preserve">Kim, Y.R. and Lin, S.C., 2024. Rooms versus F&amp;B: How changes in operations contribute to hotel productivity. </w:t>
      </w:r>
      <w:r w:rsidRPr="00F61D2F">
        <w:rPr>
          <w:i/>
          <w:iCs/>
          <w:highlight w:val="white"/>
        </w:rPr>
        <w:t>Annals of Tourism Research Empirical Insights</w:t>
      </w:r>
      <w:r w:rsidRPr="00F61D2F">
        <w:rPr>
          <w:highlight w:val="white"/>
        </w:rPr>
        <w:t xml:space="preserve">, </w:t>
      </w:r>
      <w:r w:rsidRPr="00F61D2F">
        <w:rPr>
          <w:i/>
          <w:iCs/>
          <w:highlight w:val="white"/>
        </w:rPr>
        <w:t>5</w:t>
      </w:r>
      <w:r w:rsidRPr="00F61D2F">
        <w:rPr>
          <w:highlight w:val="white"/>
        </w:rPr>
        <w:t>(2), p.100153.</w:t>
      </w:r>
      <w:r w:rsidRPr="00F61D2F">
        <w:t xml:space="preserve"> </w:t>
      </w:r>
      <w:hyperlink r:id="rId17">
        <w:r w:rsidR="00AD2731" w:rsidRPr="00F61D2F">
          <w:rPr>
            <w:color w:val="1155CC"/>
            <w:u w:val="single"/>
          </w:rPr>
          <w:t>https://www.sciencedirect.com/science/article/pii/S2666957924000351</w:t>
        </w:r>
      </w:hyperlink>
      <w:r w:rsidRPr="00F61D2F">
        <w:t xml:space="preserve"> </w:t>
      </w:r>
    </w:p>
    <w:p w14:paraId="0671F8D5" w14:textId="77777777" w:rsidR="00AD2731" w:rsidRPr="00F61D2F" w:rsidRDefault="0000313C">
      <w:pPr>
        <w:spacing w:before="200" w:after="200"/>
      </w:pPr>
      <w:r w:rsidRPr="00F61D2F">
        <w:rPr>
          <w:highlight w:val="white"/>
        </w:rPr>
        <w:t xml:space="preserve">Blanco-Moreno, S., Aydemir-Dev, M., Santos, C.R. and </w:t>
      </w:r>
      <w:proofErr w:type="spellStart"/>
      <w:r w:rsidRPr="00F61D2F">
        <w:rPr>
          <w:highlight w:val="white"/>
        </w:rPr>
        <w:t>Bayram-Arlı</w:t>
      </w:r>
      <w:proofErr w:type="spellEnd"/>
      <w:r w:rsidRPr="00F61D2F">
        <w:rPr>
          <w:highlight w:val="white"/>
        </w:rPr>
        <w:t xml:space="preserve">, N., 2025. Emerging sustainability themes in the hospitality sector: A bibliometric analysis. </w:t>
      </w:r>
      <w:r w:rsidRPr="00F61D2F">
        <w:rPr>
          <w:i/>
          <w:iCs/>
          <w:highlight w:val="white"/>
        </w:rPr>
        <w:t>European Research on Management and Business Economics</w:t>
      </w:r>
      <w:r w:rsidRPr="00F61D2F">
        <w:rPr>
          <w:highlight w:val="white"/>
        </w:rPr>
        <w:t xml:space="preserve">, </w:t>
      </w:r>
      <w:r w:rsidRPr="00F61D2F">
        <w:rPr>
          <w:i/>
          <w:iCs/>
          <w:highlight w:val="white"/>
        </w:rPr>
        <w:t>31</w:t>
      </w:r>
      <w:r w:rsidRPr="00F61D2F">
        <w:rPr>
          <w:highlight w:val="white"/>
        </w:rPr>
        <w:t>(1), p.100272.</w:t>
      </w:r>
      <w:r w:rsidRPr="00F61D2F">
        <w:t xml:space="preserve"> </w:t>
      </w:r>
      <w:hyperlink r:id="rId18">
        <w:r w:rsidR="00AD2731" w:rsidRPr="00F61D2F">
          <w:rPr>
            <w:color w:val="1155CC"/>
            <w:u w:val="single"/>
          </w:rPr>
          <w:t>https://www.sciencedirect.com/science/article/pii/S244488342500004X</w:t>
        </w:r>
      </w:hyperlink>
      <w:r w:rsidRPr="00F61D2F">
        <w:t xml:space="preserve"> </w:t>
      </w:r>
    </w:p>
    <w:p w14:paraId="5D63B5CE" w14:textId="77777777" w:rsidR="00AD2731" w:rsidRPr="00F61D2F" w:rsidRDefault="0000313C">
      <w:pPr>
        <w:spacing w:before="200" w:after="200"/>
      </w:pPr>
      <w:r w:rsidRPr="00F61D2F">
        <w:rPr>
          <w:highlight w:val="white"/>
        </w:rPr>
        <w:t xml:space="preserve">Habib, A.M. and Kayani, U.N., 2023, April. Evaluating the super-efficiency of working capital management using data envelopment analysis: does COVID-19 matter?. In </w:t>
      </w:r>
      <w:r w:rsidRPr="00F61D2F">
        <w:rPr>
          <w:i/>
          <w:iCs/>
          <w:highlight w:val="white"/>
        </w:rPr>
        <w:t>Operations research forum</w:t>
      </w:r>
      <w:r w:rsidRPr="00F61D2F">
        <w:rPr>
          <w:highlight w:val="white"/>
        </w:rPr>
        <w:t xml:space="preserve"> (Vol. 4, No. 2, p. 40). Cham: Springer International Publishing.</w:t>
      </w:r>
      <w:r w:rsidRPr="00F61D2F">
        <w:t xml:space="preserve"> </w:t>
      </w:r>
      <w:hyperlink r:id="rId19">
        <w:r w:rsidR="00AD2731" w:rsidRPr="00F61D2F">
          <w:rPr>
            <w:color w:val="1155CC"/>
            <w:u w:val="single"/>
          </w:rPr>
          <w:t>https://link.springer.com/content/pdf/10.1007/s43069-023-00217-4.pdf</w:t>
        </w:r>
      </w:hyperlink>
      <w:r w:rsidRPr="00F61D2F">
        <w:t xml:space="preserve"> </w:t>
      </w:r>
    </w:p>
    <w:p w14:paraId="5542830A" w14:textId="77777777" w:rsidR="00AD2731" w:rsidRPr="00F61D2F" w:rsidRDefault="0000313C">
      <w:pPr>
        <w:spacing w:before="200" w:after="200"/>
      </w:pPr>
      <w:r w:rsidRPr="00F61D2F">
        <w:rPr>
          <w:highlight w:val="white"/>
        </w:rPr>
        <w:t>Mansilla-Fernández, J.M. and Milgram-</w:t>
      </w:r>
      <w:proofErr w:type="spellStart"/>
      <w:r w:rsidRPr="00F61D2F">
        <w:rPr>
          <w:highlight w:val="white"/>
        </w:rPr>
        <w:t>Baleix</w:t>
      </w:r>
      <w:proofErr w:type="spellEnd"/>
      <w:r w:rsidRPr="00F61D2F">
        <w:rPr>
          <w:highlight w:val="white"/>
        </w:rPr>
        <w:t xml:space="preserve">, J., 2023. Working capital management, financial constraints and exports: evidence from European and US manufacturers. </w:t>
      </w:r>
      <w:r w:rsidRPr="00F61D2F">
        <w:rPr>
          <w:i/>
          <w:iCs/>
          <w:highlight w:val="white"/>
        </w:rPr>
        <w:t>Empirical Economics</w:t>
      </w:r>
      <w:r w:rsidRPr="00F61D2F">
        <w:rPr>
          <w:highlight w:val="white"/>
        </w:rPr>
        <w:t xml:space="preserve">, </w:t>
      </w:r>
      <w:r w:rsidRPr="00F61D2F">
        <w:rPr>
          <w:i/>
          <w:iCs/>
          <w:highlight w:val="white"/>
        </w:rPr>
        <w:t>64</w:t>
      </w:r>
      <w:r w:rsidRPr="00F61D2F">
        <w:rPr>
          <w:highlight w:val="white"/>
        </w:rPr>
        <w:t>(4), pp.1769-1810.</w:t>
      </w:r>
      <w:r w:rsidRPr="00F61D2F">
        <w:t xml:space="preserve"> </w:t>
      </w:r>
      <w:hyperlink r:id="rId20">
        <w:r w:rsidR="00AD2731" w:rsidRPr="00F61D2F">
          <w:rPr>
            <w:color w:val="1155CC"/>
            <w:u w:val="single"/>
          </w:rPr>
          <w:t>https://link.springer.com/content/pdf/10.1007/s00181-022-02295-5.pdf</w:t>
        </w:r>
      </w:hyperlink>
      <w:r w:rsidRPr="00F61D2F">
        <w:t xml:space="preserve"> </w:t>
      </w:r>
    </w:p>
    <w:p w14:paraId="73AA035A" w14:textId="77777777" w:rsidR="00AD2731" w:rsidRPr="00F61D2F" w:rsidRDefault="0000313C">
      <w:pPr>
        <w:spacing w:before="200" w:after="200"/>
      </w:pPr>
      <w:r w:rsidRPr="00F61D2F">
        <w:rPr>
          <w:highlight w:val="white"/>
        </w:rPr>
        <w:t xml:space="preserve">Berg, T., Gustafsson, E. and Wahlstrøm, R.R., 2024. Cost management and working capital management: Ebony and ivory in perfect harmony?. </w:t>
      </w:r>
      <w:r w:rsidRPr="00F61D2F">
        <w:rPr>
          <w:i/>
          <w:iCs/>
          <w:highlight w:val="white"/>
        </w:rPr>
        <w:t>Journal of Management Control</w:t>
      </w:r>
      <w:r w:rsidRPr="00F61D2F">
        <w:rPr>
          <w:highlight w:val="white"/>
        </w:rPr>
        <w:t xml:space="preserve">, </w:t>
      </w:r>
      <w:r w:rsidRPr="00F61D2F">
        <w:rPr>
          <w:i/>
          <w:iCs/>
          <w:highlight w:val="white"/>
        </w:rPr>
        <w:t>35</w:t>
      </w:r>
      <w:r w:rsidRPr="00F61D2F">
        <w:rPr>
          <w:highlight w:val="white"/>
        </w:rPr>
        <w:t>(2), pp.207-233.</w:t>
      </w:r>
      <w:hyperlink r:id="rId21">
        <w:r w:rsidR="00AD2731" w:rsidRPr="00F61D2F">
          <w:rPr>
            <w:color w:val="1155CC"/>
            <w:u w:val="single"/>
          </w:rPr>
          <w:t>https://d-nb.info/133081567X/34</w:t>
        </w:r>
      </w:hyperlink>
      <w:r w:rsidRPr="00F61D2F">
        <w:t xml:space="preserve"> </w:t>
      </w:r>
    </w:p>
    <w:p w14:paraId="5C4F830A" w14:textId="77777777" w:rsidR="00AD2731" w:rsidRPr="00F61D2F" w:rsidRDefault="0000313C">
      <w:pPr>
        <w:spacing w:before="200" w:after="200"/>
      </w:pPr>
      <w:r w:rsidRPr="00F61D2F">
        <w:rPr>
          <w:highlight w:val="white"/>
        </w:rPr>
        <w:t xml:space="preserve">Nam, N.H.P. and Tuyen, T.T.M., 2024. Impact of liquidity on capital structure and financial performance of non-financial-listed companies in the Vietnam stock market. </w:t>
      </w:r>
      <w:r w:rsidRPr="00F61D2F">
        <w:rPr>
          <w:i/>
          <w:iCs/>
          <w:highlight w:val="white"/>
        </w:rPr>
        <w:t>Future Business Journal</w:t>
      </w:r>
      <w:r w:rsidRPr="00F61D2F">
        <w:rPr>
          <w:highlight w:val="white"/>
        </w:rPr>
        <w:t xml:space="preserve">, </w:t>
      </w:r>
      <w:r w:rsidRPr="00F61D2F">
        <w:rPr>
          <w:i/>
          <w:iCs/>
          <w:highlight w:val="white"/>
        </w:rPr>
        <w:t>10</w:t>
      </w:r>
      <w:r w:rsidRPr="00F61D2F">
        <w:rPr>
          <w:highlight w:val="white"/>
        </w:rPr>
        <w:t>(1), p.126.</w:t>
      </w:r>
      <w:r w:rsidRPr="00F61D2F">
        <w:t xml:space="preserve"> </w:t>
      </w:r>
      <w:hyperlink r:id="rId22">
        <w:r w:rsidR="00AD2731" w:rsidRPr="00F61D2F">
          <w:rPr>
            <w:color w:val="1155CC"/>
            <w:u w:val="single"/>
          </w:rPr>
          <w:t>https://link.springer.com/content/pdf/10.1186/s43093-024-00412-7.pdf</w:t>
        </w:r>
      </w:hyperlink>
      <w:r w:rsidRPr="00F61D2F">
        <w:t xml:space="preserve"> </w:t>
      </w:r>
    </w:p>
    <w:p w14:paraId="7162ED79" w14:textId="77777777" w:rsidR="00AD2731" w:rsidRPr="00F61D2F" w:rsidRDefault="0000313C">
      <w:pPr>
        <w:spacing w:before="200" w:after="200"/>
      </w:pPr>
      <w:proofErr w:type="spellStart"/>
      <w:r w:rsidRPr="00F61D2F">
        <w:rPr>
          <w:highlight w:val="white"/>
        </w:rPr>
        <w:t>Valiña</w:t>
      </w:r>
      <w:proofErr w:type="spellEnd"/>
      <w:r w:rsidRPr="00F61D2F">
        <w:rPr>
          <w:highlight w:val="white"/>
        </w:rPr>
        <w:t xml:space="preserve">-Sotelo, J.L. and Iglesias, E.M., 2026. Working Capital Management and Firm Performance in the G-7 and E-7 Countries During Extreme Events Such as COVID-19. </w:t>
      </w:r>
      <w:r w:rsidRPr="00F61D2F">
        <w:rPr>
          <w:i/>
          <w:iCs/>
          <w:highlight w:val="white"/>
        </w:rPr>
        <w:t>Asia-Pacific Financial Markets</w:t>
      </w:r>
      <w:r w:rsidRPr="00F61D2F">
        <w:rPr>
          <w:highlight w:val="white"/>
        </w:rPr>
        <w:t>, pp.1-19.</w:t>
      </w:r>
      <w:r w:rsidRPr="00F61D2F">
        <w:t xml:space="preserve"> </w:t>
      </w:r>
      <w:hyperlink r:id="rId23">
        <w:r w:rsidR="00AD2731" w:rsidRPr="00F61D2F">
          <w:rPr>
            <w:color w:val="1155CC"/>
            <w:u w:val="single"/>
          </w:rPr>
          <w:t>https://link.springer.com/content/pdf/10.1007/s10690-026-09597-z.pdf</w:t>
        </w:r>
      </w:hyperlink>
      <w:r w:rsidRPr="00F61D2F">
        <w:t xml:space="preserve"> </w:t>
      </w:r>
    </w:p>
    <w:p w14:paraId="7B3D28CC" w14:textId="77777777" w:rsidR="00AD2731" w:rsidRPr="00F61D2F" w:rsidRDefault="0000313C">
      <w:pPr>
        <w:spacing w:before="200" w:after="200"/>
      </w:pPr>
      <w:r w:rsidRPr="00F61D2F">
        <w:rPr>
          <w:highlight w:val="white"/>
        </w:rPr>
        <w:t xml:space="preserve">Sureka, R., Kumar, S., </w:t>
      </w:r>
      <w:proofErr w:type="spellStart"/>
      <w:r w:rsidRPr="00F61D2F">
        <w:rPr>
          <w:highlight w:val="white"/>
        </w:rPr>
        <w:t>Colombage</w:t>
      </w:r>
      <w:proofErr w:type="spellEnd"/>
      <w:r w:rsidRPr="00F61D2F">
        <w:rPr>
          <w:highlight w:val="white"/>
        </w:rPr>
        <w:t xml:space="preserve">, S. and Abedin, M.Z., 2022. Five decades of research on capital budgeting–a systematic review and future research agenda. </w:t>
      </w:r>
      <w:r w:rsidRPr="00F61D2F">
        <w:rPr>
          <w:i/>
          <w:iCs/>
          <w:highlight w:val="white"/>
        </w:rPr>
        <w:t>Research in International Business and Finance</w:t>
      </w:r>
      <w:r w:rsidRPr="00F61D2F">
        <w:rPr>
          <w:highlight w:val="white"/>
        </w:rPr>
        <w:t xml:space="preserve">, </w:t>
      </w:r>
      <w:r w:rsidRPr="00F61D2F">
        <w:rPr>
          <w:i/>
          <w:iCs/>
          <w:highlight w:val="white"/>
        </w:rPr>
        <w:t>60</w:t>
      </w:r>
      <w:r w:rsidRPr="00F61D2F">
        <w:rPr>
          <w:highlight w:val="white"/>
        </w:rPr>
        <w:t>, p.101609.</w:t>
      </w:r>
      <w:r w:rsidRPr="00F61D2F">
        <w:t xml:space="preserve"> </w:t>
      </w:r>
      <w:hyperlink r:id="rId24">
        <w:r w:rsidR="00AD2731" w:rsidRPr="00F61D2F">
          <w:rPr>
            <w:color w:val="1155CC"/>
            <w:u w:val="single"/>
          </w:rPr>
          <w:t>https://www.sciencedirect.com/science/article/pii/S0275531921002300</w:t>
        </w:r>
      </w:hyperlink>
      <w:r w:rsidRPr="00F61D2F">
        <w:t xml:space="preserve"> </w:t>
      </w:r>
    </w:p>
    <w:p w14:paraId="74532566" w14:textId="77777777" w:rsidR="00AD2731" w:rsidRPr="00F61D2F" w:rsidRDefault="0000313C">
      <w:pPr>
        <w:spacing w:before="200" w:after="200"/>
      </w:pPr>
      <w:r w:rsidRPr="00F61D2F">
        <w:rPr>
          <w:highlight w:val="white"/>
        </w:rPr>
        <w:t xml:space="preserve">Sokolov, M.V., 2024. </w:t>
      </w:r>
      <w:proofErr w:type="spellStart"/>
      <w:r w:rsidRPr="00F61D2F">
        <w:rPr>
          <w:highlight w:val="white"/>
        </w:rPr>
        <w:t>Npv</w:t>
      </w:r>
      <w:proofErr w:type="spellEnd"/>
      <w:r w:rsidRPr="00F61D2F">
        <w:rPr>
          <w:highlight w:val="white"/>
        </w:rPr>
        <w:t xml:space="preserve">, </w:t>
      </w:r>
      <w:proofErr w:type="spellStart"/>
      <w:r w:rsidRPr="00F61D2F">
        <w:rPr>
          <w:highlight w:val="white"/>
        </w:rPr>
        <w:t>irr</w:t>
      </w:r>
      <w:proofErr w:type="spellEnd"/>
      <w:r w:rsidRPr="00F61D2F">
        <w:rPr>
          <w:highlight w:val="white"/>
        </w:rPr>
        <w:t xml:space="preserve">, pi, pp, and </w:t>
      </w:r>
      <w:proofErr w:type="spellStart"/>
      <w:r w:rsidRPr="00F61D2F">
        <w:rPr>
          <w:highlight w:val="white"/>
        </w:rPr>
        <w:t>dpp</w:t>
      </w:r>
      <w:proofErr w:type="spellEnd"/>
      <w:r w:rsidRPr="00F61D2F">
        <w:rPr>
          <w:highlight w:val="white"/>
        </w:rPr>
        <w:t xml:space="preserve">: a unified view. </w:t>
      </w:r>
      <w:r w:rsidRPr="00F61D2F">
        <w:rPr>
          <w:i/>
          <w:iCs/>
          <w:highlight w:val="white"/>
        </w:rPr>
        <w:t>Journal of Mathematical Economics</w:t>
      </w:r>
      <w:r w:rsidRPr="00F61D2F">
        <w:rPr>
          <w:highlight w:val="white"/>
        </w:rPr>
        <w:t xml:space="preserve">, </w:t>
      </w:r>
      <w:r w:rsidRPr="00F61D2F">
        <w:rPr>
          <w:i/>
          <w:iCs/>
          <w:highlight w:val="white"/>
        </w:rPr>
        <w:t>114</w:t>
      </w:r>
      <w:r w:rsidRPr="00F61D2F">
        <w:rPr>
          <w:highlight w:val="white"/>
        </w:rPr>
        <w:t>, p.102992.</w:t>
      </w:r>
      <w:r w:rsidRPr="00F61D2F">
        <w:t xml:space="preserve"> </w:t>
      </w:r>
      <w:hyperlink r:id="rId25">
        <w:r w:rsidR="00AD2731" w:rsidRPr="00F61D2F">
          <w:rPr>
            <w:color w:val="1155CC"/>
            <w:u w:val="single"/>
          </w:rPr>
          <w:t>https://arxiv.org/pdf/2302.02875</w:t>
        </w:r>
      </w:hyperlink>
      <w:r w:rsidRPr="00F61D2F">
        <w:t xml:space="preserve"> </w:t>
      </w:r>
    </w:p>
    <w:p w14:paraId="34CEADAC" w14:textId="77777777" w:rsidR="00AD2731" w:rsidRPr="00F61D2F" w:rsidRDefault="0000313C">
      <w:pPr>
        <w:spacing w:before="200" w:after="200"/>
      </w:pPr>
      <w:proofErr w:type="spellStart"/>
      <w:r w:rsidRPr="00F61D2F">
        <w:rPr>
          <w:highlight w:val="white"/>
        </w:rPr>
        <w:t>Darmansyah</w:t>
      </w:r>
      <w:proofErr w:type="spellEnd"/>
      <w:r w:rsidRPr="00F61D2F">
        <w:rPr>
          <w:highlight w:val="white"/>
        </w:rPr>
        <w:t xml:space="preserve">, A., Ali, Q. and Parveen, S., 2025. Sophisticated capital budgeting decisions for financial performance and risk management—A tale of two business entities. </w:t>
      </w:r>
      <w:r w:rsidRPr="00F61D2F">
        <w:rPr>
          <w:i/>
          <w:iCs/>
          <w:highlight w:val="white"/>
        </w:rPr>
        <w:t>Journal of Risk and Financial Management</w:t>
      </w:r>
      <w:r w:rsidRPr="00F61D2F">
        <w:rPr>
          <w:highlight w:val="white"/>
        </w:rPr>
        <w:t xml:space="preserve">, </w:t>
      </w:r>
      <w:r w:rsidRPr="00F61D2F">
        <w:rPr>
          <w:i/>
          <w:iCs/>
          <w:highlight w:val="white"/>
        </w:rPr>
        <w:t>18</w:t>
      </w:r>
      <w:r w:rsidRPr="00F61D2F">
        <w:rPr>
          <w:highlight w:val="white"/>
        </w:rPr>
        <w:t>(6), p.297.</w:t>
      </w:r>
      <w:r w:rsidRPr="00F61D2F">
        <w:t xml:space="preserve"> </w:t>
      </w:r>
      <w:hyperlink r:id="rId26">
        <w:r w:rsidR="00AD2731" w:rsidRPr="00F61D2F">
          <w:rPr>
            <w:color w:val="1155CC"/>
            <w:u w:val="single"/>
          </w:rPr>
          <w:t>https://www.mdpi.com/1911-8074/18/6/297</w:t>
        </w:r>
      </w:hyperlink>
      <w:r w:rsidRPr="00F61D2F">
        <w:t xml:space="preserve"> </w:t>
      </w:r>
    </w:p>
    <w:p w14:paraId="77E95D72" w14:textId="77777777" w:rsidR="00AD2731" w:rsidRPr="00F61D2F" w:rsidRDefault="0000313C">
      <w:pPr>
        <w:spacing w:before="200" w:after="200"/>
      </w:pPr>
      <w:proofErr w:type="spellStart"/>
      <w:r w:rsidRPr="00F61D2F">
        <w:rPr>
          <w:highlight w:val="white"/>
        </w:rPr>
        <w:t>Ridzuan</w:t>
      </w:r>
      <w:proofErr w:type="spellEnd"/>
      <w:r w:rsidRPr="00F61D2F">
        <w:rPr>
          <w:highlight w:val="white"/>
        </w:rPr>
        <w:t xml:space="preserve">, N.N., </w:t>
      </w:r>
      <w:proofErr w:type="spellStart"/>
      <w:r w:rsidRPr="00F61D2F">
        <w:rPr>
          <w:highlight w:val="white"/>
        </w:rPr>
        <w:t>Masri</w:t>
      </w:r>
      <w:proofErr w:type="spellEnd"/>
      <w:r w:rsidRPr="00F61D2F">
        <w:rPr>
          <w:highlight w:val="white"/>
        </w:rPr>
        <w:t xml:space="preserve">, M., </w:t>
      </w:r>
      <w:proofErr w:type="spellStart"/>
      <w:r w:rsidRPr="00F61D2F">
        <w:rPr>
          <w:highlight w:val="white"/>
        </w:rPr>
        <w:t>Anshari</w:t>
      </w:r>
      <w:proofErr w:type="spellEnd"/>
      <w:r w:rsidRPr="00F61D2F">
        <w:rPr>
          <w:highlight w:val="white"/>
        </w:rPr>
        <w:t xml:space="preserve">, M., Fitriyani, N.L. and Syafrudin, M., 2024. AI in the financial sector: The line between innovation, regulation and ethical responsibility. </w:t>
      </w:r>
      <w:r w:rsidRPr="00F61D2F">
        <w:rPr>
          <w:i/>
          <w:iCs/>
          <w:highlight w:val="white"/>
        </w:rPr>
        <w:t>Information</w:t>
      </w:r>
      <w:r w:rsidRPr="00F61D2F">
        <w:rPr>
          <w:highlight w:val="white"/>
        </w:rPr>
        <w:t xml:space="preserve">, </w:t>
      </w:r>
      <w:r w:rsidRPr="00F61D2F">
        <w:rPr>
          <w:i/>
          <w:iCs/>
          <w:highlight w:val="white"/>
        </w:rPr>
        <w:t>15</w:t>
      </w:r>
      <w:r w:rsidRPr="00F61D2F">
        <w:rPr>
          <w:highlight w:val="white"/>
        </w:rPr>
        <w:t>(8), p.432.</w:t>
      </w:r>
      <w:r w:rsidRPr="00F61D2F">
        <w:t xml:space="preserve"> </w:t>
      </w:r>
      <w:hyperlink r:id="rId27">
        <w:r w:rsidR="00AD2731" w:rsidRPr="00F61D2F">
          <w:rPr>
            <w:color w:val="1155CC"/>
            <w:u w:val="single"/>
          </w:rPr>
          <w:t>https://www.mdpi.com/2078-2489/15/8/432</w:t>
        </w:r>
      </w:hyperlink>
      <w:r w:rsidRPr="00F61D2F">
        <w:t xml:space="preserve"> </w:t>
      </w:r>
    </w:p>
    <w:p w14:paraId="4EB2E6EF" w14:textId="77777777" w:rsidR="00AD2731" w:rsidRPr="00F61D2F" w:rsidRDefault="0000313C">
      <w:pPr>
        <w:spacing w:before="200" w:after="200"/>
      </w:pPr>
      <w:r w:rsidRPr="00F61D2F">
        <w:rPr>
          <w:highlight w:val="white"/>
        </w:rPr>
        <w:t xml:space="preserve">Lee, D.K.C., Guan, C., Yu, Y. and Ding, Q., 2024. A comprehensive review of generative AI in finance. </w:t>
      </w:r>
      <w:r w:rsidRPr="00F61D2F">
        <w:rPr>
          <w:i/>
          <w:iCs/>
          <w:highlight w:val="white"/>
        </w:rPr>
        <w:t>FinTech</w:t>
      </w:r>
      <w:r w:rsidRPr="00F61D2F">
        <w:rPr>
          <w:highlight w:val="white"/>
        </w:rPr>
        <w:t xml:space="preserve">, </w:t>
      </w:r>
      <w:r w:rsidRPr="00F61D2F">
        <w:rPr>
          <w:i/>
          <w:iCs/>
          <w:highlight w:val="white"/>
        </w:rPr>
        <w:t>3</w:t>
      </w:r>
      <w:r w:rsidRPr="00F61D2F">
        <w:rPr>
          <w:highlight w:val="white"/>
        </w:rPr>
        <w:t>(3), pp.460-478.</w:t>
      </w:r>
      <w:r w:rsidRPr="00F61D2F">
        <w:t xml:space="preserve"> </w:t>
      </w:r>
      <w:hyperlink r:id="rId28">
        <w:r w:rsidR="00AD2731" w:rsidRPr="00F61D2F">
          <w:rPr>
            <w:color w:val="1155CC"/>
            <w:u w:val="single"/>
          </w:rPr>
          <w:t>https://www.mdpi.com/2674-1032/3/3/25</w:t>
        </w:r>
      </w:hyperlink>
    </w:p>
    <w:p w14:paraId="405236DE" w14:textId="77777777" w:rsidR="00AD2731" w:rsidRPr="00F61D2F" w:rsidRDefault="0000313C">
      <w:pPr>
        <w:spacing w:before="200" w:after="200"/>
      </w:pPr>
      <w:r w:rsidRPr="00F61D2F">
        <w:br w:type="page"/>
      </w:r>
    </w:p>
    <w:p w14:paraId="2D0FA689" w14:textId="77777777" w:rsidR="00AD2731" w:rsidRPr="00F61D2F" w:rsidRDefault="0000313C">
      <w:pPr>
        <w:pStyle w:val="Heading1"/>
        <w:spacing w:before="200" w:after="200"/>
      </w:pPr>
      <w:bookmarkStart w:id="34" w:name="_Toc235041193"/>
      <w:r w:rsidRPr="00F61D2F">
        <w:t>Appendices</w:t>
      </w:r>
      <w:bookmarkEnd w:id="34"/>
    </w:p>
    <w:p w14:paraId="4C749EF9" w14:textId="77777777" w:rsidR="00AD2731" w:rsidRPr="00F61D2F" w:rsidRDefault="0000313C">
      <w:pPr>
        <w:pStyle w:val="Heading2"/>
        <w:spacing w:before="200" w:after="200"/>
      </w:pPr>
      <w:bookmarkStart w:id="35" w:name="_Toc235041194"/>
      <w:r w:rsidRPr="00F61D2F">
        <w:t>Appendix A: Ratio Tables</w:t>
      </w:r>
      <w:bookmarkEnd w:id="35"/>
      <w:r w:rsidRPr="00F61D2F">
        <w:t xml:space="preserve"> </w:t>
      </w:r>
    </w:p>
    <w:tbl>
      <w:tblPr>
        <w:tblW w:w="5000" w:type="pct"/>
        <w:tblLook w:val="04A0" w:firstRow="1" w:lastRow="0" w:firstColumn="1" w:lastColumn="0" w:noHBand="0" w:noVBand="1"/>
      </w:tblPr>
      <w:tblGrid>
        <w:gridCol w:w="2723"/>
        <w:gridCol w:w="1787"/>
        <w:gridCol w:w="729"/>
        <w:gridCol w:w="825"/>
        <w:gridCol w:w="761"/>
        <w:gridCol w:w="1113"/>
        <w:gridCol w:w="1081"/>
      </w:tblGrid>
      <w:tr w:rsidR="00941CB8" w:rsidRPr="00F61D2F" w14:paraId="432B47E9" w14:textId="77777777" w:rsidTr="00941CB8">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9A03C04"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Operating Cycle (CCC)"</w:t>
            </w:r>
          </w:p>
        </w:tc>
      </w:tr>
      <w:tr w:rsidR="00941CB8" w:rsidRPr="00F61D2F" w14:paraId="1FB97F3C"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6E72830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"Financial aspects"</w:t>
            </w:r>
          </w:p>
        </w:tc>
        <w:tc>
          <w:tcPr>
            <w:tcW w:w="1086" w:type="pct"/>
            <w:tcBorders>
              <w:top w:val="nil"/>
              <w:left w:val="nil"/>
              <w:bottom w:val="single" w:sz="4" w:space="0" w:color="auto"/>
              <w:right w:val="single" w:sz="4" w:space="0" w:color="auto"/>
            </w:tcBorders>
            <w:shd w:val="clear" w:color="000000" w:fill="FFFFFF"/>
            <w:noWrap/>
            <w:vAlign w:val="bottom"/>
            <w:hideMark/>
          </w:tcPr>
          <w:p w14:paraId="3A1A2F30"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"Formula"</w:t>
            </w:r>
          </w:p>
        </w:tc>
        <w:tc>
          <w:tcPr>
            <w:tcW w:w="343" w:type="pct"/>
            <w:tcBorders>
              <w:top w:val="nil"/>
              <w:left w:val="nil"/>
              <w:bottom w:val="single" w:sz="4" w:space="0" w:color="auto"/>
              <w:right w:val="single" w:sz="4" w:space="0" w:color="auto"/>
            </w:tcBorders>
            <w:shd w:val="clear" w:color="000000" w:fill="FFFFFF"/>
            <w:noWrap/>
            <w:vAlign w:val="bottom"/>
            <w:hideMark/>
          </w:tcPr>
          <w:p w14:paraId="1991176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2024</w:t>
            </w:r>
          </w:p>
        </w:tc>
        <w:tc>
          <w:tcPr>
            <w:tcW w:w="406" w:type="pct"/>
            <w:tcBorders>
              <w:top w:val="nil"/>
              <w:left w:val="nil"/>
              <w:bottom w:val="single" w:sz="4" w:space="0" w:color="auto"/>
              <w:right w:val="single" w:sz="4" w:space="0" w:color="auto"/>
            </w:tcBorders>
            <w:shd w:val="clear" w:color="000000" w:fill="FFFFFF"/>
            <w:noWrap/>
            <w:vAlign w:val="bottom"/>
            <w:hideMark/>
          </w:tcPr>
          <w:p w14:paraId="6E3AE75C"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2023</w:t>
            </w:r>
          </w:p>
        </w:tc>
        <w:tc>
          <w:tcPr>
            <w:tcW w:w="364" w:type="pct"/>
            <w:tcBorders>
              <w:top w:val="nil"/>
              <w:left w:val="nil"/>
              <w:bottom w:val="single" w:sz="4" w:space="0" w:color="auto"/>
              <w:right w:val="single" w:sz="4" w:space="0" w:color="auto"/>
            </w:tcBorders>
            <w:shd w:val="clear" w:color="000000" w:fill="FFFFFF"/>
            <w:noWrap/>
            <w:vAlign w:val="bottom"/>
            <w:hideMark/>
          </w:tcPr>
          <w:p w14:paraId="64CAAFAD"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2022</w:t>
            </w:r>
          </w:p>
        </w:tc>
        <w:tc>
          <w:tcPr>
            <w:tcW w:w="593" w:type="pct"/>
            <w:tcBorders>
              <w:top w:val="nil"/>
              <w:left w:val="nil"/>
              <w:bottom w:val="single" w:sz="4" w:space="0" w:color="auto"/>
              <w:right w:val="single" w:sz="4" w:space="0" w:color="auto"/>
            </w:tcBorders>
            <w:shd w:val="clear" w:color="000000" w:fill="FFFFFF"/>
            <w:noWrap/>
            <w:vAlign w:val="bottom"/>
            <w:hideMark/>
          </w:tcPr>
          <w:p w14:paraId="4EC2786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2021</w:t>
            </w:r>
          </w:p>
        </w:tc>
        <w:tc>
          <w:tcPr>
            <w:tcW w:w="572" w:type="pct"/>
            <w:tcBorders>
              <w:top w:val="nil"/>
              <w:left w:val="nil"/>
              <w:bottom w:val="single" w:sz="4" w:space="0" w:color="auto"/>
              <w:right w:val="single" w:sz="4" w:space="0" w:color="auto"/>
            </w:tcBorders>
            <w:shd w:val="clear" w:color="000000" w:fill="FFFFFF"/>
            <w:noWrap/>
            <w:vAlign w:val="bottom"/>
            <w:hideMark/>
          </w:tcPr>
          <w:p w14:paraId="15921197"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2020</w:t>
            </w:r>
          </w:p>
        </w:tc>
      </w:tr>
      <w:tr w:rsidR="00941CB8" w:rsidRPr="00F61D2F" w14:paraId="3D5889C3"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2A52EF2C"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1. Inventory Days (Inventory Holding Period)</w:t>
            </w:r>
          </w:p>
        </w:tc>
        <w:tc>
          <w:tcPr>
            <w:tcW w:w="1086" w:type="pct"/>
            <w:vMerge w:val="restart"/>
            <w:tcBorders>
              <w:top w:val="nil"/>
              <w:left w:val="single" w:sz="4" w:space="0" w:color="auto"/>
              <w:bottom w:val="single" w:sz="4" w:space="0" w:color="auto"/>
              <w:right w:val="single" w:sz="4" w:space="0" w:color="auto"/>
            </w:tcBorders>
            <w:shd w:val="clear" w:color="000000" w:fill="FFFFFF"/>
            <w:vAlign w:val="center"/>
            <w:hideMark/>
          </w:tcPr>
          <w:p w14:paraId="4AAE44AC" w14:textId="77777777" w:rsidR="00941CB8" w:rsidRPr="00F61D2F" w:rsidRDefault="00941CB8" w:rsidP="00941CB8">
            <w:pPr>
              <w:spacing w:before="0" w:after="0" w:line="240" w:lineRule="auto"/>
              <w:jc w:val="center"/>
              <w:rPr>
                <w:color w:val="000000"/>
                <w:lang w:val="en-IN"/>
              </w:rPr>
            </w:pPr>
            <w:r w:rsidRPr="00F61D2F">
              <w:rPr>
                <w:color w:val="000000"/>
                <w:lang w:val="en-IN"/>
              </w:rPr>
              <w:t>(Inventory/Sales)*365</w:t>
            </w:r>
          </w:p>
        </w:tc>
        <w:tc>
          <w:tcPr>
            <w:tcW w:w="2279" w:type="pct"/>
            <w:gridSpan w:val="5"/>
            <w:tcBorders>
              <w:top w:val="single" w:sz="4" w:space="0" w:color="auto"/>
              <w:left w:val="nil"/>
              <w:bottom w:val="single" w:sz="4" w:space="0" w:color="auto"/>
              <w:right w:val="single" w:sz="4" w:space="0" w:color="auto"/>
            </w:tcBorders>
            <w:shd w:val="clear" w:color="000000" w:fill="FFFFFF"/>
            <w:noWrap/>
            <w:vAlign w:val="bottom"/>
            <w:hideMark/>
          </w:tcPr>
          <w:p w14:paraId="1A8D6496"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9DFF026"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08A9CB52" w14:textId="77777777" w:rsidR="00941CB8" w:rsidRPr="00F61D2F" w:rsidRDefault="00941CB8" w:rsidP="00941CB8">
            <w:pPr>
              <w:spacing w:before="0" w:after="0" w:line="240" w:lineRule="auto"/>
              <w:jc w:val="left"/>
              <w:rPr>
                <w:color w:val="000000"/>
                <w:lang w:val="en-IN"/>
              </w:rPr>
            </w:pPr>
            <w:r w:rsidRPr="00F61D2F">
              <w:rPr>
                <w:color w:val="000000"/>
                <w:lang w:val="en-IN"/>
              </w:rPr>
              <w:t>Inventory</w:t>
            </w:r>
          </w:p>
        </w:tc>
        <w:tc>
          <w:tcPr>
            <w:tcW w:w="1086" w:type="pct"/>
            <w:vMerge/>
            <w:tcBorders>
              <w:top w:val="nil"/>
              <w:left w:val="single" w:sz="4" w:space="0" w:color="auto"/>
              <w:bottom w:val="single" w:sz="4" w:space="0" w:color="auto"/>
              <w:right w:val="single" w:sz="4" w:space="0" w:color="auto"/>
            </w:tcBorders>
            <w:vAlign w:val="center"/>
            <w:hideMark/>
          </w:tcPr>
          <w:p w14:paraId="74E9B538"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44DA1A88"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17 </w:t>
            </w:r>
          </w:p>
        </w:tc>
        <w:tc>
          <w:tcPr>
            <w:tcW w:w="406" w:type="pct"/>
            <w:tcBorders>
              <w:top w:val="nil"/>
              <w:left w:val="nil"/>
              <w:bottom w:val="single" w:sz="4" w:space="0" w:color="auto"/>
              <w:right w:val="single" w:sz="4" w:space="0" w:color="auto"/>
            </w:tcBorders>
            <w:shd w:val="clear" w:color="000000" w:fill="FFFFFF"/>
            <w:noWrap/>
            <w:vAlign w:val="bottom"/>
            <w:hideMark/>
          </w:tcPr>
          <w:p w14:paraId="7E38B08A"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21 </w:t>
            </w:r>
          </w:p>
        </w:tc>
        <w:tc>
          <w:tcPr>
            <w:tcW w:w="364" w:type="pct"/>
            <w:tcBorders>
              <w:top w:val="nil"/>
              <w:left w:val="nil"/>
              <w:bottom w:val="single" w:sz="4" w:space="0" w:color="auto"/>
              <w:right w:val="single" w:sz="4" w:space="0" w:color="auto"/>
            </w:tcBorders>
            <w:shd w:val="clear" w:color="000000" w:fill="FFFFFF"/>
            <w:noWrap/>
            <w:vAlign w:val="bottom"/>
            <w:hideMark/>
          </w:tcPr>
          <w:p w14:paraId="5FD995DE"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22 </w:t>
            </w:r>
          </w:p>
        </w:tc>
        <w:tc>
          <w:tcPr>
            <w:tcW w:w="593" w:type="pct"/>
            <w:tcBorders>
              <w:top w:val="nil"/>
              <w:left w:val="nil"/>
              <w:bottom w:val="single" w:sz="4" w:space="0" w:color="auto"/>
              <w:right w:val="single" w:sz="4" w:space="0" w:color="auto"/>
            </w:tcBorders>
            <w:shd w:val="clear" w:color="000000" w:fill="FFFFFF"/>
            <w:noWrap/>
            <w:vAlign w:val="bottom"/>
            <w:hideMark/>
          </w:tcPr>
          <w:p w14:paraId="395749AE"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19 </w:t>
            </w:r>
          </w:p>
        </w:tc>
        <w:tc>
          <w:tcPr>
            <w:tcW w:w="572" w:type="pct"/>
            <w:tcBorders>
              <w:top w:val="nil"/>
              <w:left w:val="nil"/>
              <w:bottom w:val="single" w:sz="4" w:space="0" w:color="auto"/>
              <w:right w:val="single" w:sz="4" w:space="0" w:color="auto"/>
            </w:tcBorders>
            <w:shd w:val="clear" w:color="000000" w:fill="FFFFFF"/>
            <w:noWrap/>
            <w:vAlign w:val="bottom"/>
            <w:hideMark/>
          </w:tcPr>
          <w:p w14:paraId="64B25E7E"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12 </w:t>
            </w:r>
          </w:p>
        </w:tc>
      </w:tr>
      <w:tr w:rsidR="00941CB8" w:rsidRPr="00F61D2F" w14:paraId="2070F3AE"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0F0CBC9F" w14:textId="77777777" w:rsidR="00941CB8" w:rsidRPr="00F61D2F" w:rsidRDefault="00941CB8" w:rsidP="00941CB8">
            <w:pPr>
              <w:spacing w:before="0" w:after="0" w:line="240" w:lineRule="auto"/>
              <w:jc w:val="left"/>
              <w:rPr>
                <w:color w:val="000000"/>
                <w:lang w:val="en-IN"/>
              </w:rPr>
            </w:pPr>
            <w:r w:rsidRPr="00F61D2F">
              <w:rPr>
                <w:color w:val="000000"/>
                <w:lang w:val="en-IN"/>
              </w:rPr>
              <w:t>(/): Sales</w:t>
            </w:r>
          </w:p>
        </w:tc>
        <w:tc>
          <w:tcPr>
            <w:tcW w:w="1086" w:type="pct"/>
            <w:vMerge/>
            <w:tcBorders>
              <w:top w:val="nil"/>
              <w:left w:val="single" w:sz="4" w:space="0" w:color="auto"/>
              <w:bottom w:val="single" w:sz="4" w:space="0" w:color="auto"/>
              <w:right w:val="single" w:sz="4" w:space="0" w:color="auto"/>
            </w:tcBorders>
            <w:vAlign w:val="center"/>
            <w:hideMark/>
          </w:tcPr>
          <w:p w14:paraId="76ACD8EE"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600B1300"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2,922 </w:t>
            </w:r>
          </w:p>
        </w:tc>
        <w:tc>
          <w:tcPr>
            <w:tcW w:w="406" w:type="pct"/>
            <w:tcBorders>
              <w:top w:val="nil"/>
              <w:left w:val="nil"/>
              <w:bottom w:val="single" w:sz="4" w:space="0" w:color="auto"/>
              <w:right w:val="single" w:sz="4" w:space="0" w:color="auto"/>
            </w:tcBorders>
            <w:shd w:val="clear" w:color="000000" w:fill="FFFFFF"/>
            <w:noWrap/>
            <w:vAlign w:val="bottom"/>
            <w:hideMark/>
          </w:tcPr>
          <w:p w14:paraId="23E4E09C"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2,960 </w:t>
            </w:r>
          </w:p>
        </w:tc>
        <w:tc>
          <w:tcPr>
            <w:tcW w:w="364" w:type="pct"/>
            <w:tcBorders>
              <w:top w:val="nil"/>
              <w:left w:val="nil"/>
              <w:bottom w:val="single" w:sz="4" w:space="0" w:color="auto"/>
              <w:right w:val="single" w:sz="4" w:space="0" w:color="auto"/>
            </w:tcBorders>
            <w:shd w:val="clear" w:color="000000" w:fill="FFFFFF"/>
            <w:noWrap/>
            <w:vAlign w:val="bottom"/>
            <w:hideMark/>
          </w:tcPr>
          <w:p w14:paraId="1E8992F2"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2,625 </w:t>
            </w:r>
          </w:p>
        </w:tc>
        <w:tc>
          <w:tcPr>
            <w:tcW w:w="593" w:type="pct"/>
            <w:tcBorders>
              <w:top w:val="nil"/>
              <w:left w:val="nil"/>
              <w:bottom w:val="single" w:sz="4" w:space="0" w:color="auto"/>
              <w:right w:val="single" w:sz="4" w:space="0" w:color="auto"/>
            </w:tcBorders>
            <w:shd w:val="clear" w:color="000000" w:fill="FFFFFF"/>
            <w:noWrap/>
            <w:vAlign w:val="bottom"/>
            <w:hideMark/>
          </w:tcPr>
          <w:p w14:paraId="1ED71253"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1,703 </w:t>
            </w:r>
          </w:p>
        </w:tc>
        <w:tc>
          <w:tcPr>
            <w:tcW w:w="572" w:type="pct"/>
            <w:tcBorders>
              <w:top w:val="nil"/>
              <w:left w:val="nil"/>
              <w:bottom w:val="single" w:sz="4" w:space="0" w:color="auto"/>
              <w:right w:val="single" w:sz="4" w:space="0" w:color="auto"/>
            </w:tcBorders>
            <w:shd w:val="clear" w:color="000000" w:fill="FFFFFF"/>
            <w:noWrap/>
            <w:vAlign w:val="bottom"/>
            <w:hideMark/>
          </w:tcPr>
          <w:p w14:paraId="3BE6CDC6"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589 </w:t>
            </w:r>
          </w:p>
        </w:tc>
      </w:tr>
      <w:tr w:rsidR="00941CB8" w:rsidRPr="00F61D2F" w14:paraId="60663005"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28413061"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Inventory Days</w:t>
            </w:r>
          </w:p>
        </w:tc>
        <w:tc>
          <w:tcPr>
            <w:tcW w:w="1086" w:type="pct"/>
            <w:vMerge/>
            <w:tcBorders>
              <w:top w:val="nil"/>
              <w:left w:val="single" w:sz="4" w:space="0" w:color="auto"/>
              <w:bottom w:val="single" w:sz="4" w:space="0" w:color="auto"/>
              <w:right w:val="single" w:sz="4" w:space="0" w:color="auto"/>
            </w:tcBorders>
            <w:vAlign w:val="center"/>
            <w:hideMark/>
          </w:tcPr>
          <w:p w14:paraId="67E9CEBB"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0FACBF71"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2.14</w:t>
            </w:r>
          </w:p>
        </w:tc>
        <w:tc>
          <w:tcPr>
            <w:tcW w:w="406" w:type="pct"/>
            <w:tcBorders>
              <w:top w:val="nil"/>
              <w:left w:val="nil"/>
              <w:bottom w:val="single" w:sz="4" w:space="0" w:color="auto"/>
              <w:right w:val="single" w:sz="4" w:space="0" w:color="auto"/>
            </w:tcBorders>
            <w:shd w:val="clear" w:color="000000" w:fill="FFFFFF"/>
            <w:noWrap/>
            <w:vAlign w:val="bottom"/>
            <w:hideMark/>
          </w:tcPr>
          <w:p w14:paraId="71390DEA"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2.61</w:t>
            </w:r>
          </w:p>
        </w:tc>
        <w:tc>
          <w:tcPr>
            <w:tcW w:w="364" w:type="pct"/>
            <w:tcBorders>
              <w:top w:val="nil"/>
              <w:left w:val="nil"/>
              <w:bottom w:val="single" w:sz="4" w:space="0" w:color="auto"/>
              <w:right w:val="single" w:sz="4" w:space="0" w:color="auto"/>
            </w:tcBorders>
            <w:shd w:val="clear" w:color="000000" w:fill="FFFFFF"/>
            <w:noWrap/>
            <w:vAlign w:val="bottom"/>
            <w:hideMark/>
          </w:tcPr>
          <w:p w14:paraId="34D7CF3B"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3.02</w:t>
            </w:r>
          </w:p>
        </w:tc>
        <w:tc>
          <w:tcPr>
            <w:tcW w:w="593" w:type="pct"/>
            <w:tcBorders>
              <w:top w:val="nil"/>
              <w:left w:val="nil"/>
              <w:bottom w:val="single" w:sz="4" w:space="0" w:color="auto"/>
              <w:right w:val="single" w:sz="4" w:space="0" w:color="auto"/>
            </w:tcBorders>
            <w:shd w:val="clear" w:color="000000" w:fill="FFFFFF"/>
            <w:noWrap/>
            <w:vAlign w:val="bottom"/>
            <w:hideMark/>
          </w:tcPr>
          <w:p w14:paraId="5635E2C6"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4.16</w:t>
            </w:r>
          </w:p>
        </w:tc>
        <w:tc>
          <w:tcPr>
            <w:tcW w:w="572" w:type="pct"/>
            <w:tcBorders>
              <w:top w:val="nil"/>
              <w:left w:val="nil"/>
              <w:bottom w:val="single" w:sz="4" w:space="0" w:color="auto"/>
              <w:right w:val="single" w:sz="4" w:space="0" w:color="auto"/>
            </w:tcBorders>
            <w:shd w:val="clear" w:color="000000" w:fill="FFFFFF"/>
            <w:noWrap/>
            <w:vAlign w:val="bottom"/>
            <w:hideMark/>
          </w:tcPr>
          <w:p w14:paraId="6C49A5B0"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7.49</w:t>
            </w:r>
          </w:p>
        </w:tc>
      </w:tr>
      <w:tr w:rsidR="00941CB8" w:rsidRPr="00F61D2F" w14:paraId="269A8032"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4B4D1CFD"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2. Receivable Days (Debtor Collection Period)</w:t>
            </w:r>
          </w:p>
        </w:tc>
        <w:tc>
          <w:tcPr>
            <w:tcW w:w="1086" w:type="pct"/>
            <w:vMerge w:val="restart"/>
            <w:tcBorders>
              <w:top w:val="nil"/>
              <w:left w:val="single" w:sz="4" w:space="0" w:color="auto"/>
              <w:bottom w:val="single" w:sz="4" w:space="0" w:color="auto"/>
              <w:right w:val="single" w:sz="4" w:space="0" w:color="auto"/>
            </w:tcBorders>
            <w:shd w:val="clear" w:color="000000" w:fill="FFFFFF"/>
            <w:vAlign w:val="center"/>
            <w:hideMark/>
          </w:tcPr>
          <w:p w14:paraId="685DE256" w14:textId="77777777" w:rsidR="00941CB8" w:rsidRPr="00F61D2F" w:rsidRDefault="00941CB8" w:rsidP="00941CB8">
            <w:pPr>
              <w:spacing w:before="0" w:after="0" w:line="240" w:lineRule="auto"/>
              <w:jc w:val="center"/>
              <w:rPr>
                <w:color w:val="000000"/>
                <w:lang w:val="en-IN"/>
              </w:rPr>
            </w:pPr>
            <w:r w:rsidRPr="00F61D2F">
              <w:rPr>
                <w:color w:val="000000"/>
                <w:lang w:val="en-IN"/>
              </w:rPr>
              <w:t>(Accounts Receivable​/Sales)*365</w:t>
            </w:r>
          </w:p>
        </w:tc>
        <w:tc>
          <w:tcPr>
            <w:tcW w:w="2279" w:type="pct"/>
            <w:gridSpan w:val="5"/>
            <w:tcBorders>
              <w:top w:val="single" w:sz="4" w:space="0" w:color="auto"/>
              <w:left w:val="nil"/>
              <w:bottom w:val="single" w:sz="4" w:space="0" w:color="auto"/>
              <w:right w:val="single" w:sz="4" w:space="0" w:color="auto"/>
            </w:tcBorders>
            <w:shd w:val="clear" w:color="000000" w:fill="FFFFFF"/>
            <w:noWrap/>
            <w:vAlign w:val="bottom"/>
            <w:hideMark/>
          </w:tcPr>
          <w:p w14:paraId="74C0E191"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CF5FE69"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1034D635" w14:textId="77777777" w:rsidR="00941CB8" w:rsidRPr="00F61D2F" w:rsidRDefault="00941CB8" w:rsidP="00941CB8">
            <w:pPr>
              <w:spacing w:before="0" w:after="0" w:line="240" w:lineRule="auto"/>
              <w:jc w:val="left"/>
              <w:rPr>
                <w:color w:val="000000"/>
                <w:lang w:val="en-IN"/>
              </w:rPr>
            </w:pPr>
            <w:r w:rsidRPr="00F61D2F">
              <w:rPr>
                <w:color w:val="000000"/>
                <w:lang w:val="en-IN"/>
              </w:rPr>
              <w:t>Accounts Receivable​</w:t>
            </w:r>
          </w:p>
        </w:tc>
        <w:tc>
          <w:tcPr>
            <w:tcW w:w="1086" w:type="pct"/>
            <w:vMerge/>
            <w:tcBorders>
              <w:top w:val="nil"/>
              <w:left w:val="single" w:sz="4" w:space="0" w:color="auto"/>
              <w:bottom w:val="single" w:sz="4" w:space="0" w:color="auto"/>
              <w:right w:val="single" w:sz="4" w:space="0" w:color="auto"/>
            </w:tcBorders>
            <w:vAlign w:val="center"/>
            <w:hideMark/>
          </w:tcPr>
          <w:p w14:paraId="560A7323"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69EFF548"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127 </w:t>
            </w:r>
          </w:p>
        </w:tc>
        <w:tc>
          <w:tcPr>
            <w:tcW w:w="406" w:type="pct"/>
            <w:tcBorders>
              <w:top w:val="nil"/>
              <w:left w:val="nil"/>
              <w:bottom w:val="single" w:sz="4" w:space="0" w:color="auto"/>
              <w:right w:val="single" w:sz="4" w:space="0" w:color="auto"/>
            </w:tcBorders>
            <w:shd w:val="clear" w:color="000000" w:fill="FFFFFF"/>
            <w:noWrap/>
            <w:vAlign w:val="bottom"/>
            <w:hideMark/>
          </w:tcPr>
          <w:p w14:paraId="35A1B6C1"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119 </w:t>
            </w:r>
          </w:p>
        </w:tc>
        <w:tc>
          <w:tcPr>
            <w:tcW w:w="364" w:type="pct"/>
            <w:tcBorders>
              <w:top w:val="nil"/>
              <w:left w:val="nil"/>
              <w:bottom w:val="single" w:sz="4" w:space="0" w:color="auto"/>
              <w:right w:val="single" w:sz="4" w:space="0" w:color="auto"/>
            </w:tcBorders>
            <w:shd w:val="clear" w:color="000000" w:fill="FFFFFF"/>
            <w:noWrap/>
            <w:vAlign w:val="bottom"/>
            <w:hideMark/>
          </w:tcPr>
          <w:p w14:paraId="17ECDDA9"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142 </w:t>
            </w:r>
          </w:p>
        </w:tc>
        <w:tc>
          <w:tcPr>
            <w:tcW w:w="593" w:type="pct"/>
            <w:tcBorders>
              <w:top w:val="nil"/>
              <w:left w:val="nil"/>
              <w:bottom w:val="single" w:sz="4" w:space="0" w:color="auto"/>
              <w:right w:val="single" w:sz="4" w:space="0" w:color="auto"/>
            </w:tcBorders>
            <w:shd w:val="clear" w:color="000000" w:fill="FFFFFF"/>
            <w:noWrap/>
            <w:vAlign w:val="bottom"/>
            <w:hideMark/>
          </w:tcPr>
          <w:p w14:paraId="7500642C"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116 </w:t>
            </w:r>
          </w:p>
        </w:tc>
        <w:tc>
          <w:tcPr>
            <w:tcW w:w="572" w:type="pct"/>
            <w:tcBorders>
              <w:top w:val="nil"/>
              <w:left w:val="nil"/>
              <w:bottom w:val="single" w:sz="4" w:space="0" w:color="auto"/>
              <w:right w:val="single" w:sz="4" w:space="0" w:color="auto"/>
            </w:tcBorders>
            <w:shd w:val="clear" w:color="000000" w:fill="FFFFFF"/>
            <w:noWrap/>
            <w:vAlign w:val="bottom"/>
            <w:hideMark/>
          </w:tcPr>
          <w:p w14:paraId="2B0FECA3"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74 </w:t>
            </w:r>
          </w:p>
        </w:tc>
      </w:tr>
      <w:tr w:rsidR="00941CB8" w:rsidRPr="00F61D2F" w14:paraId="160128F8"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242DC9C7" w14:textId="77777777" w:rsidR="00941CB8" w:rsidRPr="00F61D2F" w:rsidRDefault="00941CB8" w:rsidP="00941CB8">
            <w:pPr>
              <w:spacing w:before="0" w:after="0" w:line="240" w:lineRule="auto"/>
              <w:jc w:val="left"/>
              <w:rPr>
                <w:color w:val="000000"/>
                <w:lang w:val="en-IN"/>
              </w:rPr>
            </w:pPr>
            <w:r w:rsidRPr="00F61D2F">
              <w:rPr>
                <w:color w:val="000000"/>
                <w:lang w:val="en-IN"/>
              </w:rPr>
              <w:t>(/): Sales</w:t>
            </w:r>
          </w:p>
        </w:tc>
        <w:tc>
          <w:tcPr>
            <w:tcW w:w="1086" w:type="pct"/>
            <w:vMerge/>
            <w:tcBorders>
              <w:top w:val="nil"/>
              <w:left w:val="single" w:sz="4" w:space="0" w:color="auto"/>
              <w:bottom w:val="single" w:sz="4" w:space="0" w:color="auto"/>
              <w:right w:val="single" w:sz="4" w:space="0" w:color="auto"/>
            </w:tcBorders>
            <w:vAlign w:val="center"/>
            <w:hideMark/>
          </w:tcPr>
          <w:p w14:paraId="0BA2A3A6"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796CCE4D"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2,922 </w:t>
            </w:r>
          </w:p>
        </w:tc>
        <w:tc>
          <w:tcPr>
            <w:tcW w:w="406" w:type="pct"/>
            <w:tcBorders>
              <w:top w:val="nil"/>
              <w:left w:val="nil"/>
              <w:bottom w:val="single" w:sz="4" w:space="0" w:color="auto"/>
              <w:right w:val="single" w:sz="4" w:space="0" w:color="auto"/>
            </w:tcBorders>
            <w:shd w:val="clear" w:color="000000" w:fill="FFFFFF"/>
            <w:noWrap/>
            <w:vAlign w:val="bottom"/>
            <w:hideMark/>
          </w:tcPr>
          <w:p w14:paraId="5E334640"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2,960 </w:t>
            </w:r>
          </w:p>
        </w:tc>
        <w:tc>
          <w:tcPr>
            <w:tcW w:w="364" w:type="pct"/>
            <w:tcBorders>
              <w:top w:val="nil"/>
              <w:left w:val="nil"/>
              <w:bottom w:val="single" w:sz="4" w:space="0" w:color="auto"/>
              <w:right w:val="single" w:sz="4" w:space="0" w:color="auto"/>
            </w:tcBorders>
            <w:shd w:val="clear" w:color="000000" w:fill="FFFFFF"/>
            <w:noWrap/>
            <w:vAlign w:val="bottom"/>
            <w:hideMark/>
          </w:tcPr>
          <w:p w14:paraId="701ADCD7"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2,625 </w:t>
            </w:r>
          </w:p>
        </w:tc>
        <w:tc>
          <w:tcPr>
            <w:tcW w:w="593" w:type="pct"/>
            <w:tcBorders>
              <w:top w:val="nil"/>
              <w:left w:val="nil"/>
              <w:bottom w:val="single" w:sz="4" w:space="0" w:color="auto"/>
              <w:right w:val="single" w:sz="4" w:space="0" w:color="auto"/>
            </w:tcBorders>
            <w:shd w:val="clear" w:color="000000" w:fill="FFFFFF"/>
            <w:noWrap/>
            <w:vAlign w:val="bottom"/>
            <w:hideMark/>
          </w:tcPr>
          <w:p w14:paraId="51970AE8"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1,703 </w:t>
            </w:r>
          </w:p>
        </w:tc>
        <w:tc>
          <w:tcPr>
            <w:tcW w:w="572" w:type="pct"/>
            <w:tcBorders>
              <w:top w:val="nil"/>
              <w:left w:val="nil"/>
              <w:bottom w:val="single" w:sz="4" w:space="0" w:color="auto"/>
              <w:right w:val="single" w:sz="4" w:space="0" w:color="auto"/>
            </w:tcBorders>
            <w:shd w:val="clear" w:color="000000" w:fill="FFFFFF"/>
            <w:noWrap/>
            <w:vAlign w:val="bottom"/>
            <w:hideMark/>
          </w:tcPr>
          <w:p w14:paraId="2A8A4837"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589 </w:t>
            </w:r>
          </w:p>
        </w:tc>
      </w:tr>
      <w:tr w:rsidR="00941CB8" w:rsidRPr="00F61D2F" w14:paraId="6A014F28"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458D7468"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Receivable Days</w:t>
            </w:r>
          </w:p>
        </w:tc>
        <w:tc>
          <w:tcPr>
            <w:tcW w:w="1086" w:type="pct"/>
            <w:vMerge/>
            <w:tcBorders>
              <w:top w:val="nil"/>
              <w:left w:val="single" w:sz="4" w:space="0" w:color="auto"/>
              <w:bottom w:val="single" w:sz="4" w:space="0" w:color="auto"/>
              <w:right w:val="single" w:sz="4" w:space="0" w:color="auto"/>
            </w:tcBorders>
            <w:vAlign w:val="center"/>
            <w:hideMark/>
          </w:tcPr>
          <w:p w14:paraId="5EB78A1A"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4239FCDC"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15.88</w:t>
            </w:r>
          </w:p>
        </w:tc>
        <w:tc>
          <w:tcPr>
            <w:tcW w:w="406" w:type="pct"/>
            <w:tcBorders>
              <w:top w:val="nil"/>
              <w:left w:val="nil"/>
              <w:bottom w:val="single" w:sz="4" w:space="0" w:color="auto"/>
              <w:right w:val="single" w:sz="4" w:space="0" w:color="auto"/>
            </w:tcBorders>
            <w:shd w:val="clear" w:color="000000" w:fill="FFFFFF"/>
            <w:noWrap/>
            <w:vAlign w:val="bottom"/>
            <w:hideMark/>
          </w:tcPr>
          <w:p w14:paraId="45A64F99"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14.71</w:t>
            </w:r>
          </w:p>
        </w:tc>
        <w:tc>
          <w:tcPr>
            <w:tcW w:w="364" w:type="pct"/>
            <w:tcBorders>
              <w:top w:val="nil"/>
              <w:left w:val="nil"/>
              <w:bottom w:val="single" w:sz="4" w:space="0" w:color="auto"/>
              <w:right w:val="single" w:sz="4" w:space="0" w:color="auto"/>
            </w:tcBorders>
            <w:shd w:val="clear" w:color="000000" w:fill="FFFFFF"/>
            <w:noWrap/>
            <w:vAlign w:val="bottom"/>
            <w:hideMark/>
          </w:tcPr>
          <w:p w14:paraId="18488BF5"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19.72</w:t>
            </w:r>
          </w:p>
        </w:tc>
        <w:tc>
          <w:tcPr>
            <w:tcW w:w="593" w:type="pct"/>
            <w:tcBorders>
              <w:top w:val="nil"/>
              <w:left w:val="nil"/>
              <w:bottom w:val="single" w:sz="4" w:space="0" w:color="auto"/>
              <w:right w:val="single" w:sz="4" w:space="0" w:color="auto"/>
            </w:tcBorders>
            <w:shd w:val="clear" w:color="000000" w:fill="FFFFFF"/>
            <w:noWrap/>
            <w:vAlign w:val="bottom"/>
            <w:hideMark/>
          </w:tcPr>
          <w:p w14:paraId="322DF4A5"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24.94</w:t>
            </w:r>
          </w:p>
        </w:tc>
        <w:tc>
          <w:tcPr>
            <w:tcW w:w="572" w:type="pct"/>
            <w:tcBorders>
              <w:top w:val="nil"/>
              <w:left w:val="nil"/>
              <w:bottom w:val="single" w:sz="4" w:space="0" w:color="auto"/>
              <w:right w:val="single" w:sz="4" w:space="0" w:color="auto"/>
            </w:tcBorders>
            <w:shd w:val="clear" w:color="000000" w:fill="FFFFFF"/>
            <w:noWrap/>
            <w:vAlign w:val="bottom"/>
            <w:hideMark/>
          </w:tcPr>
          <w:p w14:paraId="280F3216"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45.95</w:t>
            </w:r>
          </w:p>
        </w:tc>
      </w:tr>
      <w:tr w:rsidR="00941CB8" w:rsidRPr="00F61D2F" w14:paraId="53FD9C45"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4F469137"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3. Payable Days (Creditor Payment Period)</w:t>
            </w:r>
          </w:p>
        </w:tc>
        <w:tc>
          <w:tcPr>
            <w:tcW w:w="1086" w:type="pct"/>
            <w:vMerge w:val="restart"/>
            <w:tcBorders>
              <w:top w:val="nil"/>
              <w:left w:val="single" w:sz="4" w:space="0" w:color="auto"/>
              <w:bottom w:val="single" w:sz="4" w:space="0" w:color="auto"/>
              <w:right w:val="single" w:sz="4" w:space="0" w:color="auto"/>
            </w:tcBorders>
            <w:shd w:val="clear" w:color="000000" w:fill="FFFFFF"/>
            <w:noWrap/>
            <w:vAlign w:val="center"/>
            <w:hideMark/>
          </w:tcPr>
          <w:p w14:paraId="613DC318" w14:textId="77777777" w:rsidR="00941CB8" w:rsidRPr="00F61D2F" w:rsidRDefault="00941CB8" w:rsidP="00941CB8">
            <w:pPr>
              <w:spacing w:before="0" w:after="0" w:line="240" w:lineRule="auto"/>
              <w:jc w:val="center"/>
              <w:rPr>
                <w:color w:val="000000"/>
                <w:lang w:val="en-IN"/>
              </w:rPr>
            </w:pPr>
            <w:r w:rsidRPr="00F61D2F">
              <w:rPr>
                <w:color w:val="000000"/>
                <w:lang w:val="en-IN"/>
              </w:rPr>
              <w:t>(Accounts Payable​/Sales)*365</w:t>
            </w:r>
          </w:p>
        </w:tc>
        <w:tc>
          <w:tcPr>
            <w:tcW w:w="2279" w:type="pct"/>
            <w:gridSpan w:val="5"/>
            <w:tcBorders>
              <w:top w:val="single" w:sz="4" w:space="0" w:color="auto"/>
              <w:left w:val="nil"/>
              <w:bottom w:val="single" w:sz="4" w:space="0" w:color="auto"/>
              <w:right w:val="single" w:sz="4" w:space="0" w:color="auto"/>
            </w:tcBorders>
            <w:shd w:val="clear" w:color="000000" w:fill="FFFFFF"/>
            <w:noWrap/>
            <w:vAlign w:val="bottom"/>
            <w:hideMark/>
          </w:tcPr>
          <w:p w14:paraId="197260F0"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C803332"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4360EF0A" w14:textId="77777777" w:rsidR="00941CB8" w:rsidRPr="00F61D2F" w:rsidRDefault="00941CB8" w:rsidP="00941CB8">
            <w:pPr>
              <w:spacing w:before="0" w:after="0" w:line="240" w:lineRule="auto"/>
              <w:jc w:val="left"/>
              <w:rPr>
                <w:color w:val="000000"/>
                <w:lang w:val="en-IN"/>
              </w:rPr>
            </w:pPr>
            <w:r w:rsidRPr="00F61D2F">
              <w:rPr>
                <w:color w:val="000000"/>
                <w:lang w:val="en-IN"/>
              </w:rPr>
              <w:t>Accounts Payable​</w:t>
            </w:r>
          </w:p>
        </w:tc>
        <w:tc>
          <w:tcPr>
            <w:tcW w:w="1086" w:type="pct"/>
            <w:vMerge/>
            <w:tcBorders>
              <w:top w:val="nil"/>
              <w:left w:val="single" w:sz="4" w:space="0" w:color="auto"/>
              <w:bottom w:val="single" w:sz="4" w:space="0" w:color="auto"/>
              <w:right w:val="single" w:sz="4" w:space="0" w:color="auto"/>
            </w:tcBorders>
            <w:vAlign w:val="center"/>
            <w:hideMark/>
          </w:tcPr>
          <w:p w14:paraId="78BF22A7"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57A16092"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661 </w:t>
            </w:r>
          </w:p>
        </w:tc>
        <w:tc>
          <w:tcPr>
            <w:tcW w:w="406" w:type="pct"/>
            <w:tcBorders>
              <w:top w:val="nil"/>
              <w:left w:val="nil"/>
              <w:bottom w:val="single" w:sz="4" w:space="0" w:color="auto"/>
              <w:right w:val="single" w:sz="4" w:space="0" w:color="auto"/>
            </w:tcBorders>
            <w:shd w:val="clear" w:color="000000" w:fill="FFFFFF"/>
            <w:noWrap/>
            <w:vAlign w:val="bottom"/>
            <w:hideMark/>
          </w:tcPr>
          <w:p w14:paraId="65029D46"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671 </w:t>
            </w:r>
          </w:p>
        </w:tc>
        <w:tc>
          <w:tcPr>
            <w:tcW w:w="364" w:type="pct"/>
            <w:tcBorders>
              <w:top w:val="nil"/>
              <w:left w:val="nil"/>
              <w:bottom w:val="single" w:sz="4" w:space="0" w:color="auto"/>
              <w:right w:val="single" w:sz="4" w:space="0" w:color="auto"/>
            </w:tcBorders>
            <w:shd w:val="clear" w:color="000000" w:fill="FFFFFF"/>
            <w:noWrap/>
            <w:vAlign w:val="bottom"/>
            <w:hideMark/>
          </w:tcPr>
          <w:p w14:paraId="30587746"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677 </w:t>
            </w:r>
          </w:p>
        </w:tc>
        <w:tc>
          <w:tcPr>
            <w:tcW w:w="593" w:type="pct"/>
            <w:tcBorders>
              <w:top w:val="nil"/>
              <w:left w:val="nil"/>
              <w:bottom w:val="single" w:sz="4" w:space="0" w:color="auto"/>
              <w:right w:val="single" w:sz="4" w:space="0" w:color="auto"/>
            </w:tcBorders>
            <w:shd w:val="clear" w:color="000000" w:fill="FFFFFF"/>
            <w:noWrap/>
            <w:vAlign w:val="bottom"/>
            <w:hideMark/>
          </w:tcPr>
          <w:p w14:paraId="4CE48109"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571 </w:t>
            </w:r>
          </w:p>
        </w:tc>
        <w:tc>
          <w:tcPr>
            <w:tcW w:w="572" w:type="pct"/>
            <w:tcBorders>
              <w:top w:val="nil"/>
              <w:left w:val="nil"/>
              <w:bottom w:val="single" w:sz="4" w:space="0" w:color="auto"/>
              <w:right w:val="single" w:sz="4" w:space="0" w:color="auto"/>
            </w:tcBorders>
            <w:shd w:val="clear" w:color="000000" w:fill="FFFFFF"/>
            <w:noWrap/>
            <w:vAlign w:val="bottom"/>
            <w:hideMark/>
          </w:tcPr>
          <w:p w14:paraId="7537107B"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317 </w:t>
            </w:r>
          </w:p>
        </w:tc>
      </w:tr>
      <w:tr w:rsidR="00941CB8" w:rsidRPr="00F61D2F" w14:paraId="1C263D64"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3D38F063" w14:textId="77777777" w:rsidR="00941CB8" w:rsidRPr="00F61D2F" w:rsidRDefault="00941CB8" w:rsidP="00941CB8">
            <w:pPr>
              <w:spacing w:before="0" w:after="0" w:line="240" w:lineRule="auto"/>
              <w:jc w:val="left"/>
              <w:rPr>
                <w:color w:val="000000"/>
                <w:lang w:val="en-IN"/>
              </w:rPr>
            </w:pPr>
            <w:r w:rsidRPr="00F61D2F">
              <w:rPr>
                <w:color w:val="000000"/>
                <w:lang w:val="en-IN"/>
              </w:rPr>
              <w:t>(/): Sales</w:t>
            </w:r>
          </w:p>
        </w:tc>
        <w:tc>
          <w:tcPr>
            <w:tcW w:w="1086" w:type="pct"/>
            <w:vMerge/>
            <w:tcBorders>
              <w:top w:val="nil"/>
              <w:left w:val="single" w:sz="4" w:space="0" w:color="auto"/>
              <w:bottom w:val="single" w:sz="4" w:space="0" w:color="auto"/>
              <w:right w:val="single" w:sz="4" w:space="0" w:color="auto"/>
            </w:tcBorders>
            <w:vAlign w:val="center"/>
            <w:hideMark/>
          </w:tcPr>
          <w:p w14:paraId="4C6ADD08"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3AAE584B"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2,922 </w:t>
            </w:r>
          </w:p>
        </w:tc>
        <w:tc>
          <w:tcPr>
            <w:tcW w:w="406" w:type="pct"/>
            <w:tcBorders>
              <w:top w:val="nil"/>
              <w:left w:val="nil"/>
              <w:bottom w:val="single" w:sz="4" w:space="0" w:color="auto"/>
              <w:right w:val="single" w:sz="4" w:space="0" w:color="auto"/>
            </w:tcBorders>
            <w:shd w:val="clear" w:color="000000" w:fill="FFFFFF"/>
            <w:noWrap/>
            <w:vAlign w:val="bottom"/>
            <w:hideMark/>
          </w:tcPr>
          <w:p w14:paraId="4D7E0DA9"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2,960 </w:t>
            </w:r>
          </w:p>
        </w:tc>
        <w:tc>
          <w:tcPr>
            <w:tcW w:w="364" w:type="pct"/>
            <w:tcBorders>
              <w:top w:val="nil"/>
              <w:left w:val="nil"/>
              <w:bottom w:val="single" w:sz="4" w:space="0" w:color="auto"/>
              <w:right w:val="single" w:sz="4" w:space="0" w:color="auto"/>
            </w:tcBorders>
            <w:shd w:val="clear" w:color="000000" w:fill="FFFFFF"/>
            <w:noWrap/>
            <w:vAlign w:val="bottom"/>
            <w:hideMark/>
          </w:tcPr>
          <w:p w14:paraId="77DEF31E"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2,625 </w:t>
            </w:r>
          </w:p>
        </w:tc>
        <w:tc>
          <w:tcPr>
            <w:tcW w:w="593" w:type="pct"/>
            <w:tcBorders>
              <w:top w:val="nil"/>
              <w:left w:val="nil"/>
              <w:bottom w:val="single" w:sz="4" w:space="0" w:color="auto"/>
              <w:right w:val="single" w:sz="4" w:space="0" w:color="auto"/>
            </w:tcBorders>
            <w:shd w:val="clear" w:color="000000" w:fill="FFFFFF"/>
            <w:noWrap/>
            <w:vAlign w:val="bottom"/>
            <w:hideMark/>
          </w:tcPr>
          <w:p w14:paraId="3F21C73A"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1,703 </w:t>
            </w:r>
          </w:p>
        </w:tc>
        <w:tc>
          <w:tcPr>
            <w:tcW w:w="572" w:type="pct"/>
            <w:tcBorders>
              <w:top w:val="nil"/>
              <w:left w:val="nil"/>
              <w:bottom w:val="single" w:sz="4" w:space="0" w:color="auto"/>
              <w:right w:val="single" w:sz="4" w:space="0" w:color="auto"/>
            </w:tcBorders>
            <w:shd w:val="clear" w:color="000000" w:fill="FFFFFF"/>
            <w:noWrap/>
            <w:vAlign w:val="bottom"/>
            <w:hideMark/>
          </w:tcPr>
          <w:p w14:paraId="0DE4C355" w14:textId="77777777" w:rsidR="00941CB8" w:rsidRPr="00F61D2F" w:rsidRDefault="00941CB8" w:rsidP="00941CB8">
            <w:pPr>
              <w:spacing w:before="0" w:after="0" w:line="240" w:lineRule="auto"/>
              <w:jc w:val="left"/>
              <w:rPr>
                <w:color w:val="000000"/>
                <w:lang w:val="en-IN"/>
              </w:rPr>
            </w:pPr>
            <w:r w:rsidRPr="00F61D2F">
              <w:rPr>
                <w:color w:val="000000"/>
                <w:lang w:val="en-IN"/>
              </w:rPr>
              <w:t xml:space="preserve"> $                  589 </w:t>
            </w:r>
          </w:p>
        </w:tc>
      </w:tr>
      <w:tr w:rsidR="00941CB8" w:rsidRPr="00F61D2F" w14:paraId="0C944FD4" w14:textId="77777777" w:rsidTr="00941CB8">
        <w:trPr>
          <w:trHeight w:val="312"/>
        </w:trPr>
        <w:tc>
          <w:tcPr>
            <w:tcW w:w="1635" w:type="pct"/>
            <w:tcBorders>
              <w:top w:val="nil"/>
              <w:left w:val="single" w:sz="4" w:space="0" w:color="auto"/>
              <w:bottom w:val="single" w:sz="4" w:space="0" w:color="auto"/>
              <w:right w:val="single" w:sz="4" w:space="0" w:color="auto"/>
            </w:tcBorders>
            <w:shd w:val="clear" w:color="000000" w:fill="FFFFFF"/>
            <w:noWrap/>
            <w:vAlign w:val="bottom"/>
            <w:hideMark/>
          </w:tcPr>
          <w:p w14:paraId="020DF0EF"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Payable Days</w:t>
            </w:r>
          </w:p>
        </w:tc>
        <w:tc>
          <w:tcPr>
            <w:tcW w:w="1086" w:type="pct"/>
            <w:vMerge/>
            <w:tcBorders>
              <w:top w:val="nil"/>
              <w:left w:val="single" w:sz="4" w:space="0" w:color="auto"/>
              <w:bottom w:val="single" w:sz="4" w:space="0" w:color="auto"/>
              <w:right w:val="single" w:sz="4" w:space="0" w:color="auto"/>
            </w:tcBorders>
            <w:vAlign w:val="center"/>
            <w:hideMark/>
          </w:tcPr>
          <w:p w14:paraId="6BE0BEDD" w14:textId="77777777" w:rsidR="00941CB8" w:rsidRPr="00F61D2F" w:rsidRDefault="00941CB8" w:rsidP="00941CB8">
            <w:pPr>
              <w:spacing w:before="0" w:after="0" w:line="240" w:lineRule="auto"/>
              <w:jc w:val="left"/>
              <w:rPr>
                <w:color w:val="000000"/>
                <w:lang w:val="en-IN"/>
              </w:rPr>
            </w:pPr>
          </w:p>
        </w:tc>
        <w:tc>
          <w:tcPr>
            <w:tcW w:w="343" w:type="pct"/>
            <w:tcBorders>
              <w:top w:val="nil"/>
              <w:left w:val="nil"/>
              <w:bottom w:val="single" w:sz="4" w:space="0" w:color="auto"/>
              <w:right w:val="single" w:sz="4" w:space="0" w:color="auto"/>
            </w:tcBorders>
            <w:shd w:val="clear" w:color="000000" w:fill="FFFFFF"/>
            <w:noWrap/>
            <w:vAlign w:val="bottom"/>
            <w:hideMark/>
          </w:tcPr>
          <w:p w14:paraId="28070D6A"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82.55</w:t>
            </w:r>
          </w:p>
        </w:tc>
        <w:tc>
          <w:tcPr>
            <w:tcW w:w="406" w:type="pct"/>
            <w:tcBorders>
              <w:top w:val="nil"/>
              <w:left w:val="nil"/>
              <w:bottom w:val="single" w:sz="4" w:space="0" w:color="auto"/>
              <w:right w:val="single" w:sz="4" w:space="0" w:color="auto"/>
            </w:tcBorders>
            <w:shd w:val="clear" w:color="000000" w:fill="FFFFFF"/>
            <w:noWrap/>
            <w:vAlign w:val="bottom"/>
            <w:hideMark/>
          </w:tcPr>
          <w:p w14:paraId="319A5FEB"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82.68</w:t>
            </w:r>
          </w:p>
        </w:tc>
        <w:tc>
          <w:tcPr>
            <w:tcW w:w="364" w:type="pct"/>
            <w:tcBorders>
              <w:top w:val="nil"/>
              <w:left w:val="nil"/>
              <w:bottom w:val="single" w:sz="4" w:space="0" w:color="auto"/>
              <w:right w:val="single" w:sz="4" w:space="0" w:color="auto"/>
            </w:tcBorders>
            <w:shd w:val="clear" w:color="000000" w:fill="FFFFFF"/>
            <w:noWrap/>
            <w:vAlign w:val="bottom"/>
            <w:hideMark/>
          </w:tcPr>
          <w:p w14:paraId="0A5E8DFF"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94.09</w:t>
            </w:r>
          </w:p>
        </w:tc>
        <w:tc>
          <w:tcPr>
            <w:tcW w:w="593" w:type="pct"/>
            <w:tcBorders>
              <w:top w:val="nil"/>
              <w:left w:val="nil"/>
              <w:bottom w:val="single" w:sz="4" w:space="0" w:color="auto"/>
              <w:right w:val="single" w:sz="4" w:space="0" w:color="auto"/>
            </w:tcBorders>
            <w:shd w:val="clear" w:color="000000" w:fill="FFFFFF"/>
            <w:noWrap/>
            <w:vAlign w:val="bottom"/>
            <w:hideMark/>
          </w:tcPr>
          <w:p w14:paraId="687A1805"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122.29</w:t>
            </w:r>
          </w:p>
        </w:tc>
        <w:tc>
          <w:tcPr>
            <w:tcW w:w="572" w:type="pct"/>
            <w:tcBorders>
              <w:top w:val="nil"/>
              <w:left w:val="nil"/>
              <w:bottom w:val="single" w:sz="4" w:space="0" w:color="auto"/>
              <w:right w:val="single" w:sz="4" w:space="0" w:color="auto"/>
            </w:tcBorders>
            <w:shd w:val="clear" w:color="000000" w:fill="FFFFFF"/>
            <w:noWrap/>
            <w:vAlign w:val="bottom"/>
            <w:hideMark/>
          </w:tcPr>
          <w:p w14:paraId="2EF87459"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196.00</w:t>
            </w:r>
          </w:p>
        </w:tc>
      </w:tr>
      <w:tr w:rsidR="00941CB8" w:rsidRPr="00F61D2F" w14:paraId="109BA3B2" w14:textId="77777777" w:rsidTr="00941CB8">
        <w:trPr>
          <w:trHeight w:val="600"/>
        </w:trPr>
        <w:tc>
          <w:tcPr>
            <w:tcW w:w="1635" w:type="pct"/>
            <w:tcBorders>
              <w:top w:val="nil"/>
              <w:left w:val="single" w:sz="4" w:space="0" w:color="auto"/>
              <w:bottom w:val="single" w:sz="4" w:space="0" w:color="auto"/>
              <w:right w:val="single" w:sz="4" w:space="0" w:color="auto"/>
            </w:tcBorders>
            <w:shd w:val="clear" w:color="000000" w:fill="FFFFFF"/>
            <w:noWrap/>
            <w:vAlign w:val="center"/>
            <w:hideMark/>
          </w:tcPr>
          <w:p w14:paraId="30C73529"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Calculate Cash Operating Cycle (CCC)</w:t>
            </w:r>
          </w:p>
        </w:tc>
        <w:tc>
          <w:tcPr>
            <w:tcW w:w="1086" w:type="pct"/>
            <w:tcBorders>
              <w:top w:val="nil"/>
              <w:left w:val="nil"/>
              <w:bottom w:val="single" w:sz="4" w:space="0" w:color="auto"/>
              <w:right w:val="single" w:sz="4" w:space="0" w:color="auto"/>
            </w:tcBorders>
            <w:shd w:val="clear" w:color="000000" w:fill="FFFFFF"/>
            <w:vAlign w:val="center"/>
            <w:hideMark/>
          </w:tcPr>
          <w:p w14:paraId="654F21C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Inventory </w:t>
            </w:r>
            <w:proofErr w:type="spellStart"/>
            <w:r w:rsidRPr="00F61D2F">
              <w:rPr>
                <w:color w:val="000000"/>
                <w:lang w:val="en-IN"/>
              </w:rPr>
              <w:t>Days+Receivable</w:t>
            </w:r>
            <w:proofErr w:type="spellEnd"/>
            <w:r w:rsidRPr="00F61D2F">
              <w:rPr>
                <w:color w:val="000000"/>
                <w:lang w:val="en-IN"/>
              </w:rPr>
              <w:t xml:space="preserve"> Days−Payable Days</w:t>
            </w:r>
          </w:p>
        </w:tc>
        <w:tc>
          <w:tcPr>
            <w:tcW w:w="343" w:type="pct"/>
            <w:tcBorders>
              <w:top w:val="nil"/>
              <w:left w:val="nil"/>
              <w:bottom w:val="single" w:sz="4" w:space="0" w:color="auto"/>
              <w:right w:val="single" w:sz="4" w:space="0" w:color="auto"/>
            </w:tcBorders>
            <w:shd w:val="clear" w:color="000000" w:fill="FFFFFF"/>
            <w:noWrap/>
            <w:vAlign w:val="center"/>
            <w:hideMark/>
          </w:tcPr>
          <w:p w14:paraId="27CF14B3"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-65</w:t>
            </w:r>
          </w:p>
        </w:tc>
        <w:tc>
          <w:tcPr>
            <w:tcW w:w="406" w:type="pct"/>
            <w:tcBorders>
              <w:top w:val="nil"/>
              <w:left w:val="nil"/>
              <w:bottom w:val="single" w:sz="4" w:space="0" w:color="auto"/>
              <w:right w:val="single" w:sz="4" w:space="0" w:color="auto"/>
            </w:tcBorders>
            <w:shd w:val="clear" w:color="000000" w:fill="FFFFFF"/>
            <w:noWrap/>
            <w:vAlign w:val="center"/>
            <w:hideMark/>
          </w:tcPr>
          <w:p w14:paraId="4E59EF38"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-65</w:t>
            </w:r>
          </w:p>
        </w:tc>
        <w:tc>
          <w:tcPr>
            <w:tcW w:w="364" w:type="pct"/>
            <w:tcBorders>
              <w:top w:val="nil"/>
              <w:left w:val="nil"/>
              <w:bottom w:val="single" w:sz="4" w:space="0" w:color="auto"/>
              <w:right w:val="single" w:sz="4" w:space="0" w:color="auto"/>
            </w:tcBorders>
            <w:shd w:val="clear" w:color="000000" w:fill="FFFFFF"/>
            <w:noWrap/>
            <w:vAlign w:val="center"/>
            <w:hideMark/>
          </w:tcPr>
          <w:p w14:paraId="6B3B092A"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-71</w:t>
            </w:r>
          </w:p>
        </w:tc>
        <w:tc>
          <w:tcPr>
            <w:tcW w:w="593" w:type="pct"/>
            <w:tcBorders>
              <w:top w:val="nil"/>
              <w:left w:val="nil"/>
              <w:bottom w:val="single" w:sz="4" w:space="0" w:color="auto"/>
              <w:right w:val="single" w:sz="4" w:space="0" w:color="auto"/>
            </w:tcBorders>
            <w:shd w:val="clear" w:color="000000" w:fill="FFFFFF"/>
            <w:noWrap/>
            <w:vAlign w:val="center"/>
            <w:hideMark/>
          </w:tcPr>
          <w:p w14:paraId="52DB7795"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-93</w:t>
            </w:r>
          </w:p>
        </w:tc>
        <w:tc>
          <w:tcPr>
            <w:tcW w:w="572" w:type="pct"/>
            <w:tcBorders>
              <w:top w:val="nil"/>
              <w:left w:val="nil"/>
              <w:bottom w:val="single" w:sz="4" w:space="0" w:color="auto"/>
              <w:right w:val="single" w:sz="4" w:space="0" w:color="auto"/>
            </w:tcBorders>
            <w:shd w:val="clear" w:color="000000" w:fill="FFFFFF"/>
            <w:noWrap/>
            <w:vAlign w:val="center"/>
            <w:hideMark/>
          </w:tcPr>
          <w:p w14:paraId="48877B8D" w14:textId="77777777" w:rsidR="00941CB8" w:rsidRPr="00F61D2F" w:rsidRDefault="00941CB8" w:rsidP="00941CB8">
            <w:pPr>
              <w:spacing w:before="0" w:after="0" w:line="240" w:lineRule="auto"/>
              <w:jc w:val="right"/>
              <w:rPr>
                <w:b/>
                <w:bCs/>
                <w:color w:val="000000"/>
                <w:lang w:val="en-IN"/>
              </w:rPr>
            </w:pPr>
            <w:r w:rsidRPr="00F61D2F">
              <w:rPr>
                <w:b/>
                <w:bCs/>
                <w:color w:val="000000"/>
                <w:lang w:val="en-IN"/>
              </w:rPr>
              <w:t>-143</w:t>
            </w:r>
          </w:p>
        </w:tc>
      </w:tr>
    </w:tbl>
    <w:p w14:paraId="3103A20E" w14:textId="77777777" w:rsidR="00AD2731" w:rsidRPr="00F61D2F" w:rsidRDefault="00AD2731">
      <w:pPr>
        <w:spacing w:before="200" w:after="200"/>
      </w:pPr>
    </w:p>
    <w:tbl>
      <w:tblPr>
        <w:tblStyle w:val="TableGrid"/>
        <w:tblW w:w="5000" w:type="pct"/>
        <w:tblLook w:val="04A0" w:firstRow="1" w:lastRow="0" w:firstColumn="1" w:lastColumn="0" w:noHBand="0" w:noVBand="1"/>
      </w:tblPr>
      <w:tblGrid>
        <w:gridCol w:w="2177"/>
        <w:gridCol w:w="1689"/>
        <w:gridCol w:w="1129"/>
        <w:gridCol w:w="1006"/>
        <w:gridCol w:w="1006"/>
        <w:gridCol w:w="1006"/>
        <w:gridCol w:w="1006"/>
      </w:tblGrid>
      <w:tr w:rsidR="0003711A" w:rsidRPr="00F61D2F" w14:paraId="1D08AEC0" w14:textId="77777777" w:rsidTr="0003711A">
        <w:trPr>
          <w:trHeight w:val="312"/>
        </w:trPr>
        <w:tc>
          <w:tcPr>
            <w:tcW w:w="5000" w:type="pct"/>
            <w:gridSpan w:val="7"/>
            <w:shd w:val="clear" w:color="auto" w:fill="FFFF00"/>
            <w:noWrap/>
            <w:hideMark/>
          </w:tcPr>
          <w:p w14:paraId="6558DC4F" w14:textId="77777777" w:rsidR="0003711A" w:rsidRPr="00F61D2F" w:rsidRDefault="0003711A" w:rsidP="0003711A">
            <w:pPr>
              <w:jc w:val="center"/>
              <w:rPr>
                <w:b/>
                <w:bCs/>
                <w:color w:val="000000"/>
                <w:lang w:val="en-IN"/>
              </w:rPr>
            </w:pPr>
            <w:r w:rsidRPr="00F61D2F">
              <w:rPr>
                <w:b/>
                <w:bCs/>
                <w:color w:val="000000"/>
                <w:lang w:val="en-IN"/>
              </w:rPr>
              <w:t>"Profitability Ratio"</w:t>
            </w:r>
          </w:p>
        </w:tc>
      </w:tr>
      <w:tr w:rsidR="0003711A" w:rsidRPr="00F61D2F" w14:paraId="26F5DAA9" w14:textId="77777777" w:rsidTr="0003711A">
        <w:trPr>
          <w:trHeight w:val="312"/>
        </w:trPr>
        <w:tc>
          <w:tcPr>
            <w:tcW w:w="5000" w:type="pct"/>
            <w:gridSpan w:val="7"/>
            <w:noWrap/>
            <w:hideMark/>
          </w:tcPr>
          <w:p w14:paraId="7124AC60" w14:textId="77777777" w:rsidR="0003711A" w:rsidRPr="00F61D2F" w:rsidRDefault="0003711A" w:rsidP="0003711A">
            <w:pPr>
              <w:jc w:val="center"/>
              <w:rPr>
                <w:b/>
                <w:bCs/>
                <w:color w:val="000000"/>
                <w:lang w:val="en-IN"/>
              </w:rPr>
            </w:pPr>
            <w:r w:rsidRPr="00F61D2F">
              <w:rPr>
                <w:b/>
                <w:bCs/>
                <w:color w:val="000000"/>
                <w:lang w:val="en-IN"/>
              </w:rPr>
              <w:t>"Return on Equity"</w:t>
            </w:r>
          </w:p>
        </w:tc>
      </w:tr>
      <w:tr w:rsidR="0003711A" w:rsidRPr="00F61D2F" w14:paraId="3F7010EF" w14:textId="77777777" w:rsidTr="0003711A">
        <w:trPr>
          <w:trHeight w:val="312"/>
        </w:trPr>
        <w:tc>
          <w:tcPr>
            <w:tcW w:w="1117" w:type="pct"/>
            <w:noWrap/>
            <w:hideMark/>
          </w:tcPr>
          <w:p w14:paraId="40D23B91" w14:textId="77777777" w:rsidR="0003711A" w:rsidRPr="00F61D2F" w:rsidRDefault="0003711A" w:rsidP="0003711A">
            <w:pPr>
              <w:jc w:val="center"/>
              <w:rPr>
                <w:b/>
                <w:bCs/>
                <w:color w:val="000000"/>
                <w:lang w:val="en-IN"/>
              </w:rPr>
            </w:pPr>
            <w:r w:rsidRPr="00F61D2F">
              <w:rPr>
                <w:b/>
                <w:bCs/>
                <w:color w:val="000000"/>
                <w:lang w:val="en-IN"/>
              </w:rPr>
              <w:t>"Financial aspects"</w:t>
            </w:r>
          </w:p>
        </w:tc>
        <w:tc>
          <w:tcPr>
            <w:tcW w:w="1454" w:type="pct"/>
            <w:noWrap/>
            <w:hideMark/>
          </w:tcPr>
          <w:p w14:paraId="5C441007" w14:textId="77777777" w:rsidR="0003711A" w:rsidRPr="00F61D2F" w:rsidRDefault="0003711A" w:rsidP="0003711A">
            <w:pPr>
              <w:jc w:val="center"/>
              <w:rPr>
                <w:b/>
                <w:bCs/>
                <w:color w:val="000000"/>
                <w:lang w:val="en-IN"/>
              </w:rPr>
            </w:pPr>
            <w:r w:rsidRPr="00F61D2F">
              <w:rPr>
                <w:b/>
                <w:bCs/>
                <w:color w:val="000000"/>
                <w:lang w:val="en-IN"/>
              </w:rPr>
              <w:t>"Formula"</w:t>
            </w:r>
          </w:p>
        </w:tc>
        <w:tc>
          <w:tcPr>
            <w:tcW w:w="543" w:type="pct"/>
            <w:noWrap/>
            <w:hideMark/>
          </w:tcPr>
          <w:p w14:paraId="3A27BB07" w14:textId="77777777" w:rsidR="0003711A" w:rsidRPr="00F61D2F" w:rsidRDefault="0003711A" w:rsidP="0003711A">
            <w:pPr>
              <w:jc w:val="center"/>
              <w:rPr>
                <w:b/>
                <w:bCs/>
                <w:color w:val="000000"/>
                <w:lang w:val="en-IN"/>
              </w:rPr>
            </w:pPr>
            <w:r w:rsidRPr="00F61D2F">
              <w:rPr>
                <w:b/>
                <w:bCs/>
                <w:color w:val="000000"/>
                <w:lang w:val="en-IN"/>
              </w:rPr>
              <w:t>2025</w:t>
            </w:r>
          </w:p>
        </w:tc>
        <w:tc>
          <w:tcPr>
            <w:tcW w:w="471" w:type="pct"/>
            <w:noWrap/>
            <w:hideMark/>
          </w:tcPr>
          <w:p w14:paraId="213ED742" w14:textId="77777777" w:rsidR="0003711A" w:rsidRPr="00F61D2F" w:rsidRDefault="0003711A" w:rsidP="0003711A">
            <w:pPr>
              <w:jc w:val="center"/>
              <w:rPr>
                <w:b/>
                <w:bCs/>
                <w:color w:val="000000"/>
                <w:lang w:val="en-IN"/>
              </w:rPr>
            </w:pPr>
            <w:r w:rsidRPr="00F61D2F">
              <w:rPr>
                <w:b/>
                <w:bCs/>
                <w:color w:val="000000"/>
                <w:lang w:val="en-IN"/>
              </w:rPr>
              <w:t>2024</w:t>
            </w:r>
          </w:p>
        </w:tc>
        <w:tc>
          <w:tcPr>
            <w:tcW w:w="471" w:type="pct"/>
            <w:noWrap/>
            <w:hideMark/>
          </w:tcPr>
          <w:p w14:paraId="02D4BF0B" w14:textId="77777777" w:rsidR="0003711A" w:rsidRPr="00F61D2F" w:rsidRDefault="0003711A" w:rsidP="0003711A">
            <w:pPr>
              <w:jc w:val="center"/>
              <w:rPr>
                <w:b/>
                <w:bCs/>
                <w:color w:val="000000"/>
                <w:lang w:val="en-IN"/>
              </w:rPr>
            </w:pPr>
            <w:r w:rsidRPr="00F61D2F">
              <w:rPr>
                <w:b/>
                <w:bCs/>
                <w:color w:val="000000"/>
                <w:lang w:val="en-IN"/>
              </w:rPr>
              <w:t>2023</w:t>
            </w:r>
          </w:p>
        </w:tc>
        <w:tc>
          <w:tcPr>
            <w:tcW w:w="471" w:type="pct"/>
            <w:noWrap/>
            <w:hideMark/>
          </w:tcPr>
          <w:p w14:paraId="36B1C816" w14:textId="77777777" w:rsidR="0003711A" w:rsidRPr="00F61D2F" w:rsidRDefault="0003711A" w:rsidP="0003711A">
            <w:pPr>
              <w:jc w:val="center"/>
              <w:rPr>
                <w:b/>
                <w:bCs/>
                <w:color w:val="000000"/>
                <w:lang w:val="en-IN"/>
              </w:rPr>
            </w:pPr>
            <w:r w:rsidRPr="00F61D2F">
              <w:rPr>
                <w:b/>
                <w:bCs/>
                <w:color w:val="000000"/>
                <w:lang w:val="en-IN"/>
              </w:rPr>
              <w:t>2022</w:t>
            </w:r>
          </w:p>
        </w:tc>
        <w:tc>
          <w:tcPr>
            <w:tcW w:w="471" w:type="pct"/>
            <w:noWrap/>
            <w:hideMark/>
          </w:tcPr>
          <w:p w14:paraId="5D55CB96" w14:textId="77777777" w:rsidR="0003711A" w:rsidRPr="00F61D2F" w:rsidRDefault="0003711A" w:rsidP="0003711A">
            <w:pPr>
              <w:jc w:val="center"/>
              <w:rPr>
                <w:b/>
                <w:bCs/>
                <w:color w:val="000000"/>
                <w:lang w:val="en-IN"/>
              </w:rPr>
            </w:pPr>
            <w:r w:rsidRPr="00F61D2F">
              <w:rPr>
                <w:b/>
                <w:bCs/>
                <w:color w:val="000000"/>
                <w:lang w:val="en-IN"/>
              </w:rPr>
              <w:t>2021</w:t>
            </w:r>
          </w:p>
        </w:tc>
      </w:tr>
      <w:tr w:rsidR="0003711A" w:rsidRPr="00F61D2F" w14:paraId="5BC6EB59" w14:textId="77777777" w:rsidTr="0003711A">
        <w:trPr>
          <w:trHeight w:val="312"/>
        </w:trPr>
        <w:tc>
          <w:tcPr>
            <w:tcW w:w="1117" w:type="pct"/>
            <w:noWrap/>
            <w:hideMark/>
          </w:tcPr>
          <w:p w14:paraId="494679B0" w14:textId="77777777" w:rsidR="0003711A" w:rsidRPr="00F61D2F" w:rsidRDefault="0003711A" w:rsidP="0003711A">
            <w:pPr>
              <w:jc w:val="left"/>
              <w:rPr>
                <w:color w:val="000000"/>
                <w:lang w:val="en-IN"/>
              </w:rPr>
            </w:pPr>
            <w:r w:rsidRPr="00F61D2F">
              <w:rPr>
                <w:color w:val="000000"/>
                <w:lang w:val="en-IN"/>
              </w:rPr>
              <w:t>"Net Income"</w:t>
            </w:r>
          </w:p>
        </w:tc>
        <w:tc>
          <w:tcPr>
            <w:tcW w:w="1454" w:type="pct"/>
            <w:vMerge w:val="restart"/>
            <w:hideMark/>
          </w:tcPr>
          <w:p w14:paraId="2FB73F1D" w14:textId="77777777" w:rsidR="0003711A" w:rsidRPr="00F61D2F" w:rsidRDefault="0003711A" w:rsidP="0003711A">
            <w:pPr>
              <w:jc w:val="center"/>
              <w:rPr>
                <w:b/>
                <w:bCs/>
                <w:color w:val="000000"/>
                <w:lang w:val="en-IN"/>
              </w:rPr>
            </w:pPr>
            <w:r w:rsidRPr="00F61D2F">
              <w:rPr>
                <w:b/>
                <w:bCs/>
                <w:color w:val="000000"/>
                <w:lang w:val="en-IN"/>
              </w:rPr>
              <w:t>"(Net income/Shareholders equity)*100"</w:t>
            </w:r>
          </w:p>
        </w:tc>
        <w:tc>
          <w:tcPr>
            <w:tcW w:w="543" w:type="pct"/>
            <w:noWrap/>
            <w:hideMark/>
          </w:tcPr>
          <w:p w14:paraId="23FCFDC6" w14:textId="77777777" w:rsidR="0003711A" w:rsidRPr="00F61D2F" w:rsidRDefault="0003711A" w:rsidP="0003711A">
            <w:pPr>
              <w:jc w:val="left"/>
              <w:rPr>
                <w:color w:val="000000"/>
                <w:lang w:val="en-IN"/>
              </w:rPr>
            </w:pPr>
            <w:r w:rsidRPr="00F61D2F">
              <w:rPr>
                <w:color w:val="000000"/>
                <w:lang w:val="en-IN"/>
              </w:rPr>
              <w:t xml:space="preserve"> £        253.70 </w:t>
            </w:r>
          </w:p>
        </w:tc>
        <w:tc>
          <w:tcPr>
            <w:tcW w:w="471" w:type="pct"/>
            <w:noWrap/>
            <w:hideMark/>
          </w:tcPr>
          <w:p w14:paraId="3BA05E49" w14:textId="77777777" w:rsidR="0003711A" w:rsidRPr="00F61D2F" w:rsidRDefault="0003711A" w:rsidP="0003711A">
            <w:pPr>
              <w:jc w:val="left"/>
              <w:rPr>
                <w:color w:val="000000"/>
                <w:lang w:val="en-IN"/>
              </w:rPr>
            </w:pPr>
            <w:r w:rsidRPr="00F61D2F">
              <w:rPr>
                <w:color w:val="000000"/>
                <w:lang w:val="en-IN"/>
              </w:rPr>
              <w:t xml:space="preserve"> £     312.10 </w:t>
            </w:r>
          </w:p>
        </w:tc>
        <w:tc>
          <w:tcPr>
            <w:tcW w:w="471" w:type="pct"/>
            <w:noWrap/>
            <w:hideMark/>
          </w:tcPr>
          <w:p w14:paraId="124DE9B1" w14:textId="77777777" w:rsidR="0003711A" w:rsidRPr="00F61D2F" w:rsidRDefault="0003711A" w:rsidP="0003711A">
            <w:pPr>
              <w:jc w:val="left"/>
              <w:rPr>
                <w:color w:val="000000"/>
                <w:lang w:val="en-IN"/>
              </w:rPr>
            </w:pPr>
            <w:r w:rsidRPr="00F61D2F">
              <w:rPr>
                <w:color w:val="000000"/>
                <w:lang w:val="en-IN"/>
              </w:rPr>
              <w:t xml:space="preserve"> £     278.80 </w:t>
            </w:r>
          </w:p>
        </w:tc>
        <w:tc>
          <w:tcPr>
            <w:tcW w:w="471" w:type="pct"/>
            <w:noWrap/>
            <w:hideMark/>
          </w:tcPr>
          <w:p w14:paraId="520AF69A" w14:textId="77777777" w:rsidR="0003711A" w:rsidRPr="00F61D2F" w:rsidRDefault="0003711A" w:rsidP="0003711A">
            <w:pPr>
              <w:jc w:val="left"/>
              <w:rPr>
                <w:color w:val="000000"/>
                <w:lang w:val="en-IN"/>
              </w:rPr>
            </w:pPr>
            <w:r w:rsidRPr="00F61D2F">
              <w:rPr>
                <w:color w:val="000000"/>
                <w:lang w:val="en-IN"/>
              </w:rPr>
              <w:t xml:space="preserve"> £       42.50 </w:t>
            </w:r>
          </w:p>
        </w:tc>
        <w:tc>
          <w:tcPr>
            <w:tcW w:w="471" w:type="pct"/>
            <w:noWrap/>
            <w:hideMark/>
          </w:tcPr>
          <w:p w14:paraId="09A360D8" w14:textId="77777777" w:rsidR="0003711A" w:rsidRPr="00F61D2F" w:rsidRDefault="0003711A" w:rsidP="0003711A">
            <w:pPr>
              <w:jc w:val="left"/>
              <w:rPr>
                <w:color w:val="000000"/>
                <w:lang w:val="en-IN"/>
              </w:rPr>
            </w:pPr>
            <w:r w:rsidRPr="00F61D2F">
              <w:rPr>
                <w:color w:val="000000"/>
                <w:lang w:val="en-IN"/>
              </w:rPr>
              <w:t xml:space="preserve">-£     906.50 </w:t>
            </w:r>
          </w:p>
        </w:tc>
      </w:tr>
      <w:tr w:rsidR="0003711A" w:rsidRPr="00F61D2F" w14:paraId="55E66251" w14:textId="77777777" w:rsidTr="0003711A">
        <w:trPr>
          <w:trHeight w:val="312"/>
        </w:trPr>
        <w:tc>
          <w:tcPr>
            <w:tcW w:w="1117" w:type="pct"/>
            <w:noWrap/>
            <w:hideMark/>
          </w:tcPr>
          <w:p w14:paraId="793FADF7" w14:textId="77777777" w:rsidR="0003711A" w:rsidRPr="00F61D2F" w:rsidRDefault="0003711A" w:rsidP="0003711A">
            <w:pPr>
              <w:jc w:val="left"/>
              <w:rPr>
                <w:color w:val="000000"/>
                <w:lang w:val="en-IN"/>
              </w:rPr>
            </w:pPr>
            <w:r w:rsidRPr="00F61D2F">
              <w:rPr>
                <w:color w:val="000000"/>
                <w:lang w:val="en-IN"/>
              </w:rPr>
              <w:t>"(/): Shareholders Equity"</w:t>
            </w:r>
          </w:p>
        </w:tc>
        <w:tc>
          <w:tcPr>
            <w:tcW w:w="1454" w:type="pct"/>
            <w:vMerge/>
            <w:hideMark/>
          </w:tcPr>
          <w:p w14:paraId="1B01C782" w14:textId="77777777" w:rsidR="0003711A" w:rsidRPr="00F61D2F" w:rsidRDefault="0003711A" w:rsidP="0003711A">
            <w:pPr>
              <w:jc w:val="left"/>
              <w:rPr>
                <w:b/>
                <w:bCs/>
                <w:color w:val="000000"/>
                <w:lang w:val="en-IN"/>
              </w:rPr>
            </w:pPr>
          </w:p>
        </w:tc>
        <w:tc>
          <w:tcPr>
            <w:tcW w:w="543" w:type="pct"/>
            <w:noWrap/>
            <w:hideMark/>
          </w:tcPr>
          <w:p w14:paraId="2E4F738F" w14:textId="77777777" w:rsidR="0003711A" w:rsidRPr="00F61D2F" w:rsidRDefault="0003711A" w:rsidP="0003711A">
            <w:pPr>
              <w:jc w:val="left"/>
              <w:rPr>
                <w:color w:val="000000"/>
                <w:lang w:val="en-IN"/>
              </w:rPr>
            </w:pPr>
            <w:r w:rsidRPr="00F61D2F">
              <w:rPr>
                <w:color w:val="000000"/>
                <w:lang w:val="en-IN"/>
              </w:rPr>
              <w:t xml:space="preserve"> £     3,334.50 </w:t>
            </w:r>
          </w:p>
        </w:tc>
        <w:tc>
          <w:tcPr>
            <w:tcW w:w="471" w:type="pct"/>
            <w:noWrap/>
            <w:hideMark/>
          </w:tcPr>
          <w:p w14:paraId="39110AAB" w14:textId="77777777" w:rsidR="0003711A" w:rsidRPr="00F61D2F" w:rsidRDefault="0003711A" w:rsidP="0003711A">
            <w:pPr>
              <w:jc w:val="left"/>
              <w:rPr>
                <w:color w:val="000000"/>
                <w:lang w:val="en-IN"/>
              </w:rPr>
            </w:pPr>
            <w:r w:rsidRPr="00F61D2F">
              <w:rPr>
                <w:color w:val="000000"/>
                <w:lang w:val="en-IN"/>
              </w:rPr>
              <w:t xml:space="preserve"> £  3,519.40 </w:t>
            </w:r>
          </w:p>
        </w:tc>
        <w:tc>
          <w:tcPr>
            <w:tcW w:w="471" w:type="pct"/>
            <w:noWrap/>
            <w:hideMark/>
          </w:tcPr>
          <w:p w14:paraId="5DD3142B" w14:textId="77777777" w:rsidR="0003711A" w:rsidRPr="00F61D2F" w:rsidRDefault="0003711A" w:rsidP="0003711A">
            <w:pPr>
              <w:jc w:val="left"/>
              <w:rPr>
                <w:color w:val="000000"/>
                <w:lang w:val="en-IN"/>
              </w:rPr>
            </w:pPr>
            <w:r w:rsidRPr="00F61D2F">
              <w:rPr>
                <w:color w:val="000000"/>
                <w:lang w:val="en-IN"/>
              </w:rPr>
              <w:t xml:space="preserve"> £  4,111.40 </w:t>
            </w:r>
          </w:p>
        </w:tc>
        <w:tc>
          <w:tcPr>
            <w:tcW w:w="471" w:type="pct"/>
            <w:noWrap/>
            <w:hideMark/>
          </w:tcPr>
          <w:p w14:paraId="05B98B7E" w14:textId="77777777" w:rsidR="0003711A" w:rsidRPr="00F61D2F" w:rsidRDefault="0003711A" w:rsidP="0003711A">
            <w:pPr>
              <w:jc w:val="left"/>
              <w:rPr>
                <w:color w:val="000000"/>
                <w:lang w:val="en-IN"/>
              </w:rPr>
            </w:pPr>
            <w:r w:rsidRPr="00F61D2F">
              <w:rPr>
                <w:color w:val="000000"/>
                <w:lang w:val="en-IN"/>
              </w:rPr>
              <w:t xml:space="preserve"> £  4,119.00 </w:t>
            </w:r>
          </w:p>
        </w:tc>
        <w:tc>
          <w:tcPr>
            <w:tcW w:w="471" w:type="pct"/>
            <w:noWrap/>
            <w:hideMark/>
          </w:tcPr>
          <w:p w14:paraId="3A291A65" w14:textId="77777777" w:rsidR="0003711A" w:rsidRPr="00F61D2F" w:rsidRDefault="0003711A" w:rsidP="0003711A">
            <w:pPr>
              <w:jc w:val="left"/>
              <w:rPr>
                <w:color w:val="000000"/>
                <w:lang w:val="en-IN"/>
              </w:rPr>
            </w:pPr>
            <w:r w:rsidRPr="00F61D2F">
              <w:rPr>
                <w:color w:val="000000"/>
                <w:lang w:val="en-IN"/>
              </w:rPr>
              <w:t xml:space="preserve"> £  3,834.10 </w:t>
            </w:r>
          </w:p>
        </w:tc>
      </w:tr>
      <w:tr w:rsidR="0003711A" w:rsidRPr="00F61D2F" w14:paraId="363CFD31" w14:textId="77777777" w:rsidTr="0003711A">
        <w:trPr>
          <w:trHeight w:val="312"/>
        </w:trPr>
        <w:tc>
          <w:tcPr>
            <w:tcW w:w="1117" w:type="pct"/>
            <w:noWrap/>
            <w:hideMark/>
          </w:tcPr>
          <w:p w14:paraId="02569E2A" w14:textId="77777777" w:rsidR="0003711A" w:rsidRPr="00F61D2F" w:rsidRDefault="0003711A" w:rsidP="0003711A">
            <w:pPr>
              <w:jc w:val="left"/>
              <w:rPr>
                <w:b/>
                <w:bCs/>
                <w:color w:val="000000"/>
                <w:lang w:val="en-IN"/>
              </w:rPr>
            </w:pPr>
            <w:r w:rsidRPr="00F61D2F">
              <w:rPr>
                <w:b/>
                <w:bCs/>
                <w:color w:val="000000"/>
                <w:lang w:val="en-IN"/>
              </w:rPr>
              <w:t>"Return on Equity"</w:t>
            </w:r>
          </w:p>
        </w:tc>
        <w:tc>
          <w:tcPr>
            <w:tcW w:w="1454" w:type="pct"/>
            <w:vMerge/>
            <w:hideMark/>
          </w:tcPr>
          <w:p w14:paraId="4FFE517A" w14:textId="77777777" w:rsidR="0003711A" w:rsidRPr="00F61D2F" w:rsidRDefault="0003711A" w:rsidP="0003711A">
            <w:pPr>
              <w:jc w:val="left"/>
              <w:rPr>
                <w:b/>
                <w:bCs/>
                <w:color w:val="000000"/>
                <w:lang w:val="en-IN"/>
              </w:rPr>
            </w:pPr>
          </w:p>
        </w:tc>
        <w:tc>
          <w:tcPr>
            <w:tcW w:w="543" w:type="pct"/>
            <w:noWrap/>
            <w:hideMark/>
          </w:tcPr>
          <w:p w14:paraId="6A889335" w14:textId="77777777" w:rsidR="0003711A" w:rsidRPr="00F61D2F" w:rsidRDefault="0003711A" w:rsidP="0003711A">
            <w:pPr>
              <w:jc w:val="right"/>
              <w:rPr>
                <w:b/>
                <w:bCs/>
                <w:color w:val="000000"/>
                <w:lang w:val="en-IN"/>
              </w:rPr>
            </w:pPr>
            <w:r w:rsidRPr="00F61D2F">
              <w:rPr>
                <w:b/>
                <w:bCs/>
                <w:color w:val="000000"/>
                <w:lang w:val="en-IN"/>
              </w:rPr>
              <w:t>7.61%</w:t>
            </w:r>
          </w:p>
        </w:tc>
        <w:tc>
          <w:tcPr>
            <w:tcW w:w="471" w:type="pct"/>
            <w:noWrap/>
            <w:hideMark/>
          </w:tcPr>
          <w:p w14:paraId="14843997" w14:textId="77777777" w:rsidR="0003711A" w:rsidRPr="00F61D2F" w:rsidRDefault="0003711A" w:rsidP="0003711A">
            <w:pPr>
              <w:jc w:val="right"/>
              <w:rPr>
                <w:b/>
                <w:bCs/>
                <w:color w:val="000000"/>
                <w:lang w:val="en-IN"/>
              </w:rPr>
            </w:pPr>
            <w:r w:rsidRPr="00F61D2F">
              <w:rPr>
                <w:b/>
                <w:bCs/>
                <w:color w:val="000000"/>
                <w:lang w:val="en-IN"/>
              </w:rPr>
              <w:t>8.87%</w:t>
            </w:r>
          </w:p>
        </w:tc>
        <w:tc>
          <w:tcPr>
            <w:tcW w:w="471" w:type="pct"/>
            <w:noWrap/>
            <w:hideMark/>
          </w:tcPr>
          <w:p w14:paraId="2FA20776" w14:textId="77777777" w:rsidR="0003711A" w:rsidRPr="00F61D2F" w:rsidRDefault="0003711A" w:rsidP="0003711A">
            <w:pPr>
              <w:jc w:val="right"/>
              <w:rPr>
                <w:b/>
                <w:bCs/>
                <w:color w:val="000000"/>
                <w:lang w:val="en-IN"/>
              </w:rPr>
            </w:pPr>
            <w:r w:rsidRPr="00F61D2F">
              <w:rPr>
                <w:b/>
                <w:bCs/>
                <w:color w:val="000000"/>
                <w:lang w:val="en-IN"/>
              </w:rPr>
              <w:t>6.78%</w:t>
            </w:r>
          </w:p>
        </w:tc>
        <w:tc>
          <w:tcPr>
            <w:tcW w:w="471" w:type="pct"/>
            <w:noWrap/>
            <w:hideMark/>
          </w:tcPr>
          <w:p w14:paraId="7604F6C8" w14:textId="77777777" w:rsidR="0003711A" w:rsidRPr="00F61D2F" w:rsidRDefault="0003711A" w:rsidP="0003711A">
            <w:pPr>
              <w:jc w:val="right"/>
              <w:rPr>
                <w:b/>
                <w:bCs/>
                <w:color w:val="000000"/>
                <w:lang w:val="en-IN"/>
              </w:rPr>
            </w:pPr>
            <w:r w:rsidRPr="00F61D2F">
              <w:rPr>
                <w:b/>
                <w:bCs/>
                <w:color w:val="000000"/>
                <w:lang w:val="en-IN"/>
              </w:rPr>
              <w:t>1.03%</w:t>
            </w:r>
          </w:p>
        </w:tc>
        <w:tc>
          <w:tcPr>
            <w:tcW w:w="471" w:type="pct"/>
            <w:noWrap/>
            <w:hideMark/>
          </w:tcPr>
          <w:p w14:paraId="377C4A59" w14:textId="77777777" w:rsidR="0003711A" w:rsidRPr="00F61D2F" w:rsidRDefault="0003711A" w:rsidP="0003711A">
            <w:pPr>
              <w:jc w:val="right"/>
              <w:rPr>
                <w:b/>
                <w:bCs/>
                <w:color w:val="000000"/>
                <w:lang w:val="en-IN"/>
              </w:rPr>
            </w:pPr>
            <w:r w:rsidRPr="00F61D2F">
              <w:rPr>
                <w:b/>
                <w:bCs/>
                <w:color w:val="000000"/>
                <w:lang w:val="en-IN"/>
              </w:rPr>
              <w:t>-23.64%</w:t>
            </w:r>
          </w:p>
        </w:tc>
      </w:tr>
      <w:tr w:rsidR="0003711A" w:rsidRPr="00F61D2F" w14:paraId="50027C09" w14:textId="77777777" w:rsidTr="0003711A">
        <w:trPr>
          <w:trHeight w:val="312"/>
        </w:trPr>
        <w:tc>
          <w:tcPr>
            <w:tcW w:w="5000" w:type="pct"/>
            <w:gridSpan w:val="7"/>
            <w:noWrap/>
            <w:hideMark/>
          </w:tcPr>
          <w:p w14:paraId="5CCA17DE" w14:textId="77777777" w:rsidR="0003711A" w:rsidRPr="00F61D2F" w:rsidRDefault="0003711A" w:rsidP="0003711A">
            <w:pPr>
              <w:jc w:val="center"/>
              <w:rPr>
                <w:color w:val="000000"/>
                <w:lang w:val="en-IN"/>
              </w:rPr>
            </w:pPr>
            <w:r w:rsidRPr="00F61D2F">
              <w:rPr>
                <w:color w:val="000000"/>
                <w:lang w:val="en-IN"/>
              </w:rPr>
              <w:t> </w:t>
            </w:r>
          </w:p>
        </w:tc>
      </w:tr>
      <w:tr w:rsidR="0003711A" w:rsidRPr="00F61D2F" w14:paraId="3614494D" w14:textId="77777777" w:rsidTr="0003711A">
        <w:trPr>
          <w:trHeight w:val="312"/>
        </w:trPr>
        <w:tc>
          <w:tcPr>
            <w:tcW w:w="5000" w:type="pct"/>
            <w:gridSpan w:val="7"/>
            <w:noWrap/>
            <w:hideMark/>
          </w:tcPr>
          <w:p w14:paraId="0A5D3DB0" w14:textId="77777777" w:rsidR="0003711A" w:rsidRPr="00F61D2F" w:rsidRDefault="0003711A" w:rsidP="0003711A">
            <w:pPr>
              <w:jc w:val="center"/>
              <w:rPr>
                <w:b/>
                <w:bCs/>
                <w:color w:val="000000"/>
                <w:lang w:val="en-IN"/>
              </w:rPr>
            </w:pPr>
            <w:r w:rsidRPr="00F61D2F">
              <w:rPr>
                <w:b/>
                <w:bCs/>
                <w:color w:val="000000"/>
                <w:lang w:val="en-IN"/>
              </w:rPr>
              <w:t>"Net Profit Margin"</w:t>
            </w:r>
          </w:p>
        </w:tc>
      </w:tr>
      <w:tr w:rsidR="0003711A" w:rsidRPr="00F61D2F" w14:paraId="39029851" w14:textId="77777777" w:rsidTr="0003711A">
        <w:trPr>
          <w:trHeight w:val="312"/>
        </w:trPr>
        <w:tc>
          <w:tcPr>
            <w:tcW w:w="1117" w:type="pct"/>
            <w:noWrap/>
            <w:hideMark/>
          </w:tcPr>
          <w:p w14:paraId="434CE9F0" w14:textId="77777777" w:rsidR="0003711A" w:rsidRPr="00F61D2F" w:rsidRDefault="0003711A" w:rsidP="0003711A">
            <w:pPr>
              <w:jc w:val="center"/>
              <w:rPr>
                <w:b/>
                <w:bCs/>
                <w:color w:val="000000"/>
                <w:lang w:val="en-IN"/>
              </w:rPr>
            </w:pPr>
            <w:r w:rsidRPr="00F61D2F">
              <w:rPr>
                <w:b/>
                <w:bCs/>
                <w:color w:val="000000"/>
                <w:lang w:val="en-IN"/>
              </w:rPr>
              <w:t>"Financial aspects"</w:t>
            </w:r>
          </w:p>
        </w:tc>
        <w:tc>
          <w:tcPr>
            <w:tcW w:w="1454" w:type="pct"/>
            <w:noWrap/>
            <w:hideMark/>
          </w:tcPr>
          <w:p w14:paraId="78B7634B" w14:textId="77777777" w:rsidR="0003711A" w:rsidRPr="00F61D2F" w:rsidRDefault="0003711A" w:rsidP="0003711A">
            <w:pPr>
              <w:jc w:val="center"/>
              <w:rPr>
                <w:b/>
                <w:bCs/>
                <w:color w:val="000000"/>
                <w:lang w:val="en-IN"/>
              </w:rPr>
            </w:pPr>
            <w:r w:rsidRPr="00F61D2F">
              <w:rPr>
                <w:b/>
                <w:bCs/>
                <w:color w:val="000000"/>
                <w:lang w:val="en-IN"/>
              </w:rPr>
              <w:t>"Formula"</w:t>
            </w:r>
          </w:p>
        </w:tc>
        <w:tc>
          <w:tcPr>
            <w:tcW w:w="543" w:type="pct"/>
            <w:noWrap/>
            <w:hideMark/>
          </w:tcPr>
          <w:p w14:paraId="2E691C8C" w14:textId="77777777" w:rsidR="0003711A" w:rsidRPr="00F61D2F" w:rsidRDefault="0003711A" w:rsidP="0003711A">
            <w:pPr>
              <w:jc w:val="center"/>
              <w:rPr>
                <w:b/>
                <w:bCs/>
                <w:color w:val="000000"/>
                <w:lang w:val="en-IN"/>
              </w:rPr>
            </w:pPr>
            <w:r w:rsidRPr="00F61D2F">
              <w:rPr>
                <w:b/>
                <w:bCs/>
                <w:color w:val="000000"/>
                <w:lang w:val="en-IN"/>
              </w:rPr>
              <w:t>2025</w:t>
            </w:r>
          </w:p>
        </w:tc>
        <w:tc>
          <w:tcPr>
            <w:tcW w:w="471" w:type="pct"/>
            <w:noWrap/>
            <w:hideMark/>
          </w:tcPr>
          <w:p w14:paraId="1178FAB5" w14:textId="77777777" w:rsidR="0003711A" w:rsidRPr="00F61D2F" w:rsidRDefault="0003711A" w:rsidP="0003711A">
            <w:pPr>
              <w:jc w:val="center"/>
              <w:rPr>
                <w:b/>
                <w:bCs/>
                <w:color w:val="000000"/>
                <w:lang w:val="en-IN"/>
              </w:rPr>
            </w:pPr>
            <w:r w:rsidRPr="00F61D2F">
              <w:rPr>
                <w:b/>
                <w:bCs/>
                <w:color w:val="000000"/>
                <w:lang w:val="en-IN"/>
              </w:rPr>
              <w:t>2024</w:t>
            </w:r>
          </w:p>
        </w:tc>
        <w:tc>
          <w:tcPr>
            <w:tcW w:w="471" w:type="pct"/>
            <w:noWrap/>
            <w:hideMark/>
          </w:tcPr>
          <w:p w14:paraId="6936AF0B" w14:textId="77777777" w:rsidR="0003711A" w:rsidRPr="00F61D2F" w:rsidRDefault="0003711A" w:rsidP="0003711A">
            <w:pPr>
              <w:jc w:val="center"/>
              <w:rPr>
                <w:b/>
                <w:bCs/>
                <w:color w:val="000000"/>
                <w:lang w:val="en-IN"/>
              </w:rPr>
            </w:pPr>
            <w:r w:rsidRPr="00F61D2F">
              <w:rPr>
                <w:b/>
                <w:bCs/>
                <w:color w:val="000000"/>
                <w:lang w:val="en-IN"/>
              </w:rPr>
              <w:t>2023</w:t>
            </w:r>
          </w:p>
        </w:tc>
        <w:tc>
          <w:tcPr>
            <w:tcW w:w="471" w:type="pct"/>
            <w:noWrap/>
            <w:hideMark/>
          </w:tcPr>
          <w:p w14:paraId="71E62929" w14:textId="77777777" w:rsidR="0003711A" w:rsidRPr="00F61D2F" w:rsidRDefault="0003711A" w:rsidP="0003711A">
            <w:pPr>
              <w:jc w:val="center"/>
              <w:rPr>
                <w:b/>
                <w:bCs/>
                <w:color w:val="000000"/>
                <w:lang w:val="en-IN"/>
              </w:rPr>
            </w:pPr>
            <w:r w:rsidRPr="00F61D2F">
              <w:rPr>
                <w:b/>
                <w:bCs/>
                <w:color w:val="000000"/>
                <w:lang w:val="en-IN"/>
              </w:rPr>
              <w:t>2022</w:t>
            </w:r>
          </w:p>
        </w:tc>
        <w:tc>
          <w:tcPr>
            <w:tcW w:w="471" w:type="pct"/>
            <w:noWrap/>
            <w:hideMark/>
          </w:tcPr>
          <w:p w14:paraId="25C606E0" w14:textId="77777777" w:rsidR="0003711A" w:rsidRPr="00F61D2F" w:rsidRDefault="0003711A" w:rsidP="0003711A">
            <w:pPr>
              <w:jc w:val="center"/>
              <w:rPr>
                <w:b/>
                <w:bCs/>
                <w:color w:val="000000"/>
                <w:lang w:val="en-IN"/>
              </w:rPr>
            </w:pPr>
            <w:r w:rsidRPr="00F61D2F">
              <w:rPr>
                <w:b/>
                <w:bCs/>
                <w:color w:val="000000"/>
                <w:lang w:val="en-IN"/>
              </w:rPr>
              <w:t>2021</w:t>
            </w:r>
          </w:p>
        </w:tc>
      </w:tr>
      <w:tr w:rsidR="0003711A" w:rsidRPr="00F61D2F" w14:paraId="42B7C271" w14:textId="77777777" w:rsidTr="0003711A">
        <w:trPr>
          <w:trHeight w:val="312"/>
        </w:trPr>
        <w:tc>
          <w:tcPr>
            <w:tcW w:w="1117" w:type="pct"/>
            <w:noWrap/>
            <w:hideMark/>
          </w:tcPr>
          <w:p w14:paraId="339A2635" w14:textId="77777777" w:rsidR="0003711A" w:rsidRPr="00F61D2F" w:rsidRDefault="0003711A" w:rsidP="0003711A">
            <w:pPr>
              <w:jc w:val="left"/>
              <w:rPr>
                <w:color w:val="000000"/>
                <w:lang w:val="en-IN"/>
              </w:rPr>
            </w:pPr>
            <w:r w:rsidRPr="00F61D2F">
              <w:rPr>
                <w:color w:val="000000"/>
                <w:lang w:val="en-IN"/>
              </w:rPr>
              <w:t>"Net Income"</w:t>
            </w:r>
          </w:p>
        </w:tc>
        <w:tc>
          <w:tcPr>
            <w:tcW w:w="1454" w:type="pct"/>
            <w:vMerge w:val="restart"/>
            <w:hideMark/>
          </w:tcPr>
          <w:p w14:paraId="3BB87D5F" w14:textId="77777777" w:rsidR="0003711A" w:rsidRPr="00F61D2F" w:rsidRDefault="0003711A" w:rsidP="0003711A">
            <w:pPr>
              <w:jc w:val="center"/>
              <w:rPr>
                <w:b/>
                <w:bCs/>
                <w:color w:val="000000"/>
                <w:lang w:val="en-IN"/>
              </w:rPr>
            </w:pPr>
            <w:r w:rsidRPr="00F61D2F">
              <w:rPr>
                <w:b/>
                <w:bCs/>
                <w:color w:val="000000"/>
                <w:lang w:val="en-IN"/>
              </w:rPr>
              <w:t>"(Net income/Sales)*100"</w:t>
            </w:r>
          </w:p>
        </w:tc>
        <w:tc>
          <w:tcPr>
            <w:tcW w:w="543" w:type="pct"/>
            <w:noWrap/>
            <w:hideMark/>
          </w:tcPr>
          <w:p w14:paraId="2FAE6F3E" w14:textId="77777777" w:rsidR="0003711A" w:rsidRPr="00F61D2F" w:rsidRDefault="0003711A" w:rsidP="0003711A">
            <w:pPr>
              <w:jc w:val="left"/>
              <w:rPr>
                <w:color w:val="000000"/>
                <w:lang w:val="en-IN"/>
              </w:rPr>
            </w:pPr>
            <w:r w:rsidRPr="00F61D2F">
              <w:rPr>
                <w:color w:val="000000"/>
                <w:lang w:val="en-IN"/>
              </w:rPr>
              <w:t xml:space="preserve"> £        253.70 </w:t>
            </w:r>
          </w:p>
        </w:tc>
        <w:tc>
          <w:tcPr>
            <w:tcW w:w="471" w:type="pct"/>
            <w:noWrap/>
            <w:hideMark/>
          </w:tcPr>
          <w:p w14:paraId="51EE6D2C" w14:textId="77777777" w:rsidR="0003711A" w:rsidRPr="00F61D2F" w:rsidRDefault="0003711A" w:rsidP="0003711A">
            <w:pPr>
              <w:jc w:val="left"/>
              <w:rPr>
                <w:color w:val="000000"/>
                <w:lang w:val="en-IN"/>
              </w:rPr>
            </w:pPr>
            <w:r w:rsidRPr="00F61D2F">
              <w:rPr>
                <w:color w:val="000000"/>
                <w:lang w:val="en-IN"/>
              </w:rPr>
              <w:t xml:space="preserve"> £     312.10 </w:t>
            </w:r>
          </w:p>
        </w:tc>
        <w:tc>
          <w:tcPr>
            <w:tcW w:w="471" w:type="pct"/>
            <w:noWrap/>
            <w:hideMark/>
          </w:tcPr>
          <w:p w14:paraId="42DF0E0C" w14:textId="77777777" w:rsidR="0003711A" w:rsidRPr="00F61D2F" w:rsidRDefault="0003711A" w:rsidP="0003711A">
            <w:pPr>
              <w:jc w:val="left"/>
              <w:rPr>
                <w:color w:val="000000"/>
                <w:lang w:val="en-IN"/>
              </w:rPr>
            </w:pPr>
            <w:r w:rsidRPr="00F61D2F">
              <w:rPr>
                <w:color w:val="000000"/>
                <w:lang w:val="en-IN"/>
              </w:rPr>
              <w:t xml:space="preserve"> £     278.80 </w:t>
            </w:r>
          </w:p>
        </w:tc>
        <w:tc>
          <w:tcPr>
            <w:tcW w:w="471" w:type="pct"/>
            <w:noWrap/>
            <w:hideMark/>
          </w:tcPr>
          <w:p w14:paraId="022AACC4" w14:textId="77777777" w:rsidR="0003711A" w:rsidRPr="00F61D2F" w:rsidRDefault="0003711A" w:rsidP="0003711A">
            <w:pPr>
              <w:jc w:val="left"/>
              <w:rPr>
                <w:color w:val="000000"/>
                <w:lang w:val="en-IN"/>
              </w:rPr>
            </w:pPr>
            <w:r w:rsidRPr="00F61D2F">
              <w:rPr>
                <w:color w:val="000000"/>
                <w:lang w:val="en-IN"/>
              </w:rPr>
              <w:t xml:space="preserve"> £       42.50 </w:t>
            </w:r>
          </w:p>
        </w:tc>
        <w:tc>
          <w:tcPr>
            <w:tcW w:w="471" w:type="pct"/>
            <w:noWrap/>
            <w:hideMark/>
          </w:tcPr>
          <w:p w14:paraId="3A329CD7" w14:textId="77777777" w:rsidR="0003711A" w:rsidRPr="00F61D2F" w:rsidRDefault="0003711A" w:rsidP="0003711A">
            <w:pPr>
              <w:jc w:val="left"/>
              <w:rPr>
                <w:color w:val="000000"/>
                <w:lang w:val="en-IN"/>
              </w:rPr>
            </w:pPr>
            <w:r w:rsidRPr="00F61D2F">
              <w:rPr>
                <w:color w:val="000000"/>
                <w:lang w:val="en-IN"/>
              </w:rPr>
              <w:t xml:space="preserve">-£     906.50 </w:t>
            </w:r>
          </w:p>
        </w:tc>
      </w:tr>
      <w:tr w:rsidR="0003711A" w:rsidRPr="00F61D2F" w14:paraId="6AD80EC5" w14:textId="77777777" w:rsidTr="0003711A">
        <w:trPr>
          <w:trHeight w:val="312"/>
        </w:trPr>
        <w:tc>
          <w:tcPr>
            <w:tcW w:w="1117" w:type="pct"/>
            <w:noWrap/>
            <w:hideMark/>
          </w:tcPr>
          <w:p w14:paraId="1EAB4DD5" w14:textId="77777777" w:rsidR="0003711A" w:rsidRPr="00F61D2F" w:rsidRDefault="0003711A" w:rsidP="0003711A">
            <w:pPr>
              <w:jc w:val="left"/>
              <w:rPr>
                <w:color w:val="000000"/>
                <w:lang w:val="en-IN"/>
              </w:rPr>
            </w:pPr>
            <w:r w:rsidRPr="00F61D2F">
              <w:rPr>
                <w:color w:val="000000"/>
                <w:lang w:val="en-IN"/>
              </w:rPr>
              <w:t>"(/): Sales"</w:t>
            </w:r>
          </w:p>
        </w:tc>
        <w:tc>
          <w:tcPr>
            <w:tcW w:w="1454" w:type="pct"/>
            <w:vMerge/>
            <w:hideMark/>
          </w:tcPr>
          <w:p w14:paraId="2CD5A39F" w14:textId="77777777" w:rsidR="0003711A" w:rsidRPr="00F61D2F" w:rsidRDefault="0003711A" w:rsidP="0003711A">
            <w:pPr>
              <w:jc w:val="left"/>
              <w:rPr>
                <w:b/>
                <w:bCs/>
                <w:color w:val="000000"/>
                <w:lang w:val="en-IN"/>
              </w:rPr>
            </w:pPr>
          </w:p>
        </w:tc>
        <w:tc>
          <w:tcPr>
            <w:tcW w:w="543" w:type="pct"/>
            <w:noWrap/>
            <w:hideMark/>
          </w:tcPr>
          <w:p w14:paraId="1AF2C9EE" w14:textId="77777777" w:rsidR="0003711A" w:rsidRPr="00F61D2F" w:rsidRDefault="0003711A" w:rsidP="0003711A">
            <w:pPr>
              <w:jc w:val="left"/>
              <w:rPr>
                <w:color w:val="000000"/>
                <w:lang w:val="en-IN"/>
              </w:rPr>
            </w:pPr>
            <w:r w:rsidRPr="00F61D2F">
              <w:rPr>
                <w:color w:val="000000"/>
                <w:lang w:val="en-IN"/>
              </w:rPr>
              <w:t xml:space="preserve"> £     2,921.90 </w:t>
            </w:r>
          </w:p>
        </w:tc>
        <w:tc>
          <w:tcPr>
            <w:tcW w:w="471" w:type="pct"/>
            <w:noWrap/>
            <w:hideMark/>
          </w:tcPr>
          <w:p w14:paraId="6F3967A8" w14:textId="77777777" w:rsidR="0003711A" w:rsidRPr="00F61D2F" w:rsidRDefault="0003711A" w:rsidP="0003711A">
            <w:pPr>
              <w:jc w:val="left"/>
              <w:rPr>
                <w:color w:val="000000"/>
                <w:lang w:val="en-IN"/>
              </w:rPr>
            </w:pPr>
            <w:r w:rsidRPr="00F61D2F">
              <w:rPr>
                <w:color w:val="000000"/>
                <w:lang w:val="en-IN"/>
              </w:rPr>
              <w:t xml:space="preserve"> £  2,959.90 </w:t>
            </w:r>
          </w:p>
        </w:tc>
        <w:tc>
          <w:tcPr>
            <w:tcW w:w="471" w:type="pct"/>
            <w:noWrap/>
            <w:hideMark/>
          </w:tcPr>
          <w:p w14:paraId="084A7AB7" w14:textId="77777777" w:rsidR="0003711A" w:rsidRPr="00F61D2F" w:rsidRDefault="0003711A" w:rsidP="0003711A">
            <w:pPr>
              <w:jc w:val="left"/>
              <w:rPr>
                <w:color w:val="000000"/>
                <w:lang w:val="en-IN"/>
              </w:rPr>
            </w:pPr>
            <w:r w:rsidRPr="00F61D2F">
              <w:rPr>
                <w:color w:val="000000"/>
                <w:lang w:val="en-IN"/>
              </w:rPr>
              <w:t xml:space="preserve"> £  2,625.20 </w:t>
            </w:r>
          </w:p>
        </w:tc>
        <w:tc>
          <w:tcPr>
            <w:tcW w:w="471" w:type="pct"/>
            <w:noWrap/>
            <w:hideMark/>
          </w:tcPr>
          <w:p w14:paraId="2C527A80" w14:textId="77777777" w:rsidR="0003711A" w:rsidRPr="00F61D2F" w:rsidRDefault="0003711A" w:rsidP="0003711A">
            <w:pPr>
              <w:jc w:val="left"/>
              <w:rPr>
                <w:color w:val="000000"/>
                <w:lang w:val="en-IN"/>
              </w:rPr>
            </w:pPr>
            <w:r w:rsidRPr="00F61D2F">
              <w:rPr>
                <w:color w:val="000000"/>
                <w:lang w:val="en-IN"/>
              </w:rPr>
              <w:t xml:space="preserve"> £  1,703.40 </w:t>
            </w:r>
          </w:p>
        </w:tc>
        <w:tc>
          <w:tcPr>
            <w:tcW w:w="471" w:type="pct"/>
            <w:noWrap/>
            <w:hideMark/>
          </w:tcPr>
          <w:p w14:paraId="733246EE" w14:textId="77777777" w:rsidR="0003711A" w:rsidRPr="00F61D2F" w:rsidRDefault="0003711A" w:rsidP="0003711A">
            <w:pPr>
              <w:jc w:val="left"/>
              <w:rPr>
                <w:color w:val="000000"/>
                <w:lang w:val="en-IN"/>
              </w:rPr>
            </w:pPr>
            <w:r w:rsidRPr="00F61D2F">
              <w:rPr>
                <w:color w:val="000000"/>
                <w:lang w:val="en-IN"/>
              </w:rPr>
              <w:t xml:space="preserve"> £     589.40 </w:t>
            </w:r>
          </w:p>
        </w:tc>
      </w:tr>
      <w:tr w:rsidR="0003711A" w:rsidRPr="00F61D2F" w14:paraId="1C7FEA03" w14:textId="77777777" w:rsidTr="0003711A">
        <w:trPr>
          <w:trHeight w:val="312"/>
        </w:trPr>
        <w:tc>
          <w:tcPr>
            <w:tcW w:w="1117" w:type="pct"/>
            <w:noWrap/>
            <w:hideMark/>
          </w:tcPr>
          <w:p w14:paraId="7DBB9492" w14:textId="77777777" w:rsidR="0003711A" w:rsidRPr="00F61D2F" w:rsidRDefault="0003711A" w:rsidP="0003711A">
            <w:pPr>
              <w:jc w:val="left"/>
              <w:rPr>
                <w:b/>
                <w:bCs/>
                <w:color w:val="000000"/>
                <w:lang w:val="en-IN"/>
              </w:rPr>
            </w:pPr>
            <w:r w:rsidRPr="00F61D2F">
              <w:rPr>
                <w:b/>
                <w:bCs/>
                <w:color w:val="000000"/>
                <w:lang w:val="en-IN"/>
              </w:rPr>
              <w:t>"Net Profit Margin"</w:t>
            </w:r>
          </w:p>
        </w:tc>
        <w:tc>
          <w:tcPr>
            <w:tcW w:w="1454" w:type="pct"/>
            <w:vMerge/>
            <w:hideMark/>
          </w:tcPr>
          <w:p w14:paraId="203FB2BB" w14:textId="77777777" w:rsidR="0003711A" w:rsidRPr="00F61D2F" w:rsidRDefault="0003711A" w:rsidP="0003711A">
            <w:pPr>
              <w:jc w:val="left"/>
              <w:rPr>
                <w:b/>
                <w:bCs/>
                <w:color w:val="000000"/>
                <w:lang w:val="en-IN"/>
              </w:rPr>
            </w:pPr>
          </w:p>
        </w:tc>
        <w:tc>
          <w:tcPr>
            <w:tcW w:w="543" w:type="pct"/>
            <w:noWrap/>
            <w:hideMark/>
          </w:tcPr>
          <w:p w14:paraId="46B875FE" w14:textId="77777777" w:rsidR="0003711A" w:rsidRPr="00F61D2F" w:rsidRDefault="0003711A" w:rsidP="0003711A">
            <w:pPr>
              <w:jc w:val="right"/>
              <w:rPr>
                <w:b/>
                <w:bCs/>
                <w:color w:val="000000"/>
                <w:lang w:val="en-IN"/>
              </w:rPr>
            </w:pPr>
            <w:r w:rsidRPr="00F61D2F">
              <w:rPr>
                <w:b/>
                <w:bCs/>
                <w:color w:val="000000"/>
                <w:lang w:val="en-IN"/>
              </w:rPr>
              <w:t>8.68%</w:t>
            </w:r>
          </w:p>
        </w:tc>
        <w:tc>
          <w:tcPr>
            <w:tcW w:w="471" w:type="pct"/>
            <w:noWrap/>
            <w:hideMark/>
          </w:tcPr>
          <w:p w14:paraId="2D9364BF" w14:textId="77777777" w:rsidR="0003711A" w:rsidRPr="00F61D2F" w:rsidRDefault="0003711A" w:rsidP="0003711A">
            <w:pPr>
              <w:jc w:val="right"/>
              <w:rPr>
                <w:b/>
                <w:bCs/>
                <w:color w:val="000000"/>
                <w:lang w:val="en-IN"/>
              </w:rPr>
            </w:pPr>
            <w:r w:rsidRPr="00F61D2F">
              <w:rPr>
                <w:b/>
                <w:bCs/>
                <w:color w:val="000000"/>
                <w:lang w:val="en-IN"/>
              </w:rPr>
              <w:t>10.54%</w:t>
            </w:r>
          </w:p>
        </w:tc>
        <w:tc>
          <w:tcPr>
            <w:tcW w:w="471" w:type="pct"/>
            <w:noWrap/>
            <w:hideMark/>
          </w:tcPr>
          <w:p w14:paraId="0A8CB434" w14:textId="77777777" w:rsidR="0003711A" w:rsidRPr="00F61D2F" w:rsidRDefault="0003711A" w:rsidP="0003711A">
            <w:pPr>
              <w:jc w:val="right"/>
              <w:rPr>
                <w:b/>
                <w:bCs/>
                <w:color w:val="000000"/>
                <w:lang w:val="en-IN"/>
              </w:rPr>
            </w:pPr>
            <w:r w:rsidRPr="00F61D2F">
              <w:rPr>
                <w:b/>
                <w:bCs/>
                <w:color w:val="000000"/>
                <w:lang w:val="en-IN"/>
              </w:rPr>
              <w:t>10.62%</w:t>
            </w:r>
          </w:p>
        </w:tc>
        <w:tc>
          <w:tcPr>
            <w:tcW w:w="471" w:type="pct"/>
            <w:noWrap/>
            <w:hideMark/>
          </w:tcPr>
          <w:p w14:paraId="52E9E6F0" w14:textId="77777777" w:rsidR="0003711A" w:rsidRPr="00F61D2F" w:rsidRDefault="0003711A" w:rsidP="0003711A">
            <w:pPr>
              <w:jc w:val="right"/>
              <w:rPr>
                <w:b/>
                <w:bCs/>
                <w:color w:val="000000"/>
                <w:lang w:val="en-IN"/>
              </w:rPr>
            </w:pPr>
            <w:r w:rsidRPr="00F61D2F">
              <w:rPr>
                <w:b/>
                <w:bCs/>
                <w:color w:val="000000"/>
                <w:lang w:val="en-IN"/>
              </w:rPr>
              <w:t>2.50%</w:t>
            </w:r>
          </w:p>
        </w:tc>
        <w:tc>
          <w:tcPr>
            <w:tcW w:w="471" w:type="pct"/>
            <w:noWrap/>
            <w:hideMark/>
          </w:tcPr>
          <w:p w14:paraId="724D59EE" w14:textId="77777777" w:rsidR="0003711A" w:rsidRPr="00F61D2F" w:rsidRDefault="0003711A" w:rsidP="0003711A">
            <w:pPr>
              <w:jc w:val="right"/>
              <w:rPr>
                <w:b/>
                <w:bCs/>
                <w:color w:val="000000"/>
                <w:lang w:val="en-IN"/>
              </w:rPr>
            </w:pPr>
            <w:r w:rsidRPr="00F61D2F">
              <w:rPr>
                <w:b/>
                <w:bCs/>
                <w:color w:val="000000"/>
                <w:lang w:val="en-IN"/>
              </w:rPr>
              <w:t>-153.80%</w:t>
            </w:r>
          </w:p>
        </w:tc>
      </w:tr>
      <w:tr w:rsidR="0003711A" w:rsidRPr="00F61D2F" w14:paraId="4A7300B1" w14:textId="77777777" w:rsidTr="0003711A">
        <w:trPr>
          <w:trHeight w:val="312"/>
        </w:trPr>
        <w:tc>
          <w:tcPr>
            <w:tcW w:w="5000" w:type="pct"/>
            <w:gridSpan w:val="7"/>
            <w:noWrap/>
            <w:hideMark/>
          </w:tcPr>
          <w:p w14:paraId="724133F4" w14:textId="77777777" w:rsidR="0003711A" w:rsidRPr="00F61D2F" w:rsidRDefault="0003711A" w:rsidP="0003711A">
            <w:pPr>
              <w:jc w:val="center"/>
              <w:rPr>
                <w:b/>
                <w:bCs/>
                <w:color w:val="000000"/>
                <w:lang w:val="en-IN"/>
              </w:rPr>
            </w:pPr>
            <w:r w:rsidRPr="00F61D2F">
              <w:rPr>
                <w:b/>
                <w:bCs/>
                <w:color w:val="000000"/>
                <w:lang w:val="en-IN"/>
              </w:rPr>
              <w:t>"Return on Assets"</w:t>
            </w:r>
          </w:p>
        </w:tc>
      </w:tr>
      <w:tr w:rsidR="0003711A" w:rsidRPr="00F61D2F" w14:paraId="7CA0FDA8" w14:textId="77777777" w:rsidTr="0003711A">
        <w:trPr>
          <w:trHeight w:val="312"/>
        </w:trPr>
        <w:tc>
          <w:tcPr>
            <w:tcW w:w="1117" w:type="pct"/>
            <w:noWrap/>
            <w:hideMark/>
          </w:tcPr>
          <w:p w14:paraId="38EE5341" w14:textId="77777777" w:rsidR="0003711A" w:rsidRPr="00F61D2F" w:rsidRDefault="0003711A" w:rsidP="0003711A">
            <w:pPr>
              <w:jc w:val="center"/>
              <w:rPr>
                <w:b/>
                <w:bCs/>
                <w:color w:val="000000"/>
                <w:lang w:val="en-IN"/>
              </w:rPr>
            </w:pPr>
            <w:r w:rsidRPr="00F61D2F">
              <w:rPr>
                <w:b/>
                <w:bCs/>
                <w:color w:val="000000"/>
                <w:lang w:val="en-IN"/>
              </w:rPr>
              <w:t>"Financial aspects"</w:t>
            </w:r>
          </w:p>
        </w:tc>
        <w:tc>
          <w:tcPr>
            <w:tcW w:w="1454" w:type="pct"/>
            <w:noWrap/>
            <w:hideMark/>
          </w:tcPr>
          <w:p w14:paraId="29FCACFF" w14:textId="77777777" w:rsidR="0003711A" w:rsidRPr="00F61D2F" w:rsidRDefault="0003711A" w:rsidP="0003711A">
            <w:pPr>
              <w:jc w:val="center"/>
              <w:rPr>
                <w:b/>
                <w:bCs/>
                <w:color w:val="000000"/>
                <w:lang w:val="en-IN"/>
              </w:rPr>
            </w:pPr>
            <w:r w:rsidRPr="00F61D2F">
              <w:rPr>
                <w:b/>
                <w:bCs/>
                <w:color w:val="000000"/>
                <w:lang w:val="en-IN"/>
              </w:rPr>
              <w:t>"Formula"</w:t>
            </w:r>
          </w:p>
        </w:tc>
        <w:tc>
          <w:tcPr>
            <w:tcW w:w="543" w:type="pct"/>
            <w:noWrap/>
            <w:hideMark/>
          </w:tcPr>
          <w:p w14:paraId="5D8577F2" w14:textId="77777777" w:rsidR="0003711A" w:rsidRPr="00F61D2F" w:rsidRDefault="0003711A" w:rsidP="0003711A">
            <w:pPr>
              <w:jc w:val="center"/>
              <w:rPr>
                <w:b/>
                <w:bCs/>
                <w:color w:val="000000"/>
                <w:lang w:val="en-IN"/>
              </w:rPr>
            </w:pPr>
            <w:r w:rsidRPr="00F61D2F">
              <w:rPr>
                <w:b/>
                <w:bCs/>
                <w:color w:val="000000"/>
                <w:lang w:val="en-IN"/>
              </w:rPr>
              <w:t>2025</w:t>
            </w:r>
          </w:p>
        </w:tc>
        <w:tc>
          <w:tcPr>
            <w:tcW w:w="471" w:type="pct"/>
            <w:noWrap/>
            <w:hideMark/>
          </w:tcPr>
          <w:p w14:paraId="6457596D" w14:textId="77777777" w:rsidR="0003711A" w:rsidRPr="00F61D2F" w:rsidRDefault="0003711A" w:rsidP="0003711A">
            <w:pPr>
              <w:jc w:val="center"/>
              <w:rPr>
                <w:b/>
                <w:bCs/>
                <w:color w:val="000000"/>
                <w:lang w:val="en-IN"/>
              </w:rPr>
            </w:pPr>
            <w:r w:rsidRPr="00F61D2F">
              <w:rPr>
                <w:b/>
                <w:bCs/>
                <w:color w:val="000000"/>
                <w:lang w:val="en-IN"/>
              </w:rPr>
              <w:t>2024</w:t>
            </w:r>
          </w:p>
        </w:tc>
        <w:tc>
          <w:tcPr>
            <w:tcW w:w="471" w:type="pct"/>
            <w:noWrap/>
            <w:hideMark/>
          </w:tcPr>
          <w:p w14:paraId="060E94A0" w14:textId="77777777" w:rsidR="0003711A" w:rsidRPr="00F61D2F" w:rsidRDefault="0003711A" w:rsidP="0003711A">
            <w:pPr>
              <w:jc w:val="center"/>
              <w:rPr>
                <w:b/>
                <w:bCs/>
                <w:color w:val="000000"/>
                <w:lang w:val="en-IN"/>
              </w:rPr>
            </w:pPr>
            <w:r w:rsidRPr="00F61D2F">
              <w:rPr>
                <w:b/>
                <w:bCs/>
                <w:color w:val="000000"/>
                <w:lang w:val="en-IN"/>
              </w:rPr>
              <w:t>2023</w:t>
            </w:r>
          </w:p>
        </w:tc>
        <w:tc>
          <w:tcPr>
            <w:tcW w:w="471" w:type="pct"/>
            <w:noWrap/>
            <w:hideMark/>
          </w:tcPr>
          <w:p w14:paraId="7868726C" w14:textId="77777777" w:rsidR="0003711A" w:rsidRPr="00F61D2F" w:rsidRDefault="0003711A" w:rsidP="0003711A">
            <w:pPr>
              <w:jc w:val="center"/>
              <w:rPr>
                <w:b/>
                <w:bCs/>
                <w:color w:val="000000"/>
                <w:lang w:val="en-IN"/>
              </w:rPr>
            </w:pPr>
            <w:r w:rsidRPr="00F61D2F">
              <w:rPr>
                <w:b/>
                <w:bCs/>
                <w:color w:val="000000"/>
                <w:lang w:val="en-IN"/>
              </w:rPr>
              <w:t>2022</w:t>
            </w:r>
          </w:p>
        </w:tc>
        <w:tc>
          <w:tcPr>
            <w:tcW w:w="471" w:type="pct"/>
            <w:noWrap/>
            <w:hideMark/>
          </w:tcPr>
          <w:p w14:paraId="59FA9131" w14:textId="77777777" w:rsidR="0003711A" w:rsidRPr="00F61D2F" w:rsidRDefault="0003711A" w:rsidP="0003711A">
            <w:pPr>
              <w:jc w:val="center"/>
              <w:rPr>
                <w:b/>
                <w:bCs/>
                <w:color w:val="000000"/>
                <w:lang w:val="en-IN"/>
              </w:rPr>
            </w:pPr>
            <w:r w:rsidRPr="00F61D2F">
              <w:rPr>
                <w:b/>
                <w:bCs/>
                <w:color w:val="000000"/>
                <w:lang w:val="en-IN"/>
              </w:rPr>
              <w:t>2021</w:t>
            </w:r>
          </w:p>
        </w:tc>
      </w:tr>
      <w:tr w:rsidR="0003711A" w:rsidRPr="00F61D2F" w14:paraId="379D1A25" w14:textId="77777777" w:rsidTr="0003711A">
        <w:trPr>
          <w:trHeight w:val="312"/>
        </w:trPr>
        <w:tc>
          <w:tcPr>
            <w:tcW w:w="1117" w:type="pct"/>
            <w:noWrap/>
            <w:hideMark/>
          </w:tcPr>
          <w:p w14:paraId="473015B5" w14:textId="77777777" w:rsidR="0003711A" w:rsidRPr="00F61D2F" w:rsidRDefault="0003711A" w:rsidP="0003711A">
            <w:pPr>
              <w:jc w:val="left"/>
              <w:rPr>
                <w:color w:val="000000"/>
                <w:lang w:val="en-IN"/>
              </w:rPr>
            </w:pPr>
            <w:r w:rsidRPr="00F61D2F">
              <w:rPr>
                <w:color w:val="000000"/>
                <w:lang w:val="en-IN"/>
              </w:rPr>
              <w:t>"Net Income"</w:t>
            </w:r>
          </w:p>
        </w:tc>
        <w:tc>
          <w:tcPr>
            <w:tcW w:w="1454" w:type="pct"/>
            <w:vMerge w:val="restart"/>
            <w:hideMark/>
          </w:tcPr>
          <w:p w14:paraId="1ABDAE60" w14:textId="77777777" w:rsidR="0003711A" w:rsidRPr="00F61D2F" w:rsidRDefault="0003711A" w:rsidP="0003711A">
            <w:pPr>
              <w:jc w:val="center"/>
              <w:rPr>
                <w:b/>
                <w:bCs/>
                <w:color w:val="000000"/>
                <w:lang w:val="en-IN"/>
              </w:rPr>
            </w:pPr>
            <w:r w:rsidRPr="00F61D2F">
              <w:rPr>
                <w:b/>
                <w:bCs/>
                <w:color w:val="000000"/>
                <w:lang w:val="en-IN"/>
              </w:rPr>
              <w:t>"(Net income/</w:t>
            </w:r>
            <w:proofErr w:type="spellStart"/>
            <w:r w:rsidRPr="00F61D2F">
              <w:rPr>
                <w:b/>
                <w:bCs/>
                <w:color w:val="000000"/>
                <w:lang w:val="en-IN"/>
              </w:rPr>
              <w:t>Avarage</w:t>
            </w:r>
            <w:proofErr w:type="spellEnd"/>
            <w:r w:rsidRPr="00F61D2F">
              <w:rPr>
                <w:b/>
                <w:bCs/>
                <w:color w:val="000000"/>
                <w:lang w:val="en-IN"/>
              </w:rPr>
              <w:t xml:space="preserve"> of Total Assets)*100"</w:t>
            </w:r>
          </w:p>
        </w:tc>
        <w:tc>
          <w:tcPr>
            <w:tcW w:w="543" w:type="pct"/>
            <w:noWrap/>
            <w:hideMark/>
          </w:tcPr>
          <w:p w14:paraId="79D768BF" w14:textId="77777777" w:rsidR="0003711A" w:rsidRPr="00F61D2F" w:rsidRDefault="0003711A" w:rsidP="0003711A">
            <w:pPr>
              <w:jc w:val="left"/>
              <w:rPr>
                <w:color w:val="000000"/>
                <w:lang w:val="en-IN"/>
              </w:rPr>
            </w:pPr>
            <w:r w:rsidRPr="00F61D2F">
              <w:rPr>
                <w:color w:val="000000"/>
                <w:lang w:val="en-IN"/>
              </w:rPr>
              <w:t xml:space="preserve"> £        253.70 </w:t>
            </w:r>
          </w:p>
        </w:tc>
        <w:tc>
          <w:tcPr>
            <w:tcW w:w="471" w:type="pct"/>
            <w:noWrap/>
            <w:hideMark/>
          </w:tcPr>
          <w:p w14:paraId="57DA595A" w14:textId="77777777" w:rsidR="0003711A" w:rsidRPr="00F61D2F" w:rsidRDefault="0003711A" w:rsidP="0003711A">
            <w:pPr>
              <w:jc w:val="left"/>
              <w:rPr>
                <w:color w:val="000000"/>
                <w:lang w:val="en-IN"/>
              </w:rPr>
            </w:pPr>
            <w:r w:rsidRPr="00F61D2F">
              <w:rPr>
                <w:color w:val="000000"/>
                <w:lang w:val="en-IN"/>
              </w:rPr>
              <w:t xml:space="preserve"> £     312.10 </w:t>
            </w:r>
          </w:p>
        </w:tc>
        <w:tc>
          <w:tcPr>
            <w:tcW w:w="471" w:type="pct"/>
            <w:noWrap/>
            <w:hideMark/>
          </w:tcPr>
          <w:p w14:paraId="6EA2B62C" w14:textId="77777777" w:rsidR="0003711A" w:rsidRPr="00F61D2F" w:rsidRDefault="0003711A" w:rsidP="0003711A">
            <w:pPr>
              <w:jc w:val="left"/>
              <w:rPr>
                <w:color w:val="000000"/>
                <w:lang w:val="en-IN"/>
              </w:rPr>
            </w:pPr>
            <w:r w:rsidRPr="00F61D2F">
              <w:rPr>
                <w:color w:val="000000"/>
                <w:lang w:val="en-IN"/>
              </w:rPr>
              <w:t xml:space="preserve"> £     278.80 </w:t>
            </w:r>
          </w:p>
        </w:tc>
        <w:tc>
          <w:tcPr>
            <w:tcW w:w="471" w:type="pct"/>
            <w:noWrap/>
            <w:hideMark/>
          </w:tcPr>
          <w:p w14:paraId="7333A613" w14:textId="77777777" w:rsidR="0003711A" w:rsidRPr="00F61D2F" w:rsidRDefault="0003711A" w:rsidP="0003711A">
            <w:pPr>
              <w:jc w:val="left"/>
              <w:rPr>
                <w:color w:val="000000"/>
                <w:lang w:val="en-IN"/>
              </w:rPr>
            </w:pPr>
            <w:r w:rsidRPr="00F61D2F">
              <w:rPr>
                <w:color w:val="000000"/>
                <w:lang w:val="en-IN"/>
              </w:rPr>
              <w:t xml:space="preserve"> £       42.50 </w:t>
            </w:r>
          </w:p>
        </w:tc>
        <w:tc>
          <w:tcPr>
            <w:tcW w:w="471" w:type="pct"/>
            <w:noWrap/>
            <w:hideMark/>
          </w:tcPr>
          <w:p w14:paraId="1F771CEB" w14:textId="77777777" w:rsidR="0003711A" w:rsidRPr="00F61D2F" w:rsidRDefault="0003711A" w:rsidP="0003711A">
            <w:pPr>
              <w:jc w:val="left"/>
              <w:rPr>
                <w:color w:val="000000"/>
                <w:lang w:val="en-IN"/>
              </w:rPr>
            </w:pPr>
            <w:r w:rsidRPr="00F61D2F">
              <w:rPr>
                <w:color w:val="000000"/>
                <w:lang w:val="en-IN"/>
              </w:rPr>
              <w:t xml:space="preserve">-£     906.50 </w:t>
            </w:r>
          </w:p>
        </w:tc>
      </w:tr>
      <w:tr w:rsidR="0003711A" w:rsidRPr="00F61D2F" w14:paraId="38128DC9" w14:textId="77777777" w:rsidTr="0003711A">
        <w:trPr>
          <w:trHeight w:val="312"/>
        </w:trPr>
        <w:tc>
          <w:tcPr>
            <w:tcW w:w="1117" w:type="pct"/>
            <w:noWrap/>
            <w:hideMark/>
          </w:tcPr>
          <w:p w14:paraId="2100CED1" w14:textId="77777777" w:rsidR="0003711A" w:rsidRPr="00F61D2F" w:rsidRDefault="0003711A" w:rsidP="0003711A">
            <w:pPr>
              <w:jc w:val="left"/>
              <w:rPr>
                <w:color w:val="000000"/>
                <w:lang w:val="en-IN"/>
              </w:rPr>
            </w:pPr>
            <w:r w:rsidRPr="00F61D2F">
              <w:rPr>
                <w:color w:val="000000"/>
                <w:lang w:val="en-IN"/>
              </w:rPr>
              <w:t xml:space="preserve">"(/): </w:t>
            </w:r>
            <w:proofErr w:type="spellStart"/>
            <w:r w:rsidRPr="00F61D2F">
              <w:rPr>
                <w:color w:val="000000"/>
                <w:lang w:val="en-IN"/>
              </w:rPr>
              <w:t>Avarage</w:t>
            </w:r>
            <w:proofErr w:type="spellEnd"/>
            <w:r w:rsidRPr="00F61D2F">
              <w:rPr>
                <w:color w:val="000000"/>
                <w:lang w:val="en-IN"/>
              </w:rPr>
              <w:t xml:space="preserve"> of Total Assets"</w:t>
            </w:r>
          </w:p>
        </w:tc>
        <w:tc>
          <w:tcPr>
            <w:tcW w:w="1454" w:type="pct"/>
            <w:vMerge/>
            <w:hideMark/>
          </w:tcPr>
          <w:p w14:paraId="370AE571" w14:textId="77777777" w:rsidR="0003711A" w:rsidRPr="00F61D2F" w:rsidRDefault="0003711A" w:rsidP="0003711A">
            <w:pPr>
              <w:jc w:val="left"/>
              <w:rPr>
                <w:b/>
                <w:bCs/>
                <w:color w:val="000000"/>
                <w:lang w:val="en-IN"/>
              </w:rPr>
            </w:pPr>
          </w:p>
        </w:tc>
        <w:tc>
          <w:tcPr>
            <w:tcW w:w="543" w:type="pct"/>
            <w:noWrap/>
            <w:hideMark/>
          </w:tcPr>
          <w:p w14:paraId="3810FEC3" w14:textId="77777777" w:rsidR="0003711A" w:rsidRPr="00F61D2F" w:rsidRDefault="0003711A" w:rsidP="0003711A">
            <w:pPr>
              <w:jc w:val="left"/>
              <w:rPr>
                <w:color w:val="000000"/>
                <w:lang w:val="en-IN"/>
              </w:rPr>
            </w:pPr>
            <w:r w:rsidRPr="00F61D2F">
              <w:rPr>
                <w:color w:val="000000"/>
                <w:lang w:val="en-IN"/>
              </w:rPr>
              <w:t xml:space="preserve"> £     9,713.00 </w:t>
            </w:r>
          </w:p>
        </w:tc>
        <w:tc>
          <w:tcPr>
            <w:tcW w:w="471" w:type="pct"/>
            <w:noWrap/>
            <w:hideMark/>
          </w:tcPr>
          <w:p w14:paraId="7F0A4917" w14:textId="77777777" w:rsidR="0003711A" w:rsidRPr="00F61D2F" w:rsidRDefault="0003711A" w:rsidP="0003711A">
            <w:pPr>
              <w:jc w:val="left"/>
              <w:rPr>
                <w:color w:val="000000"/>
                <w:lang w:val="en-IN"/>
              </w:rPr>
            </w:pPr>
            <w:r w:rsidRPr="00F61D2F">
              <w:rPr>
                <w:color w:val="000000"/>
                <w:lang w:val="en-IN"/>
              </w:rPr>
              <w:t xml:space="preserve"> £  9,732.05 </w:t>
            </w:r>
          </w:p>
        </w:tc>
        <w:tc>
          <w:tcPr>
            <w:tcW w:w="471" w:type="pct"/>
            <w:noWrap/>
            <w:hideMark/>
          </w:tcPr>
          <w:p w14:paraId="48A2F7C8" w14:textId="77777777" w:rsidR="0003711A" w:rsidRPr="00F61D2F" w:rsidRDefault="0003711A" w:rsidP="0003711A">
            <w:pPr>
              <w:jc w:val="left"/>
              <w:rPr>
                <w:color w:val="000000"/>
                <w:lang w:val="en-IN"/>
              </w:rPr>
            </w:pPr>
            <w:r w:rsidRPr="00F61D2F">
              <w:rPr>
                <w:color w:val="000000"/>
                <w:lang w:val="en-IN"/>
              </w:rPr>
              <w:t xml:space="preserve"> £  9,754.65 </w:t>
            </w:r>
          </w:p>
        </w:tc>
        <w:tc>
          <w:tcPr>
            <w:tcW w:w="471" w:type="pct"/>
            <w:noWrap/>
            <w:hideMark/>
          </w:tcPr>
          <w:p w14:paraId="2F089A62" w14:textId="77777777" w:rsidR="0003711A" w:rsidRPr="00F61D2F" w:rsidRDefault="0003711A" w:rsidP="0003711A">
            <w:pPr>
              <w:jc w:val="left"/>
              <w:rPr>
                <w:color w:val="000000"/>
                <w:lang w:val="en-IN"/>
              </w:rPr>
            </w:pPr>
            <w:r w:rsidRPr="00F61D2F">
              <w:rPr>
                <w:color w:val="000000"/>
                <w:lang w:val="en-IN"/>
              </w:rPr>
              <w:t xml:space="preserve"> £  9,182.55 </w:t>
            </w:r>
          </w:p>
        </w:tc>
        <w:tc>
          <w:tcPr>
            <w:tcW w:w="471" w:type="pct"/>
            <w:noWrap/>
            <w:hideMark/>
          </w:tcPr>
          <w:p w14:paraId="78177C90" w14:textId="77777777" w:rsidR="0003711A" w:rsidRPr="00F61D2F" w:rsidRDefault="0003711A" w:rsidP="0003711A">
            <w:pPr>
              <w:jc w:val="left"/>
              <w:rPr>
                <w:color w:val="000000"/>
                <w:lang w:val="en-IN"/>
              </w:rPr>
            </w:pPr>
            <w:r w:rsidRPr="00F61D2F">
              <w:rPr>
                <w:color w:val="000000"/>
                <w:lang w:val="en-IN"/>
              </w:rPr>
              <w:t xml:space="preserve"> £  8,312.05 </w:t>
            </w:r>
          </w:p>
        </w:tc>
      </w:tr>
      <w:tr w:rsidR="0003711A" w:rsidRPr="00F61D2F" w14:paraId="336C5AFB" w14:textId="77777777" w:rsidTr="0003711A">
        <w:trPr>
          <w:trHeight w:val="312"/>
        </w:trPr>
        <w:tc>
          <w:tcPr>
            <w:tcW w:w="1117" w:type="pct"/>
            <w:noWrap/>
            <w:hideMark/>
          </w:tcPr>
          <w:p w14:paraId="3AD61A08" w14:textId="77777777" w:rsidR="0003711A" w:rsidRPr="00F61D2F" w:rsidRDefault="0003711A" w:rsidP="0003711A">
            <w:pPr>
              <w:jc w:val="left"/>
              <w:rPr>
                <w:b/>
                <w:bCs/>
                <w:color w:val="000000"/>
                <w:lang w:val="en-IN"/>
              </w:rPr>
            </w:pPr>
            <w:r w:rsidRPr="00F61D2F">
              <w:rPr>
                <w:b/>
                <w:bCs/>
                <w:color w:val="000000"/>
                <w:lang w:val="en-IN"/>
              </w:rPr>
              <w:t>"Return on Assets"</w:t>
            </w:r>
          </w:p>
        </w:tc>
        <w:tc>
          <w:tcPr>
            <w:tcW w:w="1454" w:type="pct"/>
            <w:vMerge/>
            <w:hideMark/>
          </w:tcPr>
          <w:p w14:paraId="42B17FB8" w14:textId="77777777" w:rsidR="0003711A" w:rsidRPr="00F61D2F" w:rsidRDefault="0003711A" w:rsidP="0003711A">
            <w:pPr>
              <w:jc w:val="left"/>
              <w:rPr>
                <w:b/>
                <w:bCs/>
                <w:color w:val="000000"/>
                <w:lang w:val="en-IN"/>
              </w:rPr>
            </w:pPr>
          </w:p>
        </w:tc>
        <w:tc>
          <w:tcPr>
            <w:tcW w:w="543" w:type="pct"/>
            <w:noWrap/>
            <w:hideMark/>
          </w:tcPr>
          <w:p w14:paraId="2E7D9561" w14:textId="77777777" w:rsidR="0003711A" w:rsidRPr="00F61D2F" w:rsidRDefault="0003711A" w:rsidP="0003711A">
            <w:pPr>
              <w:jc w:val="right"/>
              <w:rPr>
                <w:b/>
                <w:bCs/>
                <w:color w:val="000000"/>
                <w:lang w:val="en-IN"/>
              </w:rPr>
            </w:pPr>
            <w:r w:rsidRPr="00F61D2F">
              <w:rPr>
                <w:b/>
                <w:bCs/>
                <w:color w:val="000000"/>
                <w:lang w:val="en-IN"/>
              </w:rPr>
              <w:t>2.61%</w:t>
            </w:r>
          </w:p>
        </w:tc>
        <w:tc>
          <w:tcPr>
            <w:tcW w:w="471" w:type="pct"/>
            <w:noWrap/>
            <w:hideMark/>
          </w:tcPr>
          <w:p w14:paraId="22D8746B" w14:textId="77777777" w:rsidR="0003711A" w:rsidRPr="00F61D2F" w:rsidRDefault="0003711A" w:rsidP="0003711A">
            <w:pPr>
              <w:jc w:val="right"/>
              <w:rPr>
                <w:b/>
                <w:bCs/>
                <w:color w:val="000000"/>
                <w:lang w:val="en-IN"/>
              </w:rPr>
            </w:pPr>
            <w:r w:rsidRPr="00F61D2F">
              <w:rPr>
                <w:b/>
                <w:bCs/>
                <w:color w:val="000000"/>
                <w:lang w:val="en-IN"/>
              </w:rPr>
              <w:t>3.21%</w:t>
            </w:r>
          </w:p>
        </w:tc>
        <w:tc>
          <w:tcPr>
            <w:tcW w:w="471" w:type="pct"/>
            <w:noWrap/>
            <w:hideMark/>
          </w:tcPr>
          <w:p w14:paraId="64F6FFF7" w14:textId="77777777" w:rsidR="0003711A" w:rsidRPr="00F61D2F" w:rsidRDefault="0003711A" w:rsidP="0003711A">
            <w:pPr>
              <w:jc w:val="right"/>
              <w:rPr>
                <w:b/>
                <w:bCs/>
                <w:color w:val="000000"/>
                <w:lang w:val="en-IN"/>
              </w:rPr>
            </w:pPr>
            <w:r w:rsidRPr="00F61D2F">
              <w:rPr>
                <w:b/>
                <w:bCs/>
                <w:color w:val="000000"/>
                <w:lang w:val="en-IN"/>
              </w:rPr>
              <w:t>2.86%</w:t>
            </w:r>
          </w:p>
        </w:tc>
        <w:tc>
          <w:tcPr>
            <w:tcW w:w="471" w:type="pct"/>
            <w:noWrap/>
            <w:hideMark/>
          </w:tcPr>
          <w:p w14:paraId="72C6916D" w14:textId="77777777" w:rsidR="0003711A" w:rsidRPr="00F61D2F" w:rsidRDefault="0003711A" w:rsidP="0003711A">
            <w:pPr>
              <w:jc w:val="right"/>
              <w:rPr>
                <w:b/>
                <w:bCs/>
                <w:color w:val="000000"/>
                <w:lang w:val="en-IN"/>
              </w:rPr>
            </w:pPr>
            <w:r w:rsidRPr="00F61D2F">
              <w:rPr>
                <w:b/>
                <w:bCs/>
                <w:color w:val="000000"/>
                <w:lang w:val="en-IN"/>
              </w:rPr>
              <w:t>0.46%</w:t>
            </w:r>
          </w:p>
        </w:tc>
        <w:tc>
          <w:tcPr>
            <w:tcW w:w="471" w:type="pct"/>
            <w:noWrap/>
            <w:hideMark/>
          </w:tcPr>
          <w:p w14:paraId="46C5F59D" w14:textId="77777777" w:rsidR="0003711A" w:rsidRPr="00F61D2F" w:rsidRDefault="0003711A" w:rsidP="0003711A">
            <w:pPr>
              <w:jc w:val="right"/>
              <w:rPr>
                <w:b/>
                <w:bCs/>
                <w:color w:val="000000"/>
                <w:lang w:val="en-IN"/>
              </w:rPr>
            </w:pPr>
            <w:r w:rsidRPr="00F61D2F">
              <w:rPr>
                <w:b/>
                <w:bCs/>
                <w:color w:val="000000"/>
                <w:lang w:val="en-IN"/>
              </w:rPr>
              <w:t>-10.91%</w:t>
            </w:r>
          </w:p>
        </w:tc>
      </w:tr>
      <w:tr w:rsidR="0003711A" w:rsidRPr="00F61D2F" w14:paraId="7F01B7CE" w14:textId="77777777" w:rsidTr="0003711A">
        <w:trPr>
          <w:trHeight w:val="312"/>
        </w:trPr>
        <w:tc>
          <w:tcPr>
            <w:tcW w:w="5000" w:type="pct"/>
            <w:gridSpan w:val="7"/>
            <w:noWrap/>
            <w:hideMark/>
          </w:tcPr>
          <w:p w14:paraId="5EEB2BF1" w14:textId="77777777" w:rsidR="0003711A" w:rsidRPr="00F61D2F" w:rsidRDefault="0003711A" w:rsidP="0003711A">
            <w:pPr>
              <w:jc w:val="center"/>
              <w:rPr>
                <w:color w:val="000000"/>
                <w:lang w:val="en-IN"/>
              </w:rPr>
            </w:pPr>
            <w:r w:rsidRPr="00F61D2F">
              <w:rPr>
                <w:color w:val="000000"/>
                <w:lang w:val="en-IN"/>
              </w:rPr>
              <w:t> </w:t>
            </w:r>
          </w:p>
        </w:tc>
      </w:tr>
      <w:tr w:rsidR="0003711A" w:rsidRPr="00F61D2F" w14:paraId="0163F0A1" w14:textId="77777777" w:rsidTr="0003711A">
        <w:trPr>
          <w:trHeight w:val="312"/>
        </w:trPr>
        <w:tc>
          <w:tcPr>
            <w:tcW w:w="5000" w:type="pct"/>
            <w:gridSpan w:val="7"/>
            <w:noWrap/>
            <w:hideMark/>
          </w:tcPr>
          <w:p w14:paraId="7FF55251" w14:textId="77777777" w:rsidR="0003711A" w:rsidRPr="00F61D2F" w:rsidRDefault="0003711A" w:rsidP="0003711A">
            <w:pPr>
              <w:jc w:val="center"/>
              <w:rPr>
                <w:b/>
                <w:bCs/>
                <w:color w:val="000000"/>
                <w:lang w:val="en-IN"/>
              </w:rPr>
            </w:pPr>
            <w:r w:rsidRPr="00F61D2F">
              <w:rPr>
                <w:b/>
                <w:bCs/>
                <w:color w:val="000000"/>
                <w:lang w:val="en-IN"/>
              </w:rPr>
              <w:t>"Gross Profit Margin"</w:t>
            </w:r>
          </w:p>
        </w:tc>
      </w:tr>
      <w:tr w:rsidR="0003711A" w:rsidRPr="00F61D2F" w14:paraId="6173E31B" w14:textId="77777777" w:rsidTr="0003711A">
        <w:trPr>
          <w:trHeight w:val="312"/>
        </w:trPr>
        <w:tc>
          <w:tcPr>
            <w:tcW w:w="1117" w:type="pct"/>
            <w:noWrap/>
            <w:hideMark/>
          </w:tcPr>
          <w:p w14:paraId="7213060F" w14:textId="77777777" w:rsidR="0003711A" w:rsidRPr="00F61D2F" w:rsidRDefault="0003711A" w:rsidP="0003711A">
            <w:pPr>
              <w:jc w:val="center"/>
              <w:rPr>
                <w:b/>
                <w:bCs/>
                <w:color w:val="000000"/>
                <w:lang w:val="en-IN"/>
              </w:rPr>
            </w:pPr>
            <w:r w:rsidRPr="00F61D2F">
              <w:rPr>
                <w:b/>
                <w:bCs/>
                <w:color w:val="000000"/>
                <w:lang w:val="en-IN"/>
              </w:rPr>
              <w:t>"Financial aspects"</w:t>
            </w:r>
          </w:p>
        </w:tc>
        <w:tc>
          <w:tcPr>
            <w:tcW w:w="1454" w:type="pct"/>
            <w:noWrap/>
            <w:hideMark/>
          </w:tcPr>
          <w:p w14:paraId="5EDC68C8" w14:textId="77777777" w:rsidR="0003711A" w:rsidRPr="00F61D2F" w:rsidRDefault="0003711A" w:rsidP="0003711A">
            <w:pPr>
              <w:jc w:val="center"/>
              <w:rPr>
                <w:b/>
                <w:bCs/>
                <w:color w:val="000000"/>
                <w:lang w:val="en-IN"/>
              </w:rPr>
            </w:pPr>
            <w:r w:rsidRPr="00F61D2F">
              <w:rPr>
                <w:b/>
                <w:bCs/>
                <w:color w:val="000000"/>
                <w:lang w:val="en-IN"/>
              </w:rPr>
              <w:t>"Formula"</w:t>
            </w:r>
          </w:p>
        </w:tc>
        <w:tc>
          <w:tcPr>
            <w:tcW w:w="543" w:type="pct"/>
            <w:noWrap/>
            <w:hideMark/>
          </w:tcPr>
          <w:p w14:paraId="48ACA549" w14:textId="77777777" w:rsidR="0003711A" w:rsidRPr="00F61D2F" w:rsidRDefault="0003711A" w:rsidP="0003711A">
            <w:pPr>
              <w:jc w:val="center"/>
              <w:rPr>
                <w:b/>
                <w:bCs/>
                <w:color w:val="000000"/>
                <w:lang w:val="en-IN"/>
              </w:rPr>
            </w:pPr>
            <w:r w:rsidRPr="00F61D2F">
              <w:rPr>
                <w:b/>
                <w:bCs/>
                <w:color w:val="000000"/>
                <w:lang w:val="en-IN"/>
              </w:rPr>
              <w:t>2025</w:t>
            </w:r>
          </w:p>
        </w:tc>
        <w:tc>
          <w:tcPr>
            <w:tcW w:w="471" w:type="pct"/>
            <w:noWrap/>
            <w:hideMark/>
          </w:tcPr>
          <w:p w14:paraId="224DB930" w14:textId="77777777" w:rsidR="0003711A" w:rsidRPr="00F61D2F" w:rsidRDefault="0003711A" w:rsidP="0003711A">
            <w:pPr>
              <w:jc w:val="center"/>
              <w:rPr>
                <w:b/>
                <w:bCs/>
                <w:color w:val="000000"/>
                <w:lang w:val="en-IN"/>
              </w:rPr>
            </w:pPr>
            <w:r w:rsidRPr="00F61D2F">
              <w:rPr>
                <w:b/>
                <w:bCs/>
                <w:color w:val="000000"/>
                <w:lang w:val="en-IN"/>
              </w:rPr>
              <w:t>2024</w:t>
            </w:r>
          </w:p>
        </w:tc>
        <w:tc>
          <w:tcPr>
            <w:tcW w:w="471" w:type="pct"/>
            <w:noWrap/>
            <w:hideMark/>
          </w:tcPr>
          <w:p w14:paraId="1AC62DD9" w14:textId="77777777" w:rsidR="0003711A" w:rsidRPr="00F61D2F" w:rsidRDefault="0003711A" w:rsidP="0003711A">
            <w:pPr>
              <w:jc w:val="center"/>
              <w:rPr>
                <w:b/>
                <w:bCs/>
                <w:color w:val="000000"/>
                <w:lang w:val="en-IN"/>
              </w:rPr>
            </w:pPr>
            <w:r w:rsidRPr="00F61D2F">
              <w:rPr>
                <w:b/>
                <w:bCs/>
                <w:color w:val="000000"/>
                <w:lang w:val="en-IN"/>
              </w:rPr>
              <w:t>2023</w:t>
            </w:r>
          </w:p>
        </w:tc>
        <w:tc>
          <w:tcPr>
            <w:tcW w:w="471" w:type="pct"/>
            <w:noWrap/>
            <w:hideMark/>
          </w:tcPr>
          <w:p w14:paraId="3FD99548" w14:textId="77777777" w:rsidR="0003711A" w:rsidRPr="00F61D2F" w:rsidRDefault="0003711A" w:rsidP="0003711A">
            <w:pPr>
              <w:jc w:val="center"/>
              <w:rPr>
                <w:b/>
                <w:bCs/>
                <w:color w:val="000000"/>
                <w:lang w:val="en-IN"/>
              </w:rPr>
            </w:pPr>
            <w:r w:rsidRPr="00F61D2F">
              <w:rPr>
                <w:b/>
                <w:bCs/>
                <w:color w:val="000000"/>
                <w:lang w:val="en-IN"/>
              </w:rPr>
              <w:t>2022</w:t>
            </w:r>
          </w:p>
        </w:tc>
        <w:tc>
          <w:tcPr>
            <w:tcW w:w="471" w:type="pct"/>
            <w:noWrap/>
            <w:hideMark/>
          </w:tcPr>
          <w:p w14:paraId="1940AE85" w14:textId="77777777" w:rsidR="0003711A" w:rsidRPr="00F61D2F" w:rsidRDefault="0003711A" w:rsidP="0003711A">
            <w:pPr>
              <w:jc w:val="center"/>
              <w:rPr>
                <w:b/>
                <w:bCs/>
                <w:color w:val="000000"/>
                <w:lang w:val="en-IN"/>
              </w:rPr>
            </w:pPr>
            <w:r w:rsidRPr="00F61D2F">
              <w:rPr>
                <w:b/>
                <w:bCs/>
                <w:color w:val="000000"/>
                <w:lang w:val="en-IN"/>
              </w:rPr>
              <w:t>2021</w:t>
            </w:r>
          </w:p>
        </w:tc>
      </w:tr>
      <w:tr w:rsidR="0003711A" w:rsidRPr="00F61D2F" w14:paraId="6F574E90" w14:textId="77777777" w:rsidTr="0003711A">
        <w:trPr>
          <w:trHeight w:val="312"/>
        </w:trPr>
        <w:tc>
          <w:tcPr>
            <w:tcW w:w="1117" w:type="pct"/>
            <w:noWrap/>
            <w:hideMark/>
          </w:tcPr>
          <w:p w14:paraId="35DC64E4" w14:textId="77777777" w:rsidR="0003711A" w:rsidRPr="00F61D2F" w:rsidRDefault="0003711A" w:rsidP="0003711A">
            <w:pPr>
              <w:jc w:val="left"/>
              <w:rPr>
                <w:color w:val="000000"/>
                <w:lang w:val="en-IN"/>
              </w:rPr>
            </w:pPr>
            <w:r w:rsidRPr="00F61D2F">
              <w:rPr>
                <w:color w:val="000000"/>
                <w:lang w:val="en-IN"/>
              </w:rPr>
              <w:t>"Sales"</w:t>
            </w:r>
          </w:p>
        </w:tc>
        <w:tc>
          <w:tcPr>
            <w:tcW w:w="1454" w:type="pct"/>
            <w:vMerge w:val="restart"/>
            <w:hideMark/>
          </w:tcPr>
          <w:p w14:paraId="63174FC0" w14:textId="77777777" w:rsidR="0003711A" w:rsidRPr="00F61D2F" w:rsidRDefault="0003711A" w:rsidP="0003711A">
            <w:pPr>
              <w:jc w:val="center"/>
              <w:rPr>
                <w:b/>
                <w:bCs/>
                <w:color w:val="000000"/>
                <w:lang w:val="en-IN"/>
              </w:rPr>
            </w:pPr>
            <w:r w:rsidRPr="00F61D2F">
              <w:rPr>
                <w:b/>
                <w:bCs/>
                <w:color w:val="000000"/>
                <w:lang w:val="en-IN"/>
              </w:rPr>
              <w:t>"(Sales-COGS)/Sales*100"</w:t>
            </w:r>
          </w:p>
        </w:tc>
        <w:tc>
          <w:tcPr>
            <w:tcW w:w="543" w:type="pct"/>
            <w:noWrap/>
            <w:hideMark/>
          </w:tcPr>
          <w:p w14:paraId="105B5930" w14:textId="77777777" w:rsidR="0003711A" w:rsidRPr="00F61D2F" w:rsidRDefault="0003711A" w:rsidP="0003711A">
            <w:pPr>
              <w:jc w:val="left"/>
              <w:rPr>
                <w:color w:val="000000"/>
                <w:lang w:val="en-IN"/>
              </w:rPr>
            </w:pPr>
            <w:r w:rsidRPr="00F61D2F">
              <w:rPr>
                <w:color w:val="000000"/>
                <w:lang w:val="en-IN"/>
              </w:rPr>
              <w:t xml:space="preserve"> £     2,921.90 </w:t>
            </w:r>
          </w:p>
        </w:tc>
        <w:tc>
          <w:tcPr>
            <w:tcW w:w="471" w:type="pct"/>
            <w:noWrap/>
            <w:hideMark/>
          </w:tcPr>
          <w:p w14:paraId="1B793126" w14:textId="77777777" w:rsidR="0003711A" w:rsidRPr="00F61D2F" w:rsidRDefault="0003711A" w:rsidP="0003711A">
            <w:pPr>
              <w:jc w:val="left"/>
              <w:rPr>
                <w:color w:val="000000"/>
                <w:lang w:val="en-IN"/>
              </w:rPr>
            </w:pPr>
            <w:r w:rsidRPr="00F61D2F">
              <w:rPr>
                <w:color w:val="000000"/>
                <w:lang w:val="en-IN"/>
              </w:rPr>
              <w:t xml:space="preserve"> £  2,959.90 </w:t>
            </w:r>
          </w:p>
        </w:tc>
        <w:tc>
          <w:tcPr>
            <w:tcW w:w="471" w:type="pct"/>
            <w:noWrap/>
            <w:hideMark/>
          </w:tcPr>
          <w:p w14:paraId="135F46D0" w14:textId="77777777" w:rsidR="0003711A" w:rsidRPr="00F61D2F" w:rsidRDefault="0003711A" w:rsidP="0003711A">
            <w:pPr>
              <w:jc w:val="left"/>
              <w:rPr>
                <w:color w:val="000000"/>
                <w:lang w:val="en-IN"/>
              </w:rPr>
            </w:pPr>
            <w:r w:rsidRPr="00F61D2F">
              <w:rPr>
                <w:color w:val="000000"/>
                <w:lang w:val="en-IN"/>
              </w:rPr>
              <w:t xml:space="preserve"> £  2,625.20 </w:t>
            </w:r>
          </w:p>
        </w:tc>
        <w:tc>
          <w:tcPr>
            <w:tcW w:w="471" w:type="pct"/>
            <w:noWrap/>
            <w:hideMark/>
          </w:tcPr>
          <w:p w14:paraId="492C6264" w14:textId="77777777" w:rsidR="0003711A" w:rsidRPr="00F61D2F" w:rsidRDefault="0003711A" w:rsidP="0003711A">
            <w:pPr>
              <w:jc w:val="left"/>
              <w:rPr>
                <w:color w:val="000000"/>
                <w:lang w:val="en-IN"/>
              </w:rPr>
            </w:pPr>
            <w:r w:rsidRPr="00F61D2F">
              <w:rPr>
                <w:color w:val="000000"/>
                <w:lang w:val="en-IN"/>
              </w:rPr>
              <w:t xml:space="preserve"> £  1,703.40 </w:t>
            </w:r>
          </w:p>
        </w:tc>
        <w:tc>
          <w:tcPr>
            <w:tcW w:w="471" w:type="pct"/>
            <w:noWrap/>
            <w:hideMark/>
          </w:tcPr>
          <w:p w14:paraId="46C78572" w14:textId="77777777" w:rsidR="0003711A" w:rsidRPr="00F61D2F" w:rsidRDefault="0003711A" w:rsidP="0003711A">
            <w:pPr>
              <w:jc w:val="left"/>
              <w:rPr>
                <w:color w:val="000000"/>
                <w:lang w:val="en-IN"/>
              </w:rPr>
            </w:pPr>
            <w:r w:rsidRPr="00F61D2F">
              <w:rPr>
                <w:color w:val="000000"/>
                <w:lang w:val="en-IN"/>
              </w:rPr>
              <w:t xml:space="preserve"> £     589.40 </w:t>
            </w:r>
          </w:p>
        </w:tc>
      </w:tr>
      <w:tr w:rsidR="0003711A" w:rsidRPr="00F61D2F" w14:paraId="701E38D7" w14:textId="77777777" w:rsidTr="0003711A">
        <w:trPr>
          <w:trHeight w:val="312"/>
        </w:trPr>
        <w:tc>
          <w:tcPr>
            <w:tcW w:w="1117" w:type="pct"/>
            <w:noWrap/>
            <w:hideMark/>
          </w:tcPr>
          <w:p w14:paraId="036DD697" w14:textId="77777777" w:rsidR="0003711A" w:rsidRPr="00F61D2F" w:rsidRDefault="0003711A" w:rsidP="0003711A">
            <w:pPr>
              <w:jc w:val="left"/>
              <w:rPr>
                <w:color w:val="000000"/>
                <w:lang w:val="en-IN"/>
              </w:rPr>
            </w:pPr>
            <w:r w:rsidRPr="00F61D2F">
              <w:rPr>
                <w:color w:val="000000"/>
                <w:lang w:val="en-IN"/>
              </w:rPr>
              <w:t>"(-):COGS"</w:t>
            </w:r>
          </w:p>
        </w:tc>
        <w:tc>
          <w:tcPr>
            <w:tcW w:w="1454" w:type="pct"/>
            <w:vMerge/>
            <w:hideMark/>
          </w:tcPr>
          <w:p w14:paraId="27CDFE1A" w14:textId="77777777" w:rsidR="0003711A" w:rsidRPr="00F61D2F" w:rsidRDefault="0003711A" w:rsidP="0003711A">
            <w:pPr>
              <w:jc w:val="left"/>
              <w:rPr>
                <w:b/>
                <w:bCs/>
                <w:color w:val="000000"/>
                <w:lang w:val="en-IN"/>
              </w:rPr>
            </w:pPr>
          </w:p>
        </w:tc>
        <w:tc>
          <w:tcPr>
            <w:tcW w:w="543" w:type="pct"/>
            <w:noWrap/>
            <w:hideMark/>
          </w:tcPr>
          <w:p w14:paraId="2499FB79" w14:textId="77777777" w:rsidR="0003711A" w:rsidRPr="00F61D2F" w:rsidRDefault="0003711A" w:rsidP="0003711A">
            <w:pPr>
              <w:jc w:val="left"/>
              <w:rPr>
                <w:color w:val="000000"/>
                <w:lang w:val="en-IN"/>
              </w:rPr>
            </w:pPr>
            <w:r w:rsidRPr="00F61D2F">
              <w:rPr>
                <w:color w:val="000000"/>
                <w:lang w:val="en-IN"/>
              </w:rPr>
              <w:t xml:space="preserve">-£     2,420.00 </w:t>
            </w:r>
          </w:p>
        </w:tc>
        <w:tc>
          <w:tcPr>
            <w:tcW w:w="471" w:type="pct"/>
            <w:noWrap/>
            <w:hideMark/>
          </w:tcPr>
          <w:p w14:paraId="42510422" w14:textId="77777777" w:rsidR="0003711A" w:rsidRPr="00F61D2F" w:rsidRDefault="0003711A" w:rsidP="0003711A">
            <w:pPr>
              <w:jc w:val="left"/>
              <w:rPr>
                <w:color w:val="000000"/>
                <w:lang w:val="en-IN"/>
              </w:rPr>
            </w:pPr>
            <w:r w:rsidRPr="00F61D2F">
              <w:rPr>
                <w:color w:val="000000"/>
                <w:lang w:val="en-IN"/>
              </w:rPr>
              <w:t xml:space="preserve">-£  2,421.70 </w:t>
            </w:r>
          </w:p>
        </w:tc>
        <w:tc>
          <w:tcPr>
            <w:tcW w:w="471" w:type="pct"/>
            <w:noWrap/>
            <w:hideMark/>
          </w:tcPr>
          <w:p w14:paraId="39186884" w14:textId="77777777" w:rsidR="0003711A" w:rsidRPr="00F61D2F" w:rsidRDefault="0003711A" w:rsidP="0003711A">
            <w:pPr>
              <w:jc w:val="left"/>
              <w:rPr>
                <w:color w:val="000000"/>
                <w:lang w:val="en-IN"/>
              </w:rPr>
            </w:pPr>
            <w:r w:rsidRPr="00F61D2F">
              <w:rPr>
                <w:color w:val="000000"/>
                <w:lang w:val="en-IN"/>
              </w:rPr>
              <w:t xml:space="preserve">-£  2,133.70 </w:t>
            </w:r>
          </w:p>
        </w:tc>
        <w:tc>
          <w:tcPr>
            <w:tcW w:w="471" w:type="pct"/>
            <w:noWrap/>
            <w:hideMark/>
          </w:tcPr>
          <w:p w14:paraId="786E5376" w14:textId="77777777" w:rsidR="0003711A" w:rsidRPr="00F61D2F" w:rsidRDefault="0003711A" w:rsidP="0003711A">
            <w:pPr>
              <w:jc w:val="left"/>
              <w:rPr>
                <w:color w:val="000000"/>
                <w:lang w:val="en-IN"/>
              </w:rPr>
            </w:pPr>
            <w:r w:rsidRPr="00F61D2F">
              <w:rPr>
                <w:color w:val="000000"/>
                <w:lang w:val="en-IN"/>
              </w:rPr>
              <w:t xml:space="preserve">-£  1,605.80 </w:t>
            </w:r>
          </w:p>
        </w:tc>
        <w:tc>
          <w:tcPr>
            <w:tcW w:w="471" w:type="pct"/>
            <w:noWrap/>
            <w:hideMark/>
          </w:tcPr>
          <w:p w14:paraId="3B84C8F5" w14:textId="77777777" w:rsidR="0003711A" w:rsidRPr="00F61D2F" w:rsidRDefault="0003711A" w:rsidP="0003711A">
            <w:pPr>
              <w:jc w:val="left"/>
              <w:rPr>
                <w:color w:val="000000"/>
                <w:lang w:val="en-IN"/>
              </w:rPr>
            </w:pPr>
            <w:r w:rsidRPr="00F61D2F">
              <w:rPr>
                <w:color w:val="000000"/>
                <w:lang w:val="en-IN"/>
              </w:rPr>
              <w:t xml:space="preserve">-£  1,683.10 </w:t>
            </w:r>
          </w:p>
        </w:tc>
      </w:tr>
      <w:tr w:rsidR="0003711A" w:rsidRPr="00F61D2F" w14:paraId="52444493" w14:textId="77777777" w:rsidTr="0003711A">
        <w:trPr>
          <w:trHeight w:val="312"/>
        </w:trPr>
        <w:tc>
          <w:tcPr>
            <w:tcW w:w="1117" w:type="pct"/>
            <w:noWrap/>
            <w:hideMark/>
          </w:tcPr>
          <w:p w14:paraId="52778824" w14:textId="77777777" w:rsidR="0003711A" w:rsidRPr="00F61D2F" w:rsidRDefault="0003711A" w:rsidP="0003711A">
            <w:pPr>
              <w:jc w:val="left"/>
              <w:rPr>
                <w:color w:val="000000"/>
                <w:lang w:val="en-IN"/>
              </w:rPr>
            </w:pPr>
            <w:r w:rsidRPr="00F61D2F">
              <w:rPr>
                <w:color w:val="000000"/>
                <w:lang w:val="en-IN"/>
              </w:rPr>
              <w:t>"(/): Sales"</w:t>
            </w:r>
          </w:p>
        </w:tc>
        <w:tc>
          <w:tcPr>
            <w:tcW w:w="1454" w:type="pct"/>
            <w:vMerge/>
            <w:hideMark/>
          </w:tcPr>
          <w:p w14:paraId="4EAEA69E" w14:textId="77777777" w:rsidR="0003711A" w:rsidRPr="00F61D2F" w:rsidRDefault="0003711A" w:rsidP="0003711A">
            <w:pPr>
              <w:jc w:val="left"/>
              <w:rPr>
                <w:b/>
                <w:bCs/>
                <w:color w:val="000000"/>
                <w:lang w:val="en-IN"/>
              </w:rPr>
            </w:pPr>
          </w:p>
        </w:tc>
        <w:tc>
          <w:tcPr>
            <w:tcW w:w="543" w:type="pct"/>
            <w:noWrap/>
            <w:hideMark/>
          </w:tcPr>
          <w:p w14:paraId="1D3AD790" w14:textId="77777777" w:rsidR="0003711A" w:rsidRPr="00F61D2F" w:rsidRDefault="0003711A" w:rsidP="0003711A">
            <w:pPr>
              <w:jc w:val="left"/>
              <w:rPr>
                <w:color w:val="000000"/>
                <w:lang w:val="en-IN"/>
              </w:rPr>
            </w:pPr>
            <w:r w:rsidRPr="00F61D2F">
              <w:rPr>
                <w:color w:val="000000"/>
                <w:lang w:val="en-IN"/>
              </w:rPr>
              <w:t xml:space="preserve"> £     2,921.90 </w:t>
            </w:r>
          </w:p>
        </w:tc>
        <w:tc>
          <w:tcPr>
            <w:tcW w:w="471" w:type="pct"/>
            <w:noWrap/>
            <w:hideMark/>
          </w:tcPr>
          <w:p w14:paraId="756C72D2" w14:textId="77777777" w:rsidR="0003711A" w:rsidRPr="00F61D2F" w:rsidRDefault="0003711A" w:rsidP="0003711A">
            <w:pPr>
              <w:jc w:val="left"/>
              <w:rPr>
                <w:color w:val="000000"/>
                <w:lang w:val="en-IN"/>
              </w:rPr>
            </w:pPr>
            <w:r w:rsidRPr="00F61D2F">
              <w:rPr>
                <w:color w:val="000000"/>
                <w:lang w:val="en-IN"/>
              </w:rPr>
              <w:t xml:space="preserve"> £  2,959.90 </w:t>
            </w:r>
          </w:p>
        </w:tc>
        <w:tc>
          <w:tcPr>
            <w:tcW w:w="471" w:type="pct"/>
            <w:noWrap/>
            <w:hideMark/>
          </w:tcPr>
          <w:p w14:paraId="5C7DD561" w14:textId="77777777" w:rsidR="0003711A" w:rsidRPr="00F61D2F" w:rsidRDefault="0003711A" w:rsidP="0003711A">
            <w:pPr>
              <w:jc w:val="left"/>
              <w:rPr>
                <w:color w:val="000000"/>
                <w:lang w:val="en-IN"/>
              </w:rPr>
            </w:pPr>
            <w:r w:rsidRPr="00F61D2F">
              <w:rPr>
                <w:color w:val="000000"/>
                <w:lang w:val="en-IN"/>
              </w:rPr>
              <w:t xml:space="preserve"> £  2,625.20 </w:t>
            </w:r>
          </w:p>
        </w:tc>
        <w:tc>
          <w:tcPr>
            <w:tcW w:w="471" w:type="pct"/>
            <w:noWrap/>
            <w:hideMark/>
          </w:tcPr>
          <w:p w14:paraId="626FC413" w14:textId="77777777" w:rsidR="0003711A" w:rsidRPr="00F61D2F" w:rsidRDefault="0003711A" w:rsidP="0003711A">
            <w:pPr>
              <w:jc w:val="left"/>
              <w:rPr>
                <w:color w:val="000000"/>
                <w:lang w:val="en-IN"/>
              </w:rPr>
            </w:pPr>
            <w:r w:rsidRPr="00F61D2F">
              <w:rPr>
                <w:color w:val="000000"/>
                <w:lang w:val="en-IN"/>
              </w:rPr>
              <w:t xml:space="preserve"> £  1,703.40 </w:t>
            </w:r>
          </w:p>
        </w:tc>
        <w:tc>
          <w:tcPr>
            <w:tcW w:w="471" w:type="pct"/>
            <w:noWrap/>
            <w:hideMark/>
          </w:tcPr>
          <w:p w14:paraId="74C204EF" w14:textId="77777777" w:rsidR="0003711A" w:rsidRPr="00F61D2F" w:rsidRDefault="0003711A" w:rsidP="0003711A">
            <w:pPr>
              <w:jc w:val="left"/>
              <w:rPr>
                <w:color w:val="000000"/>
                <w:lang w:val="en-IN"/>
              </w:rPr>
            </w:pPr>
            <w:r w:rsidRPr="00F61D2F">
              <w:rPr>
                <w:color w:val="000000"/>
                <w:lang w:val="en-IN"/>
              </w:rPr>
              <w:t xml:space="preserve"> £     589.40 </w:t>
            </w:r>
          </w:p>
        </w:tc>
      </w:tr>
      <w:tr w:rsidR="0003711A" w:rsidRPr="00F61D2F" w14:paraId="56895FF7" w14:textId="77777777" w:rsidTr="0003711A">
        <w:trPr>
          <w:trHeight w:val="312"/>
        </w:trPr>
        <w:tc>
          <w:tcPr>
            <w:tcW w:w="1117" w:type="pct"/>
            <w:noWrap/>
            <w:hideMark/>
          </w:tcPr>
          <w:p w14:paraId="2007B011" w14:textId="77777777" w:rsidR="0003711A" w:rsidRPr="00F61D2F" w:rsidRDefault="0003711A" w:rsidP="0003711A">
            <w:pPr>
              <w:jc w:val="left"/>
              <w:rPr>
                <w:b/>
                <w:bCs/>
                <w:color w:val="000000"/>
                <w:lang w:val="en-IN"/>
              </w:rPr>
            </w:pPr>
            <w:r w:rsidRPr="00F61D2F">
              <w:rPr>
                <w:b/>
                <w:bCs/>
                <w:color w:val="000000"/>
                <w:lang w:val="en-IN"/>
              </w:rPr>
              <w:t>"Gross Profit Margin"</w:t>
            </w:r>
          </w:p>
        </w:tc>
        <w:tc>
          <w:tcPr>
            <w:tcW w:w="1454" w:type="pct"/>
            <w:vMerge/>
            <w:hideMark/>
          </w:tcPr>
          <w:p w14:paraId="61FA4EE5" w14:textId="77777777" w:rsidR="0003711A" w:rsidRPr="00F61D2F" w:rsidRDefault="0003711A" w:rsidP="0003711A">
            <w:pPr>
              <w:jc w:val="left"/>
              <w:rPr>
                <w:b/>
                <w:bCs/>
                <w:color w:val="000000"/>
                <w:lang w:val="en-IN"/>
              </w:rPr>
            </w:pPr>
          </w:p>
        </w:tc>
        <w:tc>
          <w:tcPr>
            <w:tcW w:w="543" w:type="pct"/>
            <w:noWrap/>
            <w:hideMark/>
          </w:tcPr>
          <w:p w14:paraId="5AB19569" w14:textId="77777777" w:rsidR="0003711A" w:rsidRPr="00F61D2F" w:rsidRDefault="0003711A" w:rsidP="0003711A">
            <w:pPr>
              <w:jc w:val="right"/>
              <w:rPr>
                <w:b/>
                <w:bCs/>
                <w:color w:val="000000"/>
                <w:lang w:val="en-IN"/>
              </w:rPr>
            </w:pPr>
            <w:r w:rsidRPr="00F61D2F">
              <w:rPr>
                <w:b/>
                <w:bCs/>
                <w:color w:val="000000"/>
                <w:lang w:val="en-IN"/>
              </w:rPr>
              <w:t>182.82%</w:t>
            </w:r>
          </w:p>
        </w:tc>
        <w:tc>
          <w:tcPr>
            <w:tcW w:w="471" w:type="pct"/>
            <w:noWrap/>
            <w:hideMark/>
          </w:tcPr>
          <w:p w14:paraId="69BDBE66" w14:textId="77777777" w:rsidR="0003711A" w:rsidRPr="00F61D2F" w:rsidRDefault="0003711A" w:rsidP="0003711A">
            <w:pPr>
              <w:jc w:val="right"/>
              <w:rPr>
                <w:b/>
                <w:bCs/>
                <w:color w:val="000000"/>
                <w:lang w:val="en-IN"/>
              </w:rPr>
            </w:pPr>
            <w:r w:rsidRPr="00F61D2F">
              <w:rPr>
                <w:b/>
                <w:bCs/>
                <w:color w:val="000000"/>
                <w:lang w:val="en-IN"/>
              </w:rPr>
              <w:t>181.82%</w:t>
            </w:r>
          </w:p>
        </w:tc>
        <w:tc>
          <w:tcPr>
            <w:tcW w:w="471" w:type="pct"/>
            <w:noWrap/>
            <w:hideMark/>
          </w:tcPr>
          <w:p w14:paraId="2F3E466B" w14:textId="77777777" w:rsidR="0003711A" w:rsidRPr="00F61D2F" w:rsidRDefault="0003711A" w:rsidP="0003711A">
            <w:pPr>
              <w:jc w:val="right"/>
              <w:rPr>
                <w:b/>
                <w:bCs/>
                <w:color w:val="000000"/>
                <w:lang w:val="en-IN"/>
              </w:rPr>
            </w:pPr>
            <w:r w:rsidRPr="00F61D2F">
              <w:rPr>
                <w:b/>
                <w:bCs/>
                <w:color w:val="000000"/>
                <w:lang w:val="en-IN"/>
              </w:rPr>
              <w:t>181.28%</w:t>
            </w:r>
          </w:p>
        </w:tc>
        <w:tc>
          <w:tcPr>
            <w:tcW w:w="471" w:type="pct"/>
            <w:noWrap/>
            <w:hideMark/>
          </w:tcPr>
          <w:p w14:paraId="032037EA" w14:textId="77777777" w:rsidR="0003711A" w:rsidRPr="00F61D2F" w:rsidRDefault="0003711A" w:rsidP="0003711A">
            <w:pPr>
              <w:jc w:val="right"/>
              <w:rPr>
                <w:b/>
                <w:bCs/>
                <w:color w:val="000000"/>
                <w:lang w:val="en-IN"/>
              </w:rPr>
            </w:pPr>
            <w:r w:rsidRPr="00F61D2F">
              <w:rPr>
                <w:b/>
                <w:bCs/>
                <w:color w:val="000000"/>
                <w:lang w:val="en-IN"/>
              </w:rPr>
              <w:t>194.27%</w:t>
            </w:r>
          </w:p>
        </w:tc>
        <w:tc>
          <w:tcPr>
            <w:tcW w:w="471" w:type="pct"/>
            <w:noWrap/>
            <w:hideMark/>
          </w:tcPr>
          <w:p w14:paraId="060DB29A" w14:textId="77777777" w:rsidR="0003711A" w:rsidRPr="00F61D2F" w:rsidRDefault="0003711A" w:rsidP="0003711A">
            <w:pPr>
              <w:jc w:val="right"/>
              <w:rPr>
                <w:b/>
                <w:bCs/>
                <w:color w:val="000000"/>
                <w:lang w:val="en-IN"/>
              </w:rPr>
            </w:pPr>
            <w:r w:rsidRPr="00F61D2F">
              <w:rPr>
                <w:b/>
                <w:bCs/>
                <w:color w:val="000000"/>
                <w:lang w:val="en-IN"/>
              </w:rPr>
              <w:t>385.56%</w:t>
            </w:r>
          </w:p>
        </w:tc>
      </w:tr>
      <w:tr w:rsidR="0003711A" w:rsidRPr="00F61D2F" w14:paraId="216B126F" w14:textId="77777777" w:rsidTr="0003711A">
        <w:trPr>
          <w:trHeight w:val="312"/>
        </w:trPr>
        <w:tc>
          <w:tcPr>
            <w:tcW w:w="5000" w:type="pct"/>
            <w:gridSpan w:val="7"/>
            <w:noWrap/>
            <w:hideMark/>
          </w:tcPr>
          <w:p w14:paraId="6F336308" w14:textId="7A49B6AE" w:rsidR="0003711A" w:rsidRPr="00F61D2F" w:rsidRDefault="0003711A" w:rsidP="0003711A">
            <w:pPr>
              <w:jc w:val="center"/>
              <w:rPr>
                <w:color w:val="000000"/>
                <w:lang w:val="en-IN"/>
              </w:rPr>
            </w:pPr>
          </w:p>
        </w:tc>
      </w:tr>
    </w:tbl>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3"/>
        <w:gridCol w:w="1664"/>
        <w:gridCol w:w="1095"/>
        <w:gridCol w:w="976"/>
        <w:gridCol w:w="976"/>
        <w:gridCol w:w="976"/>
        <w:gridCol w:w="989"/>
      </w:tblGrid>
      <w:tr w:rsidR="00816904" w:rsidRPr="00F61D2F" w14:paraId="3CF4B1E8" w14:textId="77777777" w:rsidTr="00816904">
        <w:trPr>
          <w:trHeight w:val="312"/>
          <w:jc w:val="center"/>
        </w:trPr>
        <w:tc>
          <w:tcPr>
            <w:tcW w:w="5000" w:type="pct"/>
            <w:gridSpan w:val="7"/>
            <w:shd w:val="clear" w:color="000000" w:fill="FFFF00"/>
            <w:noWrap/>
            <w:vAlign w:val="bottom"/>
            <w:hideMark/>
          </w:tcPr>
          <w:p w14:paraId="1BD7B2D7"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"Liquidity ratio"</w:t>
            </w:r>
          </w:p>
        </w:tc>
      </w:tr>
      <w:tr w:rsidR="00816904" w:rsidRPr="00F61D2F" w14:paraId="1B705A89" w14:textId="77777777" w:rsidTr="00816904">
        <w:trPr>
          <w:trHeight w:val="312"/>
          <w:jc w:val="center"/>
        </w:trPr>
        <w:tc>
          <w:tcPr>
            <w:tcW w:w="5000" w:type="pct"/>
            <w:gridSpan w:val="7"/>
            <w:shd w:val="clear" w:color="000000" w:fill="FFFFFF"/>
            <w:noWrap/>
            <w:vAlign w:val="bottom"/>
            <w:hideMark/>
          </w:tcPr>
          <w:p w14:paraId="1259D5E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"Current ratio"</w:t>
            </w:r>
          </w:p>
        </w:tc>
      </w:tr>
      <w:tr w:rsidR="00816904" w:rsidRPr="00F61D2F" w14:paraId="3C3A8046" w14:textId="77777777" w:rsidTr="00EC26C8">
        <w:trPr>
          <w:trHeight w:val="312"/>
          <w:jc w:val="center"/>
        </w:trPr>
        <w:tc>
          <w:tcPr>
            <w:tcW w:w="1268" w:type="pct"/>
            <w:shd w:val="clear" w:color="000000" w:fill="FFFFFF"/>
            <w:noWrap/>
            <w:vAlign w:val="bottom"/>
            <w:hideMark/>
          </w:tcPr>
          <w:p w14:paraId="404DFC28"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0ACF61D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50E8A69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084B6E2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50CEC29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270ADEB6"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670EC22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03E88CD8" w14:textId="77777777" w:rsidTr="00EC26C8">
        <w:trPr>
          <w:trHeight w:val="312"/>
          <w:jc w:val="center"/>
        </w:trPr>
        <w:tc>
          <w:tcPr>
            <w:tcW w:w="1268" w:type="pct"/>
            <w:shd w:val="clear" w:color="000000" w:fill="FFFFFF"/>
            <w:noWrap/>
            <w:vAlign w:val="bottom"/>
            <w:hideMark/>
          </w:tcPr>
          <w:p w14:paraId="2B57C2D1" w14:textId="77777777" w:rsidR="00816904" w:rsidRPr="00F61D2F" w:rsidRDefault="00816904" w:rsidP="00816904">
            <w:pPr>
              <w:spacing w:before="0" w:after="0" w:line="240" w:lineRule="auto"/>
              <w:jc w:val="left"/>
              <w:rPr>
                <w:color w:val="000000"/>
                <w:lang w:val="en-IN"/>
              </w:rPr>
            </w:pPr>
            <w:r w:rsidRPr="00F61D2F">
              <w:rPr>
                <w:color w:val="000000"/>
                <w:lang w:val="en-IN"/>
              </w:rPr>
              <w:t>"Current assets"</w:t>
            </w:r>
          </w:p>
        </w:tc>
        <w:tc>
          <w:tcPr>
            <w:tcW w:w="918" w:type="pct"/>
            <w:vMerge w:val="restart"/>
            <w:shd w:val="clear" w:color="000000" w:fill="FFFFFF"/>
            <w:vAlign w:val="center"/>
            <w:hideMark/>
          </w:tcPr>
          <w:p w14:paraId="60D9870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"Current assets/Current liabilities"</w:t>
            </w:r>
          </w:p>
        </w:tc>
        <w:tc>
          <w:tcPr>
            <w:tcW w:w="616" w:type="pct"/>
            <w:shd w:val="clear" w:color="000000" w:fill="FFFFFF"/>
            <w:noWrap/>
            <w:vAlign w:val="bottom"/>
            <w:hideMark/>
          </w:tcPr>
          <w:p w14:paraId="141E96E7"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1,073.10 </w:t>
            </w:r>
          </w:p>
        </w:tc>
        <w:tc>
          <w:tcPr>
            <w:tcW w:w="548" w:type="pct"/>
            <w:shd w:val="clear" w:color="000000" w:fill="FFFFFF"/>
            <w:noWrap/>
            <w:vAlign w:val="bottom"/>
            <w:hideMark/>
          </w:tcPr>
          <w:p w14:paraId="748FD097"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837.20 </w:t>
            </w:r>
          </w:p>
        </w:tc>
        <w:tc>
          <w:tcPr>
            <w:tcW w:w="548" w:type="pct"/>
            <w:shd w:val="clear" w:color="000000" w:fill="FFFFFF"/>
            <w:noWrap/>
            <w:vAlign w:val="bottom"/>
            <w:hideMark/>
          </w:tcPr>
          <w:p w14:paraId="4C42254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1,328.30 </w:t>
            </w:r>
          </w:p>
        </w:tc>
        <w:tc>
          <w:tcPr>
            <w:tcW w:w="548" w:type="pct"/>
            <w:shd w:val="clear" w:color="000000" w:fill="FFFFFF"/>
            <w:noWrap/>
            <w:vAlign w:val="bottom"/>
            <w:hideMark/>
          </w:tcPr>
          <w:p w14:paraId="209D929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1,268.20 </w:t>
            </w:r>
          </w:p>
        </w:tc>
        <w:tc>
          <w:tcPr>
            <w:tcW w:w="553" w:type="pct"/>
            <w:shd w:val="clear" w:color="000000" w:fill="FFFFFF"/>
            <w:noWrap/>
            <w:vAlign w:val="bottom"/>
            <w:hideMark/>
          </w:tcPr>
          <w:p w14:paraId="580CF38F"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1,350.50 </w:t>
            </w:r>
          </w:p>
        </w:tc>
      </w:tr>
      <w:tr w:rsidR="00816904" w:rsidRPr="00F61D2F" w14:paraId="3FDDFAEC" w14:textId="77777777" w:rsidTr="00EC26C8">
        <w:trPr>
          <w:trHeight w:val="312"/>
          <w:jc w:val="center"/>
        </w:trPr>
        <w:tc>
          <w:tcPr>
            <w:tcW w:w="1268" w:type="pct"/>
            <w:shd w:val="clear" w:color="000000" w:fill="FFFFFF"/>
            <w:noWrap/>
            <w:vAlign w:val="bottom"/>
            <w:hideMark/>
          </w:tcPr>
          <w:p w14:paraId="0B6FF06C" w14:textId="77777777" w:rsidR="00816904" w:rsidRPr="00F61D2F" w:rsidRDefault="00816904" w:rsidP="00816904">
            <w:pPr>
              <w:spacing w:before="0" w:after="0" w:line="240" w:lineRule="auto"/>
              <w:jc w:val="left"/>
              <w:rPr>
                <w:color w:val="000000"/>
                <w:lang w:val="en-IN"/>
              </w:rPr>
            </w:pPr>
            <w:r w:rsidRPr="00F61D2F">
              <w:rPr>
                <w:color w:val="000000"/>
                <w:lang w:val="en-IN"/>
              </w:rPr>
              <w:t>"(/): Current Liabilities"</w:t>
            </w:r>
          </w:p>
        </w:tc>
        <w:tc>
          <w:tcPr>
            <w:tcW w:w="918" w:type="pct"/>
            <w:vMerge/>
            <w:vAlign w:val="center"/>
            <w:hideMark/>
          </w:tcPr>
          <w:p w14:paraId="60670A51"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6C03B04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1,319.00 </w:t>
            </w:r>
          </w:p>
        </w:tc>
        <w:tc>
          <w:tcPr>
            <w:tcW w:w="548" w:type="pct"/>
            <w:shd w:val="clear" w:color="000000" w:fill="FFFFFF"/>
            <w:noWrap/>
            <w:vAlign w:val="bottom"/>
            <w:hideMark/>
          </w:tcPr>
          <w:p w14:paraId="648E480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870.40 </w:t>
            </w:r>
          </w:p>
        </w:tc>
        <w:tc>
          <w:tcPr>
            <w:tcW w:w="548" w:type="pct"/>
            <w:shd w:val="clear" w:color="000000" w:fill="FFFFFF"/>
            <w:noWrap/>
            <w:vAlign w:val="bottom"/>
            <w:hideMark/>
          </w:tcPr>
          <w:p w14:paraId="416DB28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845.60 </w:t>
            </w:r>
          </w:p>
        </w:tc>
        <w:tc>
          <w:tcPr>
            <w:tcW w:w="548" w:type="pct"/>
            <w:shd w:val="clear" w:color="000000" w:fill="FFFFFF"/>
            <w:noWrap/>
            <w:vAlign w:val="bottom"/>
            <w:hideMark/>
          </w:tcPr>
          <w:p w14:paraId="286675D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719.60 </w:t>
            </w:r>
          </w:p>
        </w:tc>
        <w:tc>
          <w:tcPr>
            <w:tcW w:w="553" w:type="pct"/>
            <w:shd w:val="clear" w:color="000000" w:fill="FFFFFF"/>
            <w:noWrap/>
            <w:vAlign w:val="bottom"/>
            <w:hideMark/>
          </w:tcPr>
          <w:p w14:paraId="7DC313D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775.30 </w:t>
            </w:r>
          </w:p>
        </w:tc>
      </w:tr>
      <w:tr w:rsidR="00816904" w:rsidRPr="00F61D2F" w14:paraId="23B77864" w14:textId="77777777" w:rsidTr="00EC26C8">
        <w:trPr>
          <w:trHeight w:val="312"/>
          <w:jc w:val="center"/>
        </w:trPr>
        <w:tc>
          <w:tcPr>
            <w:tcW w:w="1268" w:type="pct"/>
            <w:shd w:val="clear" w:color="000000" w:fill="FFFFFF"/>
            <w:noWrap/>
            <w:vAlign w:val="bottom"/>
            <w:hideMark/>
          </w:tcPr>
          <w:p w14:paraId="41F01078"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"Current ratio"</w:t>
            </w:r>
          </w:p>
        </w:tc>
        <w:tc>
          <w:tcPr>
            <w:tcW w:w="918" w:type="pct"/>
            <w:vMerge/>
            <w:vAlign w:val="center"/>
            <w:hideMark/>
          </w:tcPr>
          <w:p w14:paraId="31B4922D"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7758A63B"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0.81</w:t>
            </w:r>
          </w:p>
        </w:tc>
        <w:tc>
          <w:tcPr>
            <w:tcW w:w="548" w:type="pct"/>
            <w:shd w:val="clear" w:color="000000" w:fill="FFFFFF"/>
            <w:noWrap/>
            <w:vAlign w:val="bottom"/>
            <w:hideMark/>
          </w:tcPr>
          <w:p w14:paraId="1EEE1621"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0.96</w:t>
            </w:r>
          </w:p>
        </w:tc>
        <w:tc>
          <w:tcPr>
            <w:tcW w:w="548" w:type="pct"/>
            <w:shd w:val="clear" w:color="000000" w:fill="FFFFFF"/>
            <w:noWrap/>
            <w:vAlign w:val="bottom"/>
            <w:hideMark/>
          </w:tcPr>
          <w:p w14:paraId="2ED3AAA9"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1.57</w:t>
            </w:r>
          </w:p>
        </w:tc>
        <w:tc>
          <w:tcPr>
            <w:tcW w:w="548" w:type="pct"/>
            <w:shd w:val="clear" w:color="000000" w:fill="FFFFFF"/>
            <w:noWrap/>
            <w:vAlign w:val="bottom"/>
            <w:hideMark/>
          </w:tcPr>
          <w:p w14:paraId="0946D17E"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1.76</w:t>
            </w:r>
          </w:p>
        </w:tc>
        <w:tc>
          <w:tcPr>
            <w:tcW w:w="553" w:type="pct"/>
            <w:shd w:val="clear" w:color="000000" w:fill="FFFFFF"/>
            <w:noWrap/>
            <w:vAlign w:val="bottom"/>
            <w:hideMark/>
          </w:tcPr>
          <w:p w14:paraId="7CDF75CF"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1.74</w:t>
            </w:r>
          </w:p>
        </w:tc>
      </w:tr>
      <w:tr w:rsidR="00816904" w:rsidRPr="00F61D2F" w14:paraId="1B90C532" w14:textId="77777777" w:rsidTr="00816904">
        <w:trPr>
          <w:trHeight w:val="312"/>
          <w:jc w:val="center"/>
        </w:trPr>
        <w:tc>
          <w:tcPr>
            <w:tcW w:w="5000" w:type="pct"/>
            <w:gridSpan w:val="7"/>
            <w:shd w:val="clear" w:color="000000" w:fill="FFFFFF"/>
            <w:noWrap/>
            <w:vAlign w:val="bottom"/>
            <w:hideMark/>
          </w:tcPr>
          <w:p w14:paraId="50926746"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711F27C8" w14:textId="77777777" w:rsidTr="00816904">
        <w:trPr>
          <w:trHeight w:val="312"/>
          <w:jc w:val="center"/>
        </w:trPr>
        <w:tc>
          <w:tcPr>
            <w:tcW w:w="5000" w:type="pct"/>
            <w:gridSpan w:val="7"/>
            <w:shd w:val="clear" w:color="000000" w:fill="FFFFFF"/>
            <w:noWrap/>
            <w:vAlign w:val="bottom"/>
            <w:hideMark/>
          </w:tcPr>
          <w:p w14:paraId="1BE9BDB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"Acid test ratio"</w:t>
            </w:r>
          </w:p>
        </w:tc>
      </w:tr>
      <w:tr w:rsidR="00816904" w:rsidRPr="00F61D2F" w14:paraId="334CA767" w14:textId="77777777" w:rsidTr="00EC26C8">
        <w:trPr>
          <w:trHeight w:val="312"/>
          <w:jc w:val="center"/>
        </w:trPr>
        <w:tc>
          <w:tcPr>
            <w:tcW w:w="1268" w:type="pct"/>
            <w:shd w:val="clear" w:color="000000" w:fill="FFFFFF"/>
            <w:noWrap/>
            <w:vAlign w:val="bottom"/>
            <w:hideMark/>
          </w:tcPr>
          <w:p w14:paraId="534626D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454D7B7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48878C1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1316C0E7"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6AF3104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09C4034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3FBF91E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5D836F12" w14:textId="77777777" w:rsidTr="00EC26C8">
        <w:trPr>
          <w:trHeight w:val="312"/>
          <w:jc w:val="center"/>
        </w:trPr>
        <w:tc>
          <w:tcPr>
            <w:tcW w:w="1268" w:type="pct"/>
            <w:shd w:val="clear" w:color="000000" w:fill="FFFFFF"/>
            <w:noWrap/>
            <w:vAlign w:val="bottom"/>
            <w:hideMark/>
          </w:tcPr>
          <w:p w14:paraId="1EBEF083" w14:textId="77777777" w:rsidR="00816904" w:rsidRPr="00F61D2F" w:rsidRDefault="00816904" w:rsidP="00816904">
            <w:pPr>
              <w:spacing w:before="0" w:after="0" w:line="240" w:lineRule="auto"/>
              <w:jc w:val="left"/>
              <w:rPr>
                <w:color w:val="000000"/>
                <w:lang w:val="en-IN"/>
              </w:rPr>
            </w:pPr>
            <w:r w:rsidRPr="00F61D2F">
              <w:rPr>
                <w:color w:val="000000"/>
                <w:lang w:val="en-IN"/>
              </w:rPr>
              <w:t>"Current assets"</w:t>
            </w:r>
          </w:p>
        </w:tc>
        <w:tc>
          <w:tcPr>
            <w:tcW w:w="918" w:type="pct"/>
            <w:vMerge w:val="restart"/>
            <w:shd w:val="clear" w:color="000000" w:fill="FFFFFF"/>
            <w:vAlign w:val="center"/>
            <w:hideMark/>
          </w:tcPr>
          <w:p w14:paraId="1E1DA01E"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"(Current assets-Inventories)/Current liabilities"</w:t>
            </w:r>
          </w:p>
        </w:tc>
        <w:tc>
          <w:tcPr>
            <w:tcW w:w="616" w:type="pct"/>
            <w:shd w:val="clear" w:color="000000" w:fill="FFFFFF"/>
            <w:noWrap/>
            <w:vAlign w:val="bottom"/>
            <w:hideMark/>
          </w:tcPr>
          <w:p w14:paraId="7194602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1,073.10 </w:t>
            </w:r>
          </w:p>
        </w:tc>
        <w:tc>
          <w:tcPr>
            <w:tcW w:w="548" w:type="pct"/>
            <w:shd w:val="clear" w:color="000000" w:fill="FFFFFF"/>
            <w:noWrap/>
            <w:vAlign w:val="bottom"/>
            <w:hideMark/>
          </w:tcPr>
          <w:p w14:paraId="6439E6C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837.20 </w:t>
            </w:r>
          </w:p>
        </w:tc>
        <w:tc>
          <w:tcPr>
            <w:tcW w:w="548" w:type="pct"/>
            <w:shd w:val="clear" w:color="000000" w:fill="FFFFFF"/>
            <w:noWrap/>
            <w:vAlign w:val="bottom"/>
            <w:hideMark/>
          </w:tcPr>
          <w:p w14:paraId="1C56364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1,328.30 </w:t>
            </w:r>
          </w:p>
        </w:tc>
        <w:tc>
          <w:tcPr>
            <w:tcW w:w="548" w:type="pct"/>
            <w:shd w:val="clear" w:color="000000" w:fill="FFFFFF"/>
            <w:noWrap/>
            <w:vAlign w:val="bottom"/>
            <w:hideMark/>
          </w:tcPr>
          <w:p w14:paraId="326D3C87"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1,268.20 </w:t>
            </w:r>
          </w:p>
        </w:tc>
        <w:tc>
          <w:tcPr>
            <w:tcW w:w="553" w:type="pct"/>
            <w:shd w:val="clear" w:color="000000" w:fill="FFFFFF"/>
            <w:noWrap/>
            <w:vAlign w:val="bottom"/>
            <w:hideMark/>
          </w:tcPr>
          <w:p w14:paraId="23B7CEC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1,350.50 </w:t>
            </w:r>
          </w:p>
        </w:tc>
      </w:tr>
      <w:tr w:rsidR="00816904" w:rsidRPr="00F61D2F" w14:paraId="0BDC07FB" w14:textId="77777777" w:rsidTr="00EC26C8">
        <w:trPr>
          <w:trHeight w:val="312"/>
          <w:jc w:val="center"/>
        </w:trPr>
        <w:tc>
          <w:tcPr>
            <w:tcW w:w="1268" w:type="pct"/>
            <w:shd w:val="clear" w:color="000000" w:fill="FFFFFF"/>
            <w:noWrap/>
            <w:vAlign w:val="bottom"/>
            <w:hideMark/>
          </w:tcPr>
          <w:p w14:paraId="1648DEC8" w14:textId="77777777" w:rsidR="00816904" w:rsidRPr="00F61D2F" w:rsidRDefault="00816904" w:rsidP="00816904">
            <w:pPr>
              <w:spacing w:before="0" w:after="0" w:line="240" w:lineRule="auto"/>
              <w:jc w:val="left"/>
              <w:rPr>
                <w:color w:val="000000"/>
                <w:lang w:val="en-IN"/>
              </w:rPr>
            </w:pPr>
            <w:r w:rsidRPr="00F61D2F">
              <w:rPr>
                <w:color w:val="000000"/>
                <w:lang w:val="en-IN"/>
              </w:rPr>
              <w:t>"(-): Inventories"</w:t>
            </w:r>
          </w:p>
        </w:tc>
        <w:tc>
          <w:tcPr>
            <w:tcW w:w="918" w:type="pct"/>
            <w:vMerge/>
            <w:vAlign w:val="center"/>
            <w:hideMark/>
          </w:tcPr>
          <w:p w14:paraId="04975EF3"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3E223DE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17.10 </w:t>
            </w:r>
          </w:p>
        </w:tc>
        <w:tc>
          <w:tcPr>
            <w:tcW w:w="548" w:type="pct"/>
            <w:shd w:val="clear" w:color="000000" w:fill="FFFFFF"/>
            <w:noWrap/>
            <w:vAlign w:val="bottom"/>
            <w:hideMark/>
          </w:tcPr>
          <w:p w14:paraId="42ADDEDF"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21.20 </w:t>
            </w:r>
          </w:p>
        </w:tc>
        <w:tc>
          <w:tcPr>
            <w:tcW w:w="548" w:type="pct"/>
            <w:shd w:val="clear" w:color="000000" w:fill="FFFFFF"/>
            <w:noWrap/>
            <w:vAlign w:val="bottom"/>
            <w:hideMark/>
          </w:tcPr>
          <w:p w14:paraId="234BF8F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21.70 </w:t>
            </w:r>
          </w:p>
        </w:tc>
        <w:tc>
          <w:tcPr>
            <w:tcW w:w="548" w:type="pct"/>
            <w:shd w:val="clear" w:color="000000" w:fill="FFFFFF"/>
            <w:noWrap/>
            <w:vAlign w:val="bottom"/>
            <w:hideMark/>
          </w:tcPr>
          <w:p w14:paraId="3499E68E"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19.40 </w:t>
            </w:r>
          </w:p>
        </w:tc>
        <w:tc>
          <w:tcPr>
            <w:tcW w:w="553" w:type="pct"/>
            <w:shd w:val="clear" w:color="000000" w:fill="FFFFFF"/>
            <w:noWrap/>
            <w:vAlign w:val="bottom"/>
            <w:hideMark/>
          </w:tcPr>
          <w:p w14:paraId="0F2EA77C"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12.10 </w:t>
            </w:r>
          </w:p>
        </w:tc>
      </w:tr>
      <w:tr w:rsidR="00816904" w:rsidRPr="00F61D2F" w14:paraId="616C3213" w14:textId="77777777" w:rsidTr="00EC26C8">
        <w:trPr>
          <w:trHeight w:val="312"/>
          <w:jc w:val="center"/>
        </w:trPr>
        <w:tc>
          <w:tcPr>
            <w:tcW w:w="1268" w:type="pct"/>
            <w:shd w:val="clear" w:color="000000" w:fill="FFFFFF"/>
            <w:noWrap/>
            <w:vAlign w:val="bottom"/>
            <w:hideMark/>
          </w:tcPr>
          <w:p w14:paraId="132AEA0C" w14:textId="77777777" w:rsidR="00816904" w:rsidRPr="00F61D2F" w:rsidRDefault="00816904" w:rsidP="00816904">
            <w:pPr>
              <w:spacing w:before="0" w:after="0" w:line="240" w:lineRule="auto"/>
              <w:jc w:val="left"/>
              <w:rPr>
                <w:color w:val="000000"/>
                <w:lang w:val="en-IN"/>
              </w:rPr>
            </w:pPr>
            <w:r w:rsidRPr="00F61D2F">
              <w:rPr>
                <w:color w:val="000000"/>
                <w:lang w:val="en-IN"/>
              </w:rPr>
              <w:t>"Difference"</w:t>
            </w:r>
          </w:p>
        </w:tc>
        <w:tc>
          <w:tcPr>
            <w:tcW w:w="918" w:type="pct"/>
            <w:vMerge/>
            <w:vAlign w:val="center"/>
            <w:hideMark/>
          </w:tcPr>
          <w:p w14:paraId="70619B3C"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6B8D349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1,056.00 </w:t>
            </w:r>
          </w:p>
        </w:tc>
        <w:tc>
          <w:tcPr>
            <w:tcW w:w="548" w:type="pct"/>
            <w:shd w:val="clear" w:color="000000" w:fill="FFFFFF"/>
            <w:noWrap/>
            <w:vAlign w:val="bottom"/>
            <w:hideMark/>
          </w:tcPr>
          <w:p w14:paraId="2326B4E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816.00 </w:t>
            </w:r>
          </w:p>
        </w:tc>
        <w:tc>
          <w:tcPr>
            <w:tcW w:w="548" w:type="pct"/>
            <w:shd w:val="clear" w:color="000000" w:fill="FFFFFF"/>
            <w:noWrap/>
            <w:vAlign w:val="bottom"/>
            <w:hideMark/>
          </w:tcPr>
          <w:p w14:paraId="1EF70977"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1,306.60 </w:t>
            </w:r>
          </w:p>
        </w:tc>
        <w:tc>
          <w:tcPr>
            <w:tcW w:w="548" w:type="pct"/>
            <w:shd w:val="clear" w:color="000000" w:fill="FFFFFF"/>
            <w:noWrap/>
            <w:vAlign w:val="bottom"/>
            <w:hideMark/>
          </w:tcPr>
          <w:p w14:paraId="0632E44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1,248.80 </w:t>
            </w:r>
          </w:p>
        </w:tc>
        <w:tc>
          <w:tcPr>
            <w:tcW w:w="553" w:type="pct"/>
            <w:shd w:val="clear" w:color="000000" w:fill="FFFFFF"/>
            <w:noWrap/>
            <w:vAlign w:val="bottom"/>
            <w:hideMark/>
          </w:tcPr>
          <w:p w14:paraId="696BA37F"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1,338.40 </w:t>
            </w:r>
          </w:p>
        </w:tc>
      </w:tr>
      <w:tr w:rsidR="00816904" w:rsidRPr="00F61D2F" w14:paraId="4534F74B" w14:textId="77777777" w:rsidTr="00EC26C8">
        <w:trPr>
          <w:trHeight w:val="312"/>
          <w:jc w:val="center"/>
        </w:trPr>
        <w:tc>
          <w:tcPr>
            <w:tcW w:w="1268" w:type="pct"/>
            <w:shd w:val="clear" w:color="000000" w:fill="FFFFFF"/>
            <w:noWrap/>
            <w:vAlign w:val="bottom"/>
            <w:hideMark/>
          </w:tcPr>
          <w:p w14:paraId="0EC9F52C" w14:textId="77777777" w:rsidR="00816904" w:rsidRPr="00F61D2F" w:rsidRDefault="00816904" w:rsidP="00816904">
            <w:pPr>
              <w:spacing w:before="0" w:after="0" w:line="240" w:lineRule="auto"/>
              <w:jc w:val="left"/>
              <w:rPr>
                <w:color w:val="000000"/>
                <w:lang w:val="en-IN"/>
              </w:rPr>
            </w:pPr>
            <w:r w:rsidRPr="00F61D2F">
              <w:rPr>
                <w:color w:val="000000"/>
                <w:lang w:val="en-IN"/>
              </w:rPr>
              <w:t>"(/): Current Liabilities"</w:t>
            </w:r>
          </w:p>
        </w:tc>
        <w:tc>
          <w:tcPr>
            <w:tcW w:w="918" w:type="pct"/>
            <w:vMerge/>
            <w:vAlign w:val="center"/>
            <w:hideMark/>
          </w:tcPr>
          <w:p w14:paraId="74CF4C88"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4FB7FC6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1,319.00 </w:t>
            </w:r>
          </w:p>
        </w:tc>
        <w:tc>
          <w:tcPr>
            <w:tcW w:w="548" w:type="pct"/>
            <w:shd w:val="clear" w:color="000000" w:fill="FFFFFF"/>
            <w:noWrap/>
            <w:vAlign w:val="bottom"/>
            <w:hideMark/>
          </w:tcPr>
          <w:p w14:paraId="605B1D7C"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870.40 </w:t>
            </w:r>
          </w:p>
        </w:tc>
        <w:tc>
          <w:tcPr>
            <w:tcW w:w="548" w:type="pct"/>
            <w:shd w:val="clear" w:color="000000" w:fill="FFFFFF"/>
            <w:noWrap/>
            <w:vAlign w:val="bottom"/>
            <w:hideMark/>
          </w:tcPr>
          <w:p w14:paraId="228719F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845.60 </w:t>
            </w:r>
          </w:p>
        </w:tc>
        <w:tc>
          <w:tcPr>
            <w:tcW w:w="548" w:type="pct"/>
            <w:shd w:val="clear" w:color="000000" w:fill="FFFFFF"/>
            <w:noWrap/>
            <w:vAlign w:val="bottom"/>
            <w:hideMark/>
          </w:tcPr>
          <w:p w14:paraId="33FC764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719.60 </w:t>
            </w:r>
          </w:p>
        </w:tc>
        <w:tc>
          <w:tcPr>
            <w:tcW w:w="553" w:type="pct"/>
            <w:shd w:val="clear" w:color="000000" w:fill="FFFFFF"/>
            <w:noWrap/>
            <w:vAlign w:val="bottom"/>
            <w:hideMark/>
          </w:tcPr>
          <w:p w14:paraId="7752F95A"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775.30 </w:t>
            </w:r>
          </w:p>
        </w:tc>
      </w:tr>
      <w:tr w:rsidR="00816904" w:rsidRPr="00F61D2F" w14:paraId="38974471" w14:textId="77777777" w:rsidTr="00EC26C8">
        <w:trPr>
          <w:trHeight w:val="312"/>
          <w:jc w:val="center"/>
        </w:trPr>
        <w:tc>
          <w:tcPr>
            <w:tcW w:w="1268" w:type="pct"/>
            <w:shd w:val="clear" w:color="000000" w:fill="FFFFFF"/>
            <w:noWrap/>
            <w:vAlign w:val="bottom"/>
            <w:hideMark/>
          </w:tcPr>
          <w:p w14:paraId="1BFFCCFE"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"Acid test ratio"</w:t>
            </w:r>
          </w:p>
        </w:tc>
        <w:tc>
          <w:tcPr>
            <w:tcW w:w="918" w:type="pct"/>
            <w:vMerge/>
            <w:vAlign w:val="center"/>
            <w:hideMark/>
          </w:tcPr>
          <w:p w14:paraId="3F67F075"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11809D96"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0.80</w:t>
            </w:r>
          </w:p>
        </w:tc>
        <w:tc>
          <w:tcPr>
            <w:tcW w:w="548" w:type="pct"/>
            <w:shd w:val="clear" w:color="000000" w:fill="FFFFFF"/>
            <w:noWrap/>
            <w:vAlign w:val="bottom"/>
            <w:hideMark/>
          </w:tcPr>
          <w:p w14:paraId="0E2A383F"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0.94</w:t>
            </w:r>
          </w:p>
        </w:tc>
        <w:tc>
          <w:tcPr>
            <w:tcW w:w="548" w:type="pct"/>
            <w:shd w:val="clear" w:color="000000" w:fill="FFFFFF"/>
            <w:noWrap/>
            <w:vAlign w:val="bottom"/>
            <w:hideMark/>
          </w:tcPr>
          <w:p w14:paraId="04BC7792"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1.55</w:t>
            </w:r>
          </w:p>
        </w:tc>
        <w:tc>
          <w:tcPr>
            <w:tcW w:w="548" w:type="pct"/>
            <w:shd w:val="clear" w:color="000000" w:fill="FFFFFF"/>
            <w:noWrap/>
            <w:vAlign w:val="bottom"/>
            <w:hideMark/>
          </w:tcPr>
          <w:p w14:paraId="4D43D5BC"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1.74</w:t>
            </w:r>
          </w:p>
        </w:tc>
        <w:tc>
          <w:tcPr>
            <w:tcW w:w="553" w:type="pct"/>
            <w:shd w:val="clear" w:color="000000" w:fill="FFFFFF"/>
            <w:noWrap/>
            <w:vAlign w:val="bottom"/>
            <w:hideMark/>
          </w:tcPr>
          <w:p w14:paraId="3E6B61E4"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1.73</w:t>
            </w:r>
          </w:p>
        </w:tc>
      </w:tr>
      <w:tr w:rsidR="00816904" w:rsidRPr="00F61D2F" w14:paraId="35D4A917" w14:textId="77777777" w:rsidTr="00816904">
        <w:trPr>
          <w:trHeight w:val="312"/>
          <w:jc w:val="center"/>
        </w:trPr>
        <w:tc>
          <w:tcPr>
            <w:tcW w:w="5000" w:type="pct"/>
            <w:gridSpan w:val="7"/>
            <w:shd w:val="clear" w:color="000000" w:fill="FFFFFF"/>
            <w:noWrap/>
            <w:vAlign w:val="bottom"/>
            <w:hideMark/>
          </w:tcPr>
          <w:p w14:paraId="1E296A03"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375BD8F5" w14:textId="77777777" w:rsidTr="00816904">
        <w:trPr>
          <w:trHeight w:val="312"/>
          <w:jc w:val="center"/>
        </w:trPr>
        <w:tc>
          <w:tcPr>
            <w:tcW w:w="5000" w:type="pct"/>
            <w:gridSpan w:val="7"/>
            <w:shd w:val="clear" w:color="000000" w:fill="FFFF00"/>
            <w:noWrap/>
            <w:vAlign w:val="bottom"/>
            <w:hideMark/>
          </w:tcPr>
          <w:p w14:paraId="3A67B371"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"Efficiency ratio"</w:t>
            </w:r>
          </w:p>
        </w:tc>
      </w:tr>
      <w:tr w:rsidR="00816904" w:rsidRPr="00F61D2F" w14:paraId="43CA27A9" w14:textId="77777777" w:rsidTr="00816904">
        <w:trPr>
          <w:trHeight w:val="312"/>
          <w:jc w:val="center"/>
        </w:trPr>
        <w:tc>
          <w:tcPr>
            <w:tcW w:w="5000" w:type="pct"/>
            <w:gridSpan w:val="7"/>
            <w:shd w:val="clear" w:color="000000" w:fill="FFFFFF"/>
            <w:noWrap/>
            <w:vAlign w:val="bottom"/>
            <w:hideMark/>
          </w:tcPr>
          <w:p w14:paraId="599EFFDA"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"Receivables Turnover ratio"</w:t>
            </w:r>
          </w:p>
        </w:tc>
      </w:tr>
      <w:tr w:rsidR="00816904" w:rsidRPr="00F61D2F" w14:paraId="30DEAD81" w14:textId="77777777" w:rsidTr="00EC26C8">
        <w:trPr>
          <w:trHeight w:val="312"/>
          <w:jc w:val="center"/>
        </w:trPr>
        <w:tc>
          <w:tcPr>
            <w:tcW w:w="1268" w:type="pct"/>
            <w:shd w:val="clear" w:color="000000" w:fill="FFFFFF"/>
            <w:noWrap/>
            <w:vAlign w:val="bottom"/>
            <w:hideMark/>
          </w:tcPr>
          <w:p w14:paraId="3D605397"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33738F7D"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73547AC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0AF6683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2A0852F5"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1C63401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269EB05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7E43763C" w14:textId="77777777" w:rsidTr="00EC26C8">
        <w:trPr>
          <w:trHeight w:val="312"/>
          <w:jc w:val="center"/>
        </w:trPr>
        <w:tc>
          <w:tcPr>
            <w:tcW w:w="1268" w:type="pct"/>
            <w:shd w:val="clear" w:color="000000" w:fill="FFFFFF"/>
            <w:noWrap/>
            <w:vAlign w:val="bottom"/>
            <w:hideMark/>
          </w:tcPr>
          <w:p w14:paraId="69B2E96E" w14:textId="77777777" w:rsidR="00816904" w:rsidRPr="00F61D2F" w:rsidRDefault="00816904" w:rsidP="00816904">
            <w:pPr>
              <w:spacing w:before="0" w:after="0" w:line="240" w:lineRule="auto"/>
              <w:jc w:val="left"/>
              <w:rPr>
                <w:color w:val="000000"/>
                <w:lang w:val="en-IN"/>
              </w:rPr>
            </w:pPr>
            <w:r w:rsidRPr="00F61D2F">
              <w:rPr>
                <w:color w:val="000000"/>
                <w:lang w:val="en-IN"/>
              </w:rPr>
              <w:t>"Sales"</w:t>
            </w:r>
          </w:p>
        </w:tc>
        <w:tc>
          <w:tcPr>
            <w:tcW w:w="918" w:type="pct"/>
            <w:vMerge w:val="restart"/>
            <w:shd w:val="clear" w:color="000000" w:fill="FFFFFF"/>
            <w:vAlign w:val="center"/>
            <w:hideMark/>
          </w:tcPr>
          <w:p w14:paraId="0FB20A5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"(Sales/Account Receivables)"</w:t>
            </w:r>
          </w:p>
        </w:tc>
        <w:tc>
          <w:tcPr>
            <w:tcW w:w="616" w:type="pct"/>
            <w:shd w:val="clear" w:color="000000" w:fill="FFFFFF"/>
            <w:noWrap/>
            <w:vAlign w:val="bottom"/>
            <w:hideMark/>
          </w:tcPr>
          <w:p w14:paraId="3C42616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2,921.90 </w:t>
            </w:r>
          </w:p>
        </w:tc>
        <w:tc>
          <w:tcPr>
            <w:tcW w:w="548" w:type="pct"/>
            <w:shd w:val="clear" w:color="000000" w:fill="FFFFFF"/>
            <w:noWrap/>
            <w:vAlign w:val="bottom"/>
            <w:hideMark/>
          </w:tcPr>
          <w:p w14:paraId="599E703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2,959.90 </w:t>
            </w:r>
          </w:p>
        </w:tc>
        <w:tc>
          <w:tcPr>
            <w:tcW w:w="548" w:type="pct"/>
            <w:shd w:val="clear" w:color="000000" w:fill="FFFFFF"/>
            <w:noWrap/>
            <w:vAlign w:val="bottom"/>
            <w:hideMark/>
          </w:tcPr>
          <w:p w14:paraId="2E43239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2,625.20 </w:t>
            </w:r>
          </w:p>
        </w:tc>
        <w:tc>
          <w:tcPr>
            <w:tcW w:w="548" w:type="pct"/>
            <w:shd w:val="clear" w:color="000000" w:fill="FFFFFF"/>
            <w:noWrap/>
            <w:vAlign w:val="bottom"/>
            <w:hideMark/>
          </w:tcPr>
          <w:p w14:paraId="60B8B07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1,703.40 </w:t>
            </w:r>
          </w:p>
        </w:tc>
        <w:tc>
          <w:tcPr>
            <w:tcW w:w="553" w:type="pct"/>
            <w:shd w:val="clear" w:color="000000" w:fill="FFFFFF"/>
            <w:noWrap/>
            <w:vAlign w:val="bottom"/>
            <w:hideMark/>
          </w:tcPr>
          <w:p w14:paraId="2855CA6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589.40 </w:t>
            </w:r>
          </w:p>
        </w:tc>
      </w:tr>
      <w:tr w:rsidR="00816904" w:rsidRPr="00F61D2F" w14:paraId="30F0E650" w14:textId="77777777" w:rsidTr="00EC26C8">
        <w:trPr>
          <w:trHeight w:val="312"/>
          <w:jc w:val="center"/>
        </w:trPr>
        <w:tc>
          <w:tcPr>
            <w:tcW w:w="1268" w:type="pct"/>
            <w:shd w:val="clear" w:color="000000" w:fill="FFFFFF"/>
            <w:noWrap/>
            <w:vAlign w:val="bottom"/>
            <w:hideMark/>
          </w:tcPr>
          <w:p w14:paraId="7D1BD64D" w14:textId="77777777" w:rsidR="00816904" w:rsidRPr="00F61D2F" w:rsidRDefault="00816904" w:rsidP="00816904">
            <w:pPr>
              <w:spacing w:before="0" w:after="0" w:line="240" w:lineRule="auto"/>
              <w:jc w:val="left"/>
              <w:rPr>
                <w:color w:val="000000"/>
                <w:lang w:val="en-IN"/>
              </w:rPr>
            </w:pPr>
            <w:r w:rsidRPr="00F61D2F">
              <w:rPr>
                <w:color w:val="000000"/>
                <w:lang w:val="en-IN"/>
              </w:rPr>
              <w:t>"(/): Accounts Receivable"</w:t>
            </w:r>
          </w:p>
        </w:tc>
        <w:tc>
          <w:tcPr>
            <w:tcW w:w="918" w:type="pct"/>
            <w:vMerge/>
            <w:vAlign w:val="center"/>
            <w:hideMark/>
          </w:tcPr>
          <w:p w14:paraId="2FF94794"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093BB92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127.10 </w:t>
            </w:r>
          </w:p>
        </w:tc>
        <w:tc>
          <w:tcPr>
            <w:tcW w:w="548" w:type="pct"/>
            <w:shd w:val="clear" w:color="000000" w:fill="FFFFFF"/>
            <w:noWrap/>
            <w:vAlign w:val="bottom"/>
            <w:hideMark/>
          </w:tcPr>
          <w:p w14:paraId="533A01F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119.30 </w:t>
            </w:r>
          </w:p>
        </w:tc>
        <w:tc>
          <w:tcPr>
            <w:tcW w:w="548" w:type="pct"/>
            <w:shd w:val="clear" w:color="000000" w:fill="FFFFFF"/>
            <w:noWrap/>
            <w:vAlign w:val="bottom"/>
            <w:hideMark/>
          </w:tcPr>
          <w:p w14:paraId="7369B4BF"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141.80 </w:t>
            </w:r>
          </w:p>
        </w:tc>
        <w:tc>
          <w:tcPr>
            <w:tcW w:w="548" w:type="pct"/>
            <w:shd w:val="clear" w:color="000000" w:fill="FFFFFF"/>
            <w:noWrap/>
            <w:vAlign w:val="bottom"/>
            <w:hideMark/>
          </w:tcPr>
          <w:p w14:paraId="3947EBB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116.40 </w:t>
            </w:r>
          </w:p>
        </w:tc>
        <w:tc>
          <w:tcPr>
            <w:tcW w:w="553" w:type="pct"/>
            <w:shd w:val="clear" w:color="000000" w:fill="FFFFFF"/>
            <w:noWrap/>
            <w:vAlign w:val="bottom"/>
            <w:hideMark/>
          </w:tcPr>
          <w:p w14:paraId="172992C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74.20 </w:t>
            </w:r>
          </w:p>
        </w:tc>
      </w:tr>
      <w:tr w:rsidR="00816904" w:rsidRPr="00F61D2F" w14:paraId="68DD1ED5" w14:textId="77777777" w:rsidTr="00EC26C8">
        <w:trPr>
          <w:trHeight w:val="312"/>
          <w:jc w:val="center"/>
        </w:trPr>
        <w:tc>
          <w:tcPr>
            <w:tcW w:w="1268" w:type="pct"/>
            <w:shd w:val="clear" w:color="000000" w:fill="FFFFFF"/>
            <w:noWrap/>
            <w:vAlign w:val="bottom"/>
            <w:hideMark/>
          </w:tcPr>
          <w:p w14:paraId="24C054DE"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"Receivables Turnover ratio"</w:t>
            </w:r>
          </w:p>
        </w:tc>
        <w:tc>
          <w:tcPr>
            <w:tcW w:w="918" w:type="pct"/>
            <w:vMerge/>
            <w:vAlign w:val="center"/>
            <w:hideMark/>
          </w:tcPr>
          <w:p w14:paraId="01849F45"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57DECCA4"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22.99</w:t>
            </w:r>
          </w:p>
        </w:tc>
        <w:tc>
          <w:tcPr>
            <w:tcW w:w="548" w:type="pct"/>
            <w:shd w:val="clear" w:color="000000" w:fill="FFFFFF"/>
            <w:noWrap/>
            <w:vAlign w:val="bottom"/>
            <w:hideMark/>
          </w:tcPr>
          <w:p w14:paraId="195DA0B9"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24.81</w:t>
            </w:r>
          </w:p>
        </w:tc>
        <w:tc>
          <w:tcPr>
            <w:tcW w:w="548" w:type="pct"/>
            <w:shd w:val="clear" w:color="000000" w:fill="FFFFFF"/>
            <w:noWrap/>
            <w:vAlign w:val="bottom"/>
            <w:hideMark/>
          </w:tcPr>
          <w:p w14:paraId="37EBA2CA"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18.51</w:t>
            </w:r>
          </w:p>
        </w:tc>
        <w:tc>
          <w:tcPr>
            <w:tcW w:w="548" w:type="pct"/>
            <w:shd w:val="clear" w:color="000000" w:fill="FFFFFF"/>
            <w:noWrap/>
            <w:vAlign w:val="bottom"/>
            <w:hideMark/>
          </w:tcPr>
          <w:p w14:paraId="65D0E118"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14.63</w:t>
            </w:r>
          </w:p>
        </w:tc>
        <w:tc>
          <w:tcPr>
            <w:tcW w:w="553" w:type="pct"/>
            <w:shd w:val="clear" w:color="000000" w:fill="FFFFFF"/>
            <w:noWrap/>
            <w:vAlign w:val="bottom"/>
            <w:hideMark/>
          </w:tcPr>
          <w:p w14:paraId="19583B06"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7.94</w:t>
            </w:r>
          </w:p>
        </w:tc>
      </w:tr>
      <w:tr w:rsidR="00816904" w:rsidRPr="00F61D2F" w14:paraId="42B97E05" w14:textId="77777777" w:rsidTr="00EC26C8">
        <w:trPr>
          <w:trHeight w:val="312"/>
          <w:jc w:val="center"/>
        </w:trPr>
        <w:tc>
          <w:tcPr>
            <w:tcW w:w="1268" w:type="pct"/>
            <w:shd w:val="clear" w:color="000000" w:fill="FFFFFF"/>
            <w:noWrap/>
            <w:vAlign w:val="bottom"/>
            <w:hideMark/>
          </w:tcPr>
          <w:p w14:paraId="05F4C06D"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c>
          <w:tcPr>
            <w:tcW w:w="918" w:type="pct"/>
            <w:shd w:val="clear" w:color="000000" w:fill="FFFFFF"/>
            <w:noWrap/>
            <w:vAlign w:val="bottom"/>
            <w:hideMark/>
          </w:tcPr>
          <w:p w14:paraId="1986D06B"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c>
          <w:tcPr>
            <w:tcW w:w="616" w:type="pct"/>
            <w:shd w:val="clear" w:color="000000" w:fill="FFFFFF"/>
            <w:noWrap/>
            <w:vAlign w:val="bottom"/>
            <w:hideMark/>
          </w:tcPr>
          <w:p w14:paraId="63F662E6"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c>
          <w:tcPr>
            <w:tcW w:w="548" w:type="pct"/>
            <w:shd w:val="clear" w:color="000000" w:fill="FFFFFF"/>
            <w:noWrap/>
            <w:vAlign w:val="bottom"/>
            <w:hideMark/>
          </w:tcPr>
          <w:p w14:paraId="7E3CFD13"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c>
          <w:tcPr>
            <w:tcW w:w="548" w:type="pct"/>
            <w:shd w:val="clear" w:color="000000" w:fill="FFFFFF"/>
            <w:noWrap/>
            <w:vAlign w:val="bottom"/>
            <w:hideMark/>
          </w:tcPr>
          <w:p w14:paraId="04C5B4D9"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c>
          <w:tcPr>
            <w:tcW w:w="548" w:type="pct"/>
            <w:shd w:val="clear" w:color="000000" w:fill="FFFFFF"/>
            <w:noWrap/>
            <w:vAlign w:val="bottom"/>
            <w:hideMark/>
          </w:tcPr>
          <w:p w14:paraId="2FB78E86"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c>
          <w:tcPr>
            <w:tcW w:w="553" w:type="pct"/>
            <w:shd w:val="clear" w:color="000000" w:fill="FFFFFF"/>
            <w:noWrap/>
            <w:vAlign w:val="bottom"/>
            <w:hideMark/>
          </w:tcPr>
          <w:p w14:paraId="2FE36C2B" w14:textId="77777777" w:rsidR="00816904" w:rsidRPr="00F61D2F" w:rsidRDefault="00816904" w:rsidP="00816904">
            <w:pPr>
              <w:spacing w:before="0" w:after="0" w:line="240" w:lineRule="auto"/>
              <w:jc w:val="left"/>
              <w:rPr>
                <w:color w:val="000000"/>
                <w:lang w:val="en-IN"/>
              </w:rPr>
            </w:pPr>
            <w:r w:rsidRPr="00F61D2F">
              <w:rPr>
                <w:color w:val="000000"/>
                <w:lang w:val="en-IN"/>
              </w:rPr>
              <w:t> </w:t>
            </w:r>
          </w:p>
        </w:tc>
      </w:tr>
      <w:tr w:rsidR="00816904" w:rsidRPr="00F61D2F" w14:paraId="4AE3E84C" w14:textId="77777777" w:rsidTr="00816904">
        <w:trPr>
          <w:trHeight w:val="312"/>
          <w:jc w:val="center"/>
        </w:trPr>
        <w:tc>
          <w:tcPr>
            <w:tcW w:w="5000" w:type="pct"/>
            <w:gridSpan w:val="7"/>
            <w:shd w:val="clear" w:color="000000" w:fill="FFFFFF"/>
            <w:noWrap/>
            <w:vAlign w:val="bottom"/>
            <w:hideMark/>
          </w:tcPr>
          <w:p w14:paraId="61245BD5"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"Inventory Turnover ratio"</w:t>
            </w:r>
          </w:p>
        </w:tc>
      </w:tr>
      <w:tr w:rsidR="00816904" w:rsidRPr="00F61D2F" w14:paraId="531B0D76" w14:textId="77777777" w:rsidTr="00EC26C8">
        <w:trPr>
          <w:trHeight w:val="312"/>
          <w:jc w:val="center"/>
        </w:trPr>
        <w:tc>
          <w:tcPr>
            <w:tcW w:w="1268" w:type="pct"/>
            <w:shd w:val="clear" w:color="000000" w:fill="FFFFFF"/>
            <w:noWrap/>
            <w:vAlign w:val="bottom"/>
            <w:hideMark/>
          </w:tcPr>
          <w:p w14:paraId="2453975C"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35E25F8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4878170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42188F4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433E97C6"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53516B1C"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7586E563"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2D3BBDA8" w14:textId="77777777" w:rsidTr="00EC26C8">
        <w:trPr>
          <w:trHeight w:val="312"/>
          <w:jc w:val="center"/>
        </w:trPr>
        <w:tc>
          <w:tcPr>
            <w:tcW w:w="1268" w:type="pct"/>
            <w:shd w:val="clear" w:color="000000" w:fill="FFFFFF"/>
            <w:noWrap/>
            <w:vAlign w:val="bottom"/>
            <w:hideMark/>
          </w:tcPr>
          <w:p w14:paraId="4FE04381" w14:textId="77777777" w:rsidR="00816904" w:rsidRPr="00F61D2F" w:rsidRDefault="00816904" w:rsidP="00816904">
            <w:pPr>
              <w:spacing w:before="0" w:after="0" w:line="240" w:lineRule="auto"/>
              <w:jc w:val="left"/>
              <w:rPr>
                <w:color w:val="000000"/>
                <w:lang w:val="en-IN"/>
              </w:rPr>
            </w:pPr>
            <w:r w:rsidRPr="00F61D2F">
              <w:rPr>
                <w:color w:val="000000"/>
                <w:lang w:val="en-IN"/>
              </w:rPr>
              <w:t>"Sales"</w:t>
            </w:r>
          </w:p>
        </w:tc>
        <w:tc>
          <w:tcPr>
            <w:tcW w:w="918" w:type="pct"/>
            <w:vMerge w:val="restart"/>
            <w:shd w:val="clear" w:color="000000" w:fill="FFFFFF"/>
            <w:vAlign w:val="center"/>
            <w:hideMark/>
          </w:tcPr>
          <w:p w14:paraId="698A8B5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"(Sales/Inventories)"</w:t>
            </w:r>
          </w:p>
        </w:tc>
        <w:tc>
          <w:tcPr>
            <w:tcW w:w="616" w:type="pct"/>
            <w:shd w:val="clear" w:color="000000" w:fill="FFFFFF"/>
            <w:noWrap/>
            <w:vAlign w:val="bottom"/>
            <w:hideMark/>
          </w:tcPr>
          <w:p w14:paraId="030FB25E"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2,921.90 </w:t>
            </w:r>
          </w:p>
        </w:tc>
        <w:tc>
          <w:tcPr>
            <w:tcW w:w="548" w:type="pct"/>
            <w:shd w:val="clear" w:color="000000" w:fill="FFFFFF"/>
            <w:noWrap/>
            <w:vAlign w:val="bottom"/>
            <w:hideMark/>
          </w:tcPr>
          <w:p w14:paraId="0C3A710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2,959.90 </w:t>
            </w:r>
          </w:p>
        </w:tc>
        <w:tc>
          <w:tcPr>
            <w:tcW w:w="548" w:type="pct"/>
            <w:shd w:val="clear" w:color="000000" w:fill="FFFFFF"/>
            <w:noWrap/>
            <w:vAlign w:val="bottom"/>
            <w:hideMark/>
          </w:tcPr>
          <w:p w14:paraId="390DF75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2,625.20 </w:t>
            </w:r>
          </w:p>
        </w:tc>
        <w:tc>
          <w:tcPr>
            <w:tcW w:w="548" w:type="pct"/>
            <w:shd w:val="clear" w:color="000000" w:fill="FFFFFF"/>
            <w:noWrap/>
            <w:vAlign w:val="bottom"/>
            <w:hideMark/>
          </w:tcPr>
          <w:p w14:paraId="67D6125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1,703.40 </w:t>
            </w:r>
          </w:p>
        </w:tc>
        <w:tc>
          <w:tcPr>
            <w:tcW w:w="553" w:type="pct"/>
            <w:shd w:val="clear" w:color="000000" w:fill="FFFFFF"/>
            <w:noWrap/>
            <w:vAlign w:val="bottom"/>
            <w:hideMark/>
          </w:tcPr>
          <w:p w14:paraId="1A89A2EA"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589.40 </w:t>
            </w:r>
          </w:p>
        </w:tc>
      </w:tr>
      <w:tr w:rsidR="00816904" w:rsidRPr="00F61D2F" w14:paraId="3EE05016" w14:textId="77777777" w:rsidTr="00EC26C8">
        <w:trPr>
          <w:trHeight w:val="312"/>
          <w:jc w:val="center"/>
        </w:trPr>
        <w:tc>
          <w:tcPr>
            <w:tcW w:w="1268" w:type="pct"/>
            <w:shd w:val="clear" w:color="000000" w:fill="FFFFFF"/>
            <w:noWrap/>
            <w:vAlign w:val="bottom"/>
            <w:hideMark/>
          </w:tcPr>
          <w:p w14:paraId="67E796EB" w14:textId="77777777" w:rsidR="00816904" w:rsidRPr="00F61D2F" w:rsidRDefault="00816904" w:rsidP="00816904">
            <w:pPr>
              <w:spacing w:before="0" w:after="0" w:line="240" w:lineRule="auto"/>
              <w:jc w:val="left"/>
              <w:rPr>
                <w:color w:val="000000"/>
                <w:lang w:val="en-IN"/>
              </w:rPr>
            </w:pPr>
            <w:r w:rsidRPr="00F61D2F">
              <w:rPr>
                <w:color w:val="000000"/>
                <w:lang w:val="en-IN"/>
              </w:rPr>
              <w:t>"(/): Inventories"</w:t>
            </w:r>
          </w:p>
        </w:tc>
        <w:tc>
          <w:tcPr>
            <w:tcW w:w="918" w:type="pct"/>
            <w:vMerge/>
            <w:vAlign w:val="center"/>
            <w:hideMark/>
          </w:tcPr>
          <w:p w14:paraId="3A959AC0"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185E886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17.10 </w:t>
            </w:r>
          </w:p>
        </w:tc>
        <w:tc>
          <w:tcPr>
            <w:tcW w:w="548" w:type="pct"/>
            <w:shd w:val="clear" w:color="000000" w:fill="FFFFFF"/>
            <w:noWrap/>
            <w:vAlign w:val="bottom"/>
            <w:hideMark/>
          </w:tcPr>
          <w:p w14:paraId="7DA28F6E"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21.20 </w:t>
            </w:r>
          </w:p>
        </w:tc>
        <w:tc>
          <w:tcPr>
            <w:tcW w:w="548" w:type="pct"/>
            <w:shd w:val="clear" w:color="000000" w:fill="FFFFFF"/>
            <w:noWrap/>
            <w:vAlign w:val="bottom"/>
            <w:hideMark/>
          </w:tcPr>
          <w:p w14:paraId="606576E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21.70 </w:t>
            </w:r>
          </w:p>
        </w:tc>
        <w:tc>
          <w:tcPr>
            <w:tcW w:w="548" w:type="pct"/>
            <w:shd w:val="clear" w:color="000000" w:fill="FFFFFF"/>
            <w:noWrap/>
            <w:vAlign w:val="bottom"/>
            <w:hideMark/>
          </w:tcPr>
          <w:p w14:paraId="2F8E82C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19.40 </w:t>
            </w:r>
          </w:p>
        </w:tc>
        <w:tc>
          <w:tcPr>
            <w:tcW w:w="553" w:type="pct"/>
            <w:shd w:val="clear" w:color="000000" w:fill="FFFFFF"/>
            <w:noWrap/>
            <w:vAlign w:val="bottom"/>
            <w:hideMark/>
          </w:tcPr>
          <w:p w14:paraId="093B315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12.10 </w:t>
            </w:r>
          </w:p>
        </w:tc>
      </w:tr>
      <w:tr w:rsidR="00816904" w:rsidRPr="00F61D2F" w14:paraId="5E733AD9" w14:textId="77777777" w:rsidTr="00EC26C8">
        <w:trPr>
          <w:trHeight w:val="312"/>
          <w:jc w:val="center"/>
        </w:trPr>
        <w:tc>
          <w:tcPr>
            <w:tcW w:w="1268" w:type="pct"/>
            <w:shd w:val="clear" w:color="000000" w:fill="FFFFFF"/>
            <w:noWrap/>
            <w:vAlign w:val="bottom"/>
            <w:hideMark/>
          </w:tcPr>
          <w:p w14:paraId="3E6D3D66"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"Inventory Turnover ratio"</w:t>
            </w:r>
          </w:p>
        </w:tc>
        <w:tc>
          <w:tcPr>
            <w:tcW w:w="918" w:type="pct"/>
            <w:vMerge/>
            <w:vAlign w:val="center"/>
            <w:hideMark/>
          </w:tcPr>
          <w:p w14:paraId="7FD950FC"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4F04D912"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170.87</w:t>
            </w:r>
          </w:p>
        </w:tc>
        <w:tc>
          <w:tcPr>
            <w:tcW w:w="548" w:type="pct"/>
            <w:shd w:val="clear" w:color="000000" w:fill="FFFFFF"/>
            <w:noWrap/>
            <w:vAlign w:val="bottom"/>
            <w:hideMark/>
          </w:tcPr>
          <w:p w14:paraId="08085565"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139.62</w:t>
            </w:r>
          </w:p>
        </w:tc>
        <w:tc>
          <w:tcPr>
            <w:tcW w:w="548" w:type="pct"/>
            <w:shd w:val="clear" w:color="000000" w:fill="FFFFFF"/>
            <w:noWrap/>
            <w:vAlign w:val="bottom"/>
            <w:hideMark/>
          </w:tcPr>
          <w:p w14:paraId="42C0AC9A"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120.98</w:t>
            </w:r>
          </w:p>
        </w:tc>
        <w:tc>
          <w:tcPr>
            <w:tcW w:w="548" w:type="pct"/>
            <w:shd w:val="clear" w:color="000000" w:fill="FFFFFF"/>
            <w:noWrap/>
            <w:vAlign w:val="bottom"/>
            <w:hideMark/>
          </w:tcPr>
          <w:p w14:paraId="74AA7086"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87.80</w:t>
            </w:r>
          </w:p>
        </w:tc>
        <w:tc>
          <w:tcPr>
            <w:tcW w:w="553" w:type="pct"/>
            <w:shd w:val="clear" w:color="000000" w:fill="FFFFFF"/>
            <w:noWrap/>
            <w:vAlign w:val="bottom"/>
            <w:hideMark/>
          </w:tcPr>
          <w:p w14:paraId="49ABCA0D"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48.71</w:t>
            </w:r>
          </w:p>
        </w:tc>
      </w:tr>
      <w:tr w:rsidR="00816904" w:rsidRPr="00F61D2F" w14:paraId="3A304201" w14:textId="77777777" w:rsidTr="00816904">
        <w:trPr>
          <w:trHeight w:val="312"/>
          <w:jc w:val="center"/>
        </w:trPr>
        <w:tc>
          <w:tcPr>
            <w:tcW w:w="5000" w:type="pct"/>
            <w:gridSpan w:val="7"/>
            <w:shd w:val="clear" w:color="000000" w:fill="FFFFFF"/>
            <w:noWrap/>
            <w:vAlign w:val="bottom"/>
            <w:hideMark/>
          </w:tcPr>
          <w:p w14:paraId="05A586C7" w14:textId="77777777" w:rsidR="00816904" w:rsidRPr="00F61D2F" w:rsidRDefault="00816904" w:rsidP="00816904">
            <w:pPr>
              <w:spacing w:before="0" w:after="0" w:line="240" w:lineRule="auto"/>
              <w:jc w:val="center"/>
              <w:rPr>
                <w:color w:val="000000"/>
                <w:sz w:val="22"/>
                <w:szCs w:val="22"/>
                <w:lang w:val="en-IN"/>
              </w:rPr>
            </w:pPr>
            <w:r w:rsidRPr="00F61D2F">
              <w:rPr>
                <w:color w:val="000000"/>
                <w:sz w:val="22"/>
                <w:szCs w:val="22"/>
                <w:lang w:val="en-IN"/>
              </w:rPr>
              <w:t> </w:t>
            </w:r>
          </w:p>
        </w:tc>
      </w:tr>
      <w:tr w:rsidR="00816904" w:rsidRPr="00F61D2F" w14:paraId="6D233AC6" w14:textId="77777777" w:rsidTr="00816904">
        <w:trPr>
          <w:trHeight w:val="312"/>
          <w:jc w:val="center"/>
        </w:trPr>
        <w:tc>
          <w:tcPr>
            <w:tcW w:w="5000" w:type="pct"/>
            <w:gridSpan w:val="7"/>
            <w:shd w:val="clear" w:color="000000" w:fill="FFFF00"/>
            <w:noWrap/>
            <w:vAlign w:val="bottom"/>
            <w:hideMark/>
          </w:tcPr>
          <w:p w14:paraId="686105AA"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"Gearing Ratio"</w:t>
            </w:r>
          </w:p>
        </w:tc>
      </w:tr>
      <w:tr w:rsidR="00816904" w:rsidRPr="00F61D2F" w14:paraId="4502ADCA" w14:textId="77777777" w:rsidTr="00816904">
        <w:trPr>
          <w:trHeight w:val="312"/>
          <w:jc w:val="center"/>
        </w:trPr>
        <w:tc>
          <w:tcPr>
            <w:tcW w:w="5000" w:type="pct"/>
            <w:gridSpan w:val="7"/>
            <w:shd w:val="clear" w:color="000000" w:fill="FFFFFF"/>
            <w:noWrap/>
            <w:vAlign w:val="bottom"/>
            <w:hideMark/>
          </w:tcPr>
          <w:p w14:paraId="7B92ACF8"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"Debt to Equity Ratio"</w:t>
            </w:r>
          </w:p>
        </w:tc>
      </w:tr>
      <w:tr w:rsidR="00816904" w:rsidRPr="00F61D2F" w14:paraId="64CAEAED" w14:textId="77777777" w:rsidTr="00EC26C8">
        <w:trPr>
          <w:trHeight w:val="312"/>
          <w:jc w:val="center"/>
        </w:trPr>
        <w:tc>
          <w:tcPr>
            <w:tcW w:w="1268" w:type="pct"/>
            <w:shd w:val="clear" w:color="000000" w:fill="FFFFFF"/>
            <w:noWrap/>
            <w:vAlign w:val="bottom"/>
            <w:hideMark/>
          </w:tcPr>
          <w:p w14:paraId="12D1F66D"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1BE7777C"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19DF9941"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320717D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552AB36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62305805"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73AD921A"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77BEBE4C" w14:textId="77777777" w:rsidTr="00EC26C8">
        <w:trPr>
          <w:trHeight w:val="312"/>
          <w:jc w:val="center"/>
        </w:trPr>
        <w:tc>
          <w:tcPr>
            <w:tcW w:w="1268" w:type="pct"/>
            <w:shd w:val="clear" w:color="000000" w:fill="FFFFFF"/>
            <w:noWrap/>
            <w:vAlign w:val="bottom"/>
            <w:hideMark/>
          </w:tcPr>
          <w:p w14:paraId="57A36D1F" w14:textId="77777777" w:rsidR="00816904" w:rsidRPr="00F61D2F" w:rsidRDefault="00816904" w:rsidP="00816904">
            <w:pPr>
              <w:spacing w:before="0" w:after="0" w:line="240" w:lineRule="auto"/>
              <w:jc w:val="left"/>
              <w:rPr>
                <w:color w:val="000000"/>
                <w:lang w:val="en-IN"/>
              </w:rPr>
            </w:pPr>
            <w:r w:rsidRPr="00F61D2F">
              <w:rPr>
                <w:color w:val="000000"/>
                <w:lang w:val="en-IN"/>
              </w:rPr>
              <w:t>"Total Debt"</w:t>
            </w:r>
          </w:p>
        </w:tc>
        <w:tc>
          <w:tcPr>
            <w:tcW w:w="918" w:type="pct"/>
            <w:vMerge w:val="restart"/>
            <w:shd w:val="clear" w:color="000000" w:fill="FFFFFF"/>
            <w:vAlign w:val="center"/>
            <w:hideMark/>
          </w:tcPr>
          <w:p w14:paraId="339E351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"(Total debt/Total equity)"</w:t>
            </w:r>
          </w:p>
        </w:tc>
        <w:tc>
          <w:tcPr>
            <w:tcW w:w="616" w:type="pct"/>
            <w:shd w:val="clear" w:color="000000" w:fill="FFFFFF"/>
            <w:noWrap/>
            <w:vAlign w:val="bottom"/>
            <w:hideMark/>
          </w:tcPr>
          <w:p w14:paraId="5767DD1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6,570.20 </w:t>
            </w:r>
          </w:p>
        </w:tc>
        <w:tc>
          <w:tcPr>
            <w:tcW w:w="548" w:type="pct"/>
            <w:shd w:val="clear" w:color="000000" w:fill="FFFFFF"/>
            <w:noWrap/>
            <w:vAlign w:val="bottom"/>
            <w:hideMark/>
          </w:tcPr>
          <w:p w14:paraId="4698BEF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6,001.90 </w:t>
            </w:r>
          </w:p>
        </w:tc>
        <w:tc>
          <w:tcPr>
            <w:tcW w:w="548" w:type="pct"/>
            <w:shd w:val="clear" w:color="000000" w:fill="FFFFFF"/>
            <w:noWrap/>
            <w:vAlign w:val="bottom"/>
            <w:hideMark/>
          </w:tcPr>
          <w:p w14:paraId="6CE3429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5,831.40 </w:t>
            </w:r>
          </w:p>
        </w:tc>
        <w:tc>
          <w:tcPr>
            <w:tcW w:w="548" w:type="pct"/>
            <w:shd w:val="clear" w:color="000000" w:fill="FFFFFF"/>
            <w:noWrap/>
            <w:vAlign w:val="bottom"/>
            <w:hideMark/>
          </w:tcPr>
          <w:p w14:paraId="657E05B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5,447.50 </w:t>
            </w:r>
          </w:p>
        </w:tc>
        <w:tc>
          <w:tcPr>
            <w:tcW w:w="553" w:type="pct"/>
            <w:shd w:val="clear" w:color="000000" w:fill="FFFFFF"/>
            <w:noWrap/>
            <w:vAlign w:val="bottom"/>
            <w:hideMark/>
          </w:tcPr>
          <w:p w14:paraId="2EAE820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4,964.50 </w:t>
            </w:r>
          </w:p>
        </w:tc>
      </w:tr>
      <w:tr w:rsidR="00816904" w:rsidRPr="00F61D2F" w14:paraId="511ACFC2" w14:textId="77777777" w:rsidTr="00EC26C8">
        <w:trPr>
          <w:trHeight w:val="312"/>
          <w:jc w:val="center"/>
        </w:trPr>
        <w:tc>
          <w:tcPr>
            <w:tcW w:w="1268" w:type="pct"/>
            <w:shd w:val="clear" w:color="000000" w:fill="FFFFFF"/>
            <w:noWrap/>
            <w:vAlign w:val="bottom"/>
            <w:hideMark/>
          </w:tcPr>
          <w:p w14:paraId="6B976A8F" w14:textId="77777777" w:rsidR="00816904" w:rsidRPr="00F61D2F" w:rsidRDefault="00816904" w:rsidP="00816904">
            <w:pPr>
              <w:spacing w:before="0" w:after="0" w:line="240" w:lineRule="auto"/>
              <w:jc w:val="left"/>
              <w:rPr>
                <w:color w:val="000000"/>
                <w:lang w:val="en-IN"/>
              </w:rPr>
            </w:pPr>
            <w:r w:rsidRPr="00F61D2F">
              <w:rPr>
                <w:color w:val="000000"/>
                <w:lang w:val="en-IN"/>
              </w:rPr>
              <w:t>"(/): Total Equity"</w:t>
            </w:r>
          </w:p>
        </w:tc>
        <w:tc>
          <w:tcPr>
            <w:tcW w:w="918" w:type="pct"/>
            <w:vMerge/>
            <w:vAlign w:val="center"/>
            <w:hideMark/>
          </w:tcPr>
          <w:p w14:paraId="2ADFE105"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69C8340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3,334.50 </w:t>
            </w:r>
          </w:p>
        </w:tc>
        <w:tc>
          <w:tcPr>
            <w:tcW w:w="548" w:type="pct"/>
            <w:shd w:val="clear" w:color="000000" w:fill="FFFFFF"/>
            <w:noWrap/>
            <w:vAlign w:val="bottom"/>
            <w:hideMark/>
          </w:tcPr>
          <w:p w14:paraId="4081387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3,519.40 </w:t>
            </w:r>
          </w:p>
        </w:tc>
        <w:tc>
          <w:tcPr>
            <w:tcW w:w="548" w:type="pct"/>
            <w:shd w:val="clear" w:color="000000" w:fill="FFFFFF"/>
            <w:noWrap/>
            <w:vAlign w:val="bottom"/>
            <w:hideMark/>
          </w:tcPr>
          <w:p w14:paraId="385F854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4,111.40 </w:t>
            </w:r>
          </w:p>
        </w:tc>
        <w:tc>
          <w:tcPr>
            <w:tcW w:w="548" w:type="pct"/>
            <w:shd w:val="clear" w:color="000000" w:fill="FFFFFF"/>
            <w:noWrap/>
            <w:vAlign w:val="bottom"/>
            <w:hideMark/>
          </w:tcPr>
          <w:p w14:paraId="43896F3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4,119.00 </w:t>
            </w:r>
          </w:p>
        </w:tc>
        <w:tc>
          <w:tcPr>
            <w:tcW w:w="553" w:type="pct"/>
            <w:shd w:val="clear" w:color="000000" w:fill="FFFFFF"/>
            <w:noWrap/>
            <w:vAlign w:val="bottom"/>
            <w:hideMark/>
          </w:tcPr>
          <w:p w14:paraId="0A7BF96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3,834.10 </w:t>
            </w:r>
          </w:p>
        </w:tc>
      </w:tr>
      <w:tr w:rsidR="00816904" w:rsidRPr="00F61D2F" w14:paraId="10E9E572" w14:textId="77777777" w:rsidTr="00EC26C8">
        <w:trPr>
          <w:trHeight w:val="312"/>
          <w:jc w:val="center"/>
        </w:trPr>
        <w:tc>
          <w:tcPr>
            <w:tcW w:w="1268" w:type="pct"/>
            <w:shd w:val="clear" w:color="000000" w:fill="FFFFFF"/>
            <w:noWrap/>
            <w:vAlign w:val="bottom"/>
            <w:hideMark/>
          </w:tcPr>
          <w:p w14:paraId="0CA1374C"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"Debt to Equity Ratio"</w:t>
            </w:r>
          </w:p>
        </w:tc>
        <w:tc>
          <w:tcPr>
            <w:tcW w:w="918" w:type="pct"/>
            <w:vMerge/>
            <w:vAlign w:val="center"/>
            <w:hideMark/>
          </w:tcPr>
          <w:p w14:paraId="1FD30EB7"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7EE84D7B"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1.97</w:t>
            </w:r>
          </w:p>
        </w:tc>
        <w:tc>
          <w:tcPr>
            <w:tcW w:w="548" w:type="pct"/>
            <w:shd w:val="clear" w:color="000000" w:fill="FFFFFF"/>
            <w:noWrap/>
            <w:vAlign w:val="bottom"/>
            <w:hideMark/>
          </w:tcPr>
          <w:p w14:paraId="30F16112"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1.71</w:t>
            </w:r>
          </w:p>
        </w:tc>
        <w:tc>
          <w:tcPr>
            <w:tcW w:w="548" w:type="pct"/>
            <w:shd w:val="clear" w:color="000000" w:fill="FFFFFF"/>
            <w:noWrap/>
            <w:vAlign w:val="bottom"/>
            <w:hideMark/>
          </w:tcPr>
          <w:p w14:paraId="3725ACE8"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1.42</w:t>
            </w:r>
          </w:p>
        </w:tc>
        <w:tc>
          <w:tcPr>
            <w:tcW w:w="548" w:type="pct"/>
            <w:shd w:val="clear" w:color="000000" w:fill="FFFFFF"/>
            <w:noWrap/>
            <w:vAlign w:val="bottom"/>
            <w:hideMark/>
          </w:tcPr>
          <w:p w14:paraId="3B67110E"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1.32</w:t>
            </w:r>
          </w:p>
        </w:tc>
        <w:tc>
          <w:tcPr>
            <w:tcW w:w="553" w:type="pct"/>
            <w:shd w:val="clear" w:color="000000" w:fill="FFFFFF"/>
            <w:noWrap/>
            <w:vAlign w:val="bottom"/>
            <w:hideMark/>
          </w:tcPr>
          <w:p w14:paraId="7C061894"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1.29</w:t>
            </w:r>
          </w:p>
        </w:tc>
      </w:tr>
      <w:tr w:rsidR="00816904" w:rsidRPr="00F61D2F" w14:paraId="345D4F5C" w14:textId="77777777" w:rsidTr="00816904">
        <w:trPr>
          <w:trHeight w:val="312"/>
          <w:jc w:val="center"/>
        </w:trPr>
        <w:tc>
          <w:tcPr>
            <w:tcW w:w="5000" w:type="pct"/>
            <w:gridSpan w:val="7"/>
            <w:shd w:val="clear" w:color="000000" w:fill="FFFFFF"/>
            <w:noWrap/>
            <w:vAlign w:val="bottom"/>
            <w:hideMark/>
          </w:tcPr>
          <w:p w14:paraId="78140DAB"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576FB253" w14:textId="77777777" w:rsidTr="00816904">
        <w:trPr>
          <w:trHeight w:val="312"/>
          <w:jc w:val="center"/>
        </w:trPr>
        <w:tc>
          <w:tcPr>
            <w:tcW w:w="5000" w:type="pct"/>
            <w:gridSpan w:val="7"/>
            <w:shd w:val="clear" w:color="000000" w:fill="FFFFFF"/>
            <w:noWrap/>
            <w:vAlign w:val="bottom"/>
            <w:hideMark/>
          </w:tcPr>
          <w:p w14:paraId="7ABA482C"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"Times Interest Earned Ratio"</w:t>
            </w:r>
          </w:p>
        </w:tc>
      </w:tr>
      <w:tr w:rsidR="00816904" w:rsidRPr="00F61D2F" w14:paraId="688D9213" w14:textId="77777777" w:rsidTr="00EC26C8">
        <w:trPr>
          <w:trHeight w:val="312"/>
          <w:jc w:val="center"/>
        </w:trPr>
        <w:tc>
          <w:tcPr>
            <w:tcW w:w="1268" w:type="pct"/>
            <w:shd w:val="clear" w:color="000000" w:fill="FFFFFF"/>
            <w:noWrap/>
            <w:vAlign w:val="bottom"/>
            <w:hideMark/>
          </w:tcPr>
          <w:p w14:paraId="7318FB2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20691C88"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7B785AF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534642C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497C4A6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403FD65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6C0DCD65"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0EFCD9F9" w14:textId="77777777" w:rsidTr="00EC26C8">
        <w:trPr>
          <w:trHeight w:val="312"/>
          <w:jc w:val="center"/>
        </w:trPr>
        <w:tc>
          <w:tcPr>
            <w:tcW w:w="1268" w:type="pct"/>
            <w:shd w:val="clear" w:color="000000" w:fill="FFFFFF"/>
            <w:noWrap/>
            <w:vAlign w:val="bottom"/>
            <w:hideMark/>
          </w:tcPr>
          <w:p w14:paraId="1A29E2CF" w14:textId="77777777" w:rsidR="00816904" w:rsidRPr="00F61D2F" w:rsidRDefault="00816904" w:rsidP="00816904">
            <w:pPr>
              <w:spacing w:before="0" w:after="0" w:line="240" w:lineRule="auto"/>
              <w:jc w:val="left"/>
              <w:rPr>
                <w:color w:val="000000"/>
                <w:lang w:val="en-IN"/>
              </w:rPr>
            </w:pPr>
            <w:r w:rsidRPr="00F61D2F">
              <w:rPr>
                <w:color w:val="000000"/>
                <w:lang w:val="en-IN"/>
              </w:rPr>
              <w:t>"EBIT"</w:t>
            </w:r>
          </w:p>
        </w:tc>
        <w:tc>
          <w:tcPr>
            <w:tcW w:w="918" w:type="pct"/>
            <w:vMerge w:val="restart"/>
            <w:shd w:val="clear" w:color="000000" w:fill="FFFFFF"/>
            <w:vAlign w:val="center"/>
            <w:hideMark/>
          </w:tcPr>
          <w:p w14:paraId="53EED4F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"(EBIT/Interest payable)"</w:t>
            </w:r>
          </w:p>
        </w:tc>
        <w:tc>
          <w:tcPr>
            <w:tcW w:w="616" w:type="pct"/>
            <w:shd w:val="clear" w:color="000000" w:fill="FFFFFF"/>
            <w:noWrap/>
            <w:vAlign w:val="bottom"/>
            <w:hideMark/>
          </w:tcPr>
          <w:p w14:paraId="0C6E248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367.80 </w:t>
            </w:r>
          </w:p>
        </w:tc>
        <w:tc>
          <w:tcPr>
            <w:tcW w:w="548" w:type="pct"/>
            <w:shd w:val="clear" w:color="000000" w:fill="FFFFFF"/>
            <w:noWrap/>
            <w:vAlign w:val="bottom"/>
            <w:hideMark/>
          </w:tcPr>
          <w:p w14:paraId="787B825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451.70 </w:t>
            </w:r>
          </w:p>
        </w:tc>
        <w:tc>
          <w:tcPr>
            <w:tcW w:w="548" w:type="pct"/>
            <w:shd w:val="clear" w:color="000000" w:fill="FFFFFF"/>
            <w:noWrap/>
            <w:vAlign w:val="bottom"/>
            <w:hideMark/>
          </w:tcPr>
          <w:p w14:paraId="3543374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374.90 </w:t>
            </w:r>
          </w:p>
        </w:tc>
        <w:tc>
          <w:tcPr>
            <w:tcW w:w="548" w:type="pct"/>
            <w:shd w:val="clear" w:color="000000" w:fill="FFFFFF"/>
            <w:noWrap/>
            <w:vAlign w:val="bottom"/>
            <w:hideMark/>
          </w:tcPr>
          <w:p w14:paraId="6EABFD7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58.20 </w:t>
            </w:r>
          </w:p>
        </w:tc>
        <w:tc>
          <w:tcPr>
            <w:tcW w:w="553" w:type="pct"/>
            <w:shd w:val="clear" w:color="000000" w:fill="FFFFFF"/>
            <w:noWrap/>
            <w:vAlign w:val="bottom"/>
            <w:hideMark/>
          </w:tcPr>
          <w:p w14:paraId="5727052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1,007.40 </w:t>
            </w:r>
          </w:p>
        </w:tc>
      </w:tr>
      <w:tr w:rsidR="00816904" w:rsidRPr="00F61D2F" w14:paraId="590FA0A6" w14:textId="77777777" w:rsidTr="00EC26C8">
        <w:trPr>
          <w:trHeight w:val="312"/>
          <w:jc w:val="center"/>
        </w:trPr>
        <w:tc>
          <w:tcPr>
            <w:tcW w:w="1268" w:type="pct"/>
            <w:shd w:val="clear" w:color="000000" w:fill="FFFFFF"/>
            <w:noWrap/>
            <w:vAlign w:val="bottom"/>
            <w:hideMark/>
          </w:tcPr>
          <w:p w14:paraId="1542D929" w14:textId="77777777" w:rsidR="00816904" w:rsidRPr="00F61D2F" w:rsidRDefault="00816904" w:rsidP="00816904">
            <w:pPr>
              <w:spacing w:before="0" w:after="0" w:line="240" w:lineRule="auto"/>
              <w:jc w:val="left"/>
              <w:rPr>
                <w:color w:val="000000"/>
                <w:lang w:val="en-IN"/>
              </w:rPr>
            </w:pPr>
            <w:r w:rsidRPr="00F61D2F">
              <w:rPr>
                <w:color w:val="000000"/>
                <w:lang w:val="en-IN"/>
              </w:rPr>
              <w:t>"(/): Interest Payable"</w:t>
            </w:r>
          </w:p>
        </w:tc>
        <w:tc>
          <w:tcPr>
            <w:tcW w:w="918" w:type="pct"/>
            <w:vMerge/>
            <w:vAlign w:val="center"/>
            <w:hideMark/>
          </w:tcPr>
          <w:p w14:paraId="4091BA1C"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319D913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166.70 </w:t>
            </w:r>
          </w:p>
        </w:tc>
        <w:tc>
          <w:tcPr>
            <w:tcW w:w="548" w:type="pct"/>
            <w:shd w:val="clear" w:color="000000" w:fill="FFFFFF"/>
            <w:noWrap/>
            <w:vAlign w:val="bottom"/>
            <w:hideMark/>
          </w:tcPr>
          <w:p w14:paraId="04D820E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154.90 </w:t>
            </w:r>
          </w:p>
        </w:tc>
        <w:tc>
          <w:tcPr>
            <w:tcW w:w="548" w:type="pct"/>
            <w:shd w:val="clear" w:color="000000" w:fill="FFFFFF"/>
            <w:noWrap/>
            <w:vAlign w:val="bottom"/>
            <w:hideMark/>
          </w:tcPr>
          <w:p w14:paraId="727218EC"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138.70 </w:t>
            </w:r>
          </w:p>
        </w:tc>
        <w:tc>
          <w:tcPr>
            <w:tcW w:w="548" w:type="pct"/>
            <w:shd w:val="clear" w:color="000000" w:fill="FFFFFF"/>
            <w:noWrap/>
            <w:vAlign w:val="bottom"/>
            <w:hideMark/>
          </w:tcPr>
          <w:p w14:paraId="1E3316F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133.20 </w:t>
            </w:r>
          </w:p>
        </w:tc>
        <w:tc>
          <w:tcPr>
            <w:tcW w:w="553" w:type="pct"/>
            <w:shd w:val="clear" w:color="000000" w:fill="FFFFFF"/>
            <w:noWrap/>
            <w:vAlign w:val="bottom"/>
            <w:hideMark/>
          </w:tcPr>
          <w:p w14:paraId="2905A82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123.20 </w:t>
            </w:r>
          </w:p>
        </w:tc>
      </w:tr>
      <w:tr w:rsidR="00816904" w:rsidRPr="00F61D2F" w14:paraId="23359C35" w14:textId="77777777" w:rsidTr="00EC26C8">
        <w:trPr>
          <w:trHeight w:val="312"/>
          <w:jc w:val="center"/>
        </w:trPr>
        <w:tc>
          <w:tcPr>
            <w:tcW w:w="1268" w:type="pct"/>
            <w:shd w:val="clear" w:color="000000" w:fill="FFFFFF"/>
            <w:noWrap/>
            <w:vAlign w:val="bottom"/>
            <w:hideMark/>
          </w:tcPr>
          <w:p w14:paraId="4792F604"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"Times Interest Earned Ratio"</w:t>
            </w:r>
          </w:p>
        </w:tc>
        <w:tc>
          <w:tcPr>
            <w:tcW w:w="918" w:type="pct"/>
            <w:vMerge/>
            <w:vAlign w:val="center"/>
            <w:hideMark/>
          </w:tcPr>
          <w:p w14:paraId="6BF4DF00"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2C1C0441"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2.21</w:t>
            </w:r>
          </w:p>
        </w:tc>
        <w:tc>
          <w:tcPr>
            <w:tcW w:w="548" w:type="pct"/>
            <w:shd w:val="clear" w:color="000000" w:fill="FFFFFF"/>
            <w:noWrap/>
            <w:vAlign w:val="bottom"/>
            <w:hideMark/>
          </w:tcPr>
          <w:p w14:paraId="49DBF1D4"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2.92</w:t>
            </w:r>
          </w:p>
        </w:tc>
        <w:tc>
          <w:tcPr>
            <w:tcW w:w="548" w:type="pct"/>
            <w:shd w:val="clear" w:color="000000" w:fill="FFFFFF"/>
            <w:noWrap/>
            <w:vAlign w:val="bottom"/>
            <w:hideMark/>
          </w:tcPr>
          <w:p w14:paraId="15D91F0B"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2.70</w:t>
            </w:r>
          </w:p>
        </w:tc>
        <w:tc>
          <w:tcPr>
            <w:tcW w:w="548" w:type="pct"/>
            <w:shd w:val="clear" w:color="000000" w:fill="FFFFFF"/>
            <w:noWrap/>
            <w:vAlign w:val="bottom"/>
            <w:hideMark/>
          </w:tcPr>
          <w:p w14:paraId="4588B858"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0.44</w:t>
            </w:r>
          </w:p>
        </w:tc>
        <w:tc>
          <w:tcPr>
            <w:tcW w:w="553" w:type="pct"/>
            <w:shd w:val="clear" w:color="000000" w:fill="FFFFFF"/>
            <w:noWrap/>
            <w:vAlign w:val="bottom"/>
            <w:hideMark/>
          </w:tcPr>
          <w:p w14:paraId="2914EF85"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-8.18</w:t>
            </w:r>
          </w:p>
        </w:tc>
      </w:tr>
      <w:tr w:rsidR="00816904" w:rsidRPr="00F61D2F" w14:paraId="2129B1C0" w14:textId="77777777" w:rsidTr="00816904">
        <w:trPr>
          <w:trHeight w:val="312"/>
          <w:jc w:val="center"/>
        </w:trPr>
        <w:tc>
          <w:tcPr>
            <w:tcW w:w="5000" w:type="pct"/>
            <w:gridSpan w:val="7"/>
            <w:shd w:val="clear" w:color="000000" w:fill="FFFFFF"/>
            <w:noWrap/>
            <w:vAlign w:val="bottom"/>
            <w:hideMark/>
          </w:tcPr>
          <w:p w14:paraId="5AB65D64"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0650D986" w14:textId="77777777" w:rsidTr="00816904">
        <w:trPr>
          <w:trHeight w:val="312"/>
          <w:jc w:val="center"/>
        </w:trPr>
        <w:tc>
          <w:tcPr>
            <w:tcW w:w="5000" w:type="pct"/>
            <w:gridSpan w:val="7"/>
            <w:shd w:val="clear" w:color="000000" w:fill="FFFF00"/>
            <w:noWrap/>
            <w:vAlign w:val="bottom"/>
            <w:hideMark/>
          </w:tcPr>
          <w:p w14:paraId="5794E638"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"Investment ratio"</w:t>
            </w:r>
          </w:p>
        </w:tc>
      </w:tr>
      <w:tr w:rsidR="00816904" w:rsidRPr="00F61D2F" w14:paraId="610A3150" w14:textId="77777777" w:rsidTr="00816904">
        <w:trPr>
          <w:trHeight w:val="312"/>
          <w:jc w:val="center"/>
        </w:trPr>
        <w:tc>
          <w:tcPr>
            <w:tcW w:w="5000" w:type="pct"/>
            <w:gridSpan w:val="7"/>
            <w:shd w:val="clear" w:color="000000" w:fill="FFFFFF"/>
            <w:noWrap/>
            <w:vAlign w:val="bottom"/>
            <w:hideMark/>
          </w:tcPr>
          <w:p w14:paraId="66B5A1B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"Dividend Payout"</w:t>
            </w:r>
          </w:p>
        </w:tc>
      </w:tr>
      <w:tr w:rsidR="00816904" w:rsidRPr="00F61D2F" w14:paraId="3C338A35" w14:textId="77777777" w:rsidTr="00EC26C8">
        <w:trPr>
          <w:trHeight w:val="312"/>
          <w:jc w:val="center"/>
        </w:trPr>
        <w:tc>
          <w:tcPr>
            <w:tcW w:w="1268" w:type="pct"/>
            <w:shd w:val="clear" w:color="000000" w:fill="FFFFFF"/>
            <w:noWrap/>
            <w:vAlign w:val="bottom"/>
            <w:hideMark/>
          </w:tcPr>
          <w:p w14:paraId="5F12B49C"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6BA7A9B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1A2805DE"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0C75C455"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1CF9AA93"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31119DF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0BE71C4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4198C2D6" w14:textId="77777777" w:rsidTr="00EC26C8">
        <w:trPr>
          <w:trHeight w:val="312"/>
          <w:jc w:val="center"/>
        </w:trPr>
        <w:tc>
          <w:tcPr>
            <w:tcW w:w="1268" w:type="pct"/>
            <w:shd w:val="clear" w:color="000000" w:fill="FFFFFF"/>
            <w:noWrap/>
            <w:vAlign w:val="bottom"/>
            <w:hideMark/>
          </w:tcPr>
          <w:p w14:paraId="2049ED9F" w14:textId="77777777" w:rsidR="00816904" w:rsidRPr="00F61D2F" w:rsidRDefault="00816904" w:rsidP="00816904">
            <w:pPr>
              <w:spacing w:before="0" w:after="0" w:line="240" w:lineRule="auto"/>
              <w:jc w:val="left"/>
              <w:rPr>
                <w:color w:val="000000"/>
                <w:lang w:val="en-IN"/>
              </w:rPr>
            </w:pPr>
            <w:r w:rsidRPr="00F61D2F">
              <w:rPr>
                <w:color w:val="000000"/>
                <w:lang w:val="en-IN"/>
              </w:rPr>
              <w:t>"Dividend"</w:t>
            </w:r>
          </w:p>
        </w:tc>
        <w:tc>
          <w:tcPr>
            <w:tcW w:w="918" w:type="pct"/>
            <w:vMerge w:val="restart"/>
            <w:shd w:val="clear" w:color="000000" w:fill="FFFFFF"/>
            <w:vAlign w:val="center"/>
            <w:hideMark/>
          </w:tcPr>
          <w:p w14:paraId="4F2DA27C"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"(Net income/Outstanding shares)"</w:t>
            </w:r>
          </w:p>
        </w:tc>
        <w:tc>
          <w:tcPr>
            <w:tcW w:w="616" w:type="pct"/>
            <w:shd w:val="clear" w:color="000000" w:fill="FFFFFF"/>
            <w:noWrap/>
            <w:vAlign w:val="bottom"/>
            <w:hideMark/>
          </w:tcPr>
          <w:p w14:paraId="24BF51F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178.10 </w:t>
            </w:r>
          </w:p>
        </w:tc>
        <w:tc>
          <w:tcPr>
            <w:tcW w:w="548" w:type="pct"/>
            <w:shd w:val="clear" w:color="000000" w:fill="FFFFFF"/>
            <w:noWrap/>
            <w:vAlign w:val="bottom"/>
            <w:hideMark/>
          </w:tcPr>
          <w:p w14:paraId="5AB7CE7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164.70 </w:t>
            </w:r>
          </w:p>
        </w:tc>
        <w:tc>
          <w:tcPr>
            <w:tcW w:w="548" w:type="pct"/>
            <w:shd w:val="clear" w:color="000000" w:fill="FFFFFF"/>
            <w:noWrap/>
            <w:vAlign w:val="bottom"/>
            <w:hideMark/>
          </w:tcPr>
          <w:p w14:paraId="58796AE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119.10 </w:t>
            </w:r>
          </w:p>
        </w:tc>
        <w:tc>
          <w:tcPr>
            <w:tcW w:w="548" w:type="pct"/>
            <w:shd w:val="clear" w:color="000000" w:fill="FFFFFF"/>
            <w:noWrap/>
            <w:vAlign w:val="bottom"/>
            <w:hideMark/>
          </w:tcPr>
          <w:p w14:paraId="4505E89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   </w:t>
            </w:r>
          </w:p>
        </w:tc>
        <w:tc>
          <w:tcPr>
            <w:tcW w:w="553" w:type="pct"/>
            <w:shd w:val="clear" w:color="000000" w:fill="FFFFFF"/>
            <w:noWrap/>
            <w:vAlign w:val="bottom"/>
            <w:hideMark/>
          </w:tcPr>
          <w:p w14:paraId="0EB7F0A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   </w:t>
            </w:r>
          </w:p>
        </w:tc>
      </w:tr>
      <w:tr w:rsidR="00816904" w:rsidRPr="00F61D2F" w14:paraId="540210CB" w14:textId="77777777" w:rsidTr="00EC26C8">
        <w:trPr>
          <w:trHeight w:val="312"/>
          <w:jc w:val="center"/>
        </w:trPr>
        <w:tc>
          <w:tcPr>
            <w:tcW w:w="1268" w:type="pct"/>
            <w:shd w:val="clear" w:color="000000" w:fill="FFFFFF"/>
            <w:noWrap/>
            <w:vAlign w:val="bottom"/>
            <w:hideMark/>
          </w:tcPr>
          <w:p w14:paraId="1C77691B" w14:textId="77777777" w:rsidR="00816904" w:rsidRPr="00F61D2F" w:rsidRDefault="00816904" w:rsidP="00816904">
            <w:pPr>
              <w:spacing w:before="0" w:after="0" w:line="240" w:lineRule="auto"/>
              <w:jc w:val="left"/>
              <w:rPr>
                <w:color w:val="000000"/>
                <w:lang w:val="en-IN"/>
              </w:rPr>
            </w:pPr>
            <w:r w:rsidRPr="00F61D2F">
              <w:rPr>
                <w:color w:val="000000"/>
                <w:lang w:val="en-IN"/>
              </w:rPr>
              <w:t>"(/): "Net Income"</w:t>
            </w:r>
          </w:p>
        </w:tc>
        <w:tc>
          <w:tcPr>
            <w:tcW w:w="918" w:type="pct"/>
            <w:vMerge/>
            <w:vAlign w:val="center"/>
            <w:hideMark/>
          </w:tcPr>
          <w:p w14:paraId="2C07F0B9"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47AAC0B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253.70 </w:t>
            </w:r>
          </w:p>
        </w:tc>
        <w:tc>
          <w:tcPr>
            <w:tcW w:w="548" w:type="pct"/>
            <w:shd w:val="clear" w:color="000000" w:fill="FFFFFF"/>
            <w:noWrap/>
            <w:vAlign w:val="bottom"/>
            <w:hideMark/>
          </w:tcPr>
          <w:p w14:paraId="7CB0590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312.10 </w:t>
            </w:r>
          </w:p>
        </w:tc>
        <w:tc>
          <w:tcPr>
            <w:tcW w:w="548" w:type="pct"/>
            <w:shd w:val="clear" w:color="000000" w:fill="FFFFFF"/>
            <w:noWrap/>
            <w:vAlign w:val="bottom"/>
            <w:hideMark/>
          </w:tcPr>
          <w:p w14:paraId="1454BAB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278.80 </w:t>
            </w:r>
          </w:p>
        </w:tc>
        <w:tc>
          <w:tcPr>
            <w:tcW w:w="548" w:type="pct"/>
            <w:shd w:val="clear" w:color="000000" w:fill="FFFFFF"/>
            <w:noWrap/>
            <w:vAlign w:val="bottom"/>
            <w:hideMark/>
          </w:tcPr>
          <w:p w14:paraId="118AB4B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42.50 </w:t>
            </w:r>
          </w:p>
        </w:tc>
        <w:tc>
          <w:tcPr>
            <w:tcW w:w="553" w:type="pct"/>
            <w:shd w:val="clear" w:color="000000" w:fill="FFFFFF"/>
            <w:noWrap/>
            <w:vAlign w:val="bottom"/>
            <w:hideMark/>
          </w:tcPr>
          <w:p w14:paraId="11430AC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906.50 </w:t>
            </w:r>
          </w:p>
        </w:tc>
      </w:tr>
      <w:tr w:rsidR="00816904" w:rsidRPr="00F61D2F" w14:paraId="325E9D58" w14:textId="77777777" w:rsidTr="00EC26C8">
        <w:trPr>
          <w:trHeight w:val="312"/>
          <w:jc w:val="center"/>
        </w:trPr>
        <w:tc>
          <w:tcPr>
            <w:tcW w:w="1268" w:type="pct"/>
            <w:shd w:val="clear" w:color="000000" w:fill="FFFFFF"/>
            <w:noWrap/>
            <w:vAlign w:val="bottom"/>
            <w:hideMark/>
          </w:tcPr>
          <w:p w14:paraId="6E4B3008"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"Dividend Payout"</w:t>
            </w:r>
          </w:p>
        </w:tc>
        <w:tc>
          <w:tcPr>
            <w:tcW w:w="918" w:type="pct"/>
            <w:vMerge/>
            <w:vAlign w:val="center"/>
            <w:hideMark/>
          </w:tcPr>
          <w:p w14:paraId="557E9F83"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75BA4120"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0.70</w:t>
            </w:r>
          </w:p>
        </w:tc>
        <w:tc>
          <w:tcPr>
            <w:tcW w:w="548" w:type="pct"/>
            <w:shd w:val="clear" w:color="000000" w:fill="FFFFFF"/>
            <w:noWrap/>
            <w:vAlign w:val="bottom"/>
            <w:hideMark/>
          </w:tcPr>
          <w:p w14:paraId="05614EFB"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0.53</w:t>
            </w:r>
          </w:p>
        </w:tc>
        <w:tc>
          <w:tcPr>
            <w:tcW w:w="548" w:type="pct"/>
            <w:shd w:val="clear" w:color="000000" w:fill="FFFFFF"/>
            <w:noWrap/>
            <w:vAlign w:val="bottom"/>
            <w:hideMark/>
          </w:tcPr>
          <w:p w14:paraId="011FAB75"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0.43</w:t>
            </w:r>
          </w:p>
        </w:tc>
        <w:tc>
          <w:tcPr>
            <w:tcW w:w="548" w:type="pct"/>
            <w:shd w:val="clear" w:color="000000" w:fill="FFFFFF"/>
            <w:noWrap/>
            <w:vAlign w:val="bottom"/>
            <w:hideMark/>
          </w:tcPr>
          <w:p w14:paraId="37016ACA"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0.00</w:t>
            </w:r>
          </w:p>
        </w:tc>
        <w:tc>
          <w:tcPr>
            <w:tcW w:w="553" w:type="pct"/>
            <w:shd w:val="clear" w:color="000000" w:fill="FFFFFF"/>
            <w:noWrap/>
            <w:vAlign w:val="bottom"/>
            <w:hideMark/>
          </w:tcPr>
          <w:p w14:paraId="4C6AA592"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0.00</w:t>
            </w:r>
          </w:p>
        </w:tc>
      </w:tr>
      <w:tr w:rsidR="00816904" w:rsidRPr="00F61D2F" w14:paraId="57915EBF" w14:textId="77777777" w:rsidTr="00816904">
        <w:trPr>
          <w:trHeight w:val="312"/>
          <w:jc w:val="center"/>
        </w:trPr>
        <w:tc>
          <w:tcPr>
            <w:tcW w:w="5000" w:type="pct"/>
            <w:gridSpan w:val="7"/>
            <w:shd w:val="clear" w:color="000000" w:fill="FFFFFF"/>
            <w:noWrap/>
            <w:vAlign w:val="bottom"/>
            <w:hideMark/>
          </w:tcPr>
          <w:p w14:paraId="72C7017F"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5585D2AC" w14:textId="77777777" w:rsidTr="00816904">
        <w:trPr>
          <w:trHeight w:val="312"/>
          <w:jc w:val="center"/>
        </w:trPr>
        <w:tc>
          <w:tcPr>
            <w:tcW w:w="5000" w:type="pct"/>
            <w:gridSpan w:val="7"/>
            <w:shd w:val="clear" w:color="000000" w:fill="FFFFFF"/>
            <w:noWrap/>
            <w:vAlign w:val="bottom"/>
            <w:hideMark/>
          </w:tcPr>
          <w:p w14:paraId="7EEC97B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"P/E Ratio"</w:t>
            </w:r>
          </w:p>
        </w:tc>
      </w:tr>
      <w:tr w:rsidR="00816904" w:rsidRPr="00F61D2F" w14:paraId="6773FE60" w14:textId="77777777" w:rsidTr="00EC26C8">
        <w:trPr>
          <w:trHeight w:val="312"/>
          <w:jc w:val="center"/>
        </w:trPr>
        <w:tc>
          <w:tcPr>
            <w:tcW w:w="1268" w:type="pct"/>
            <w:shd w:val="clear" w:color="000000" w:fill="FFFFFF"/>
            <w:noWrap/>
            <w:vAlign w:val="bottom"/>
            <w:hideMark/>
          </w:tcPr>
          <w:p w14:paraId="09F0068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5836133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2D8B55E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556C7376"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3C96543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6E291CAA"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3A3D946D"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6A4B4C37" w14:textId="77777777" w:rsidTr="00EC26C8">
        <w:trPr>
          <w:trHeight w:val="312"/>
          <w:jc w:val="center"/>
        </w:trPr>
        <w:tc>
          <w:tcPr>
            <w:tcW w:w="1268" w:type="pct"/>
            <w:shd w:val="clear" w:color="000000" w:fill="FFFFFF"/>
            <w:noWrap/>
            <w:vAlign w:val="bottom"/>
            <w:hideMark/>
          </w:tcPr>
          <w:p w14:paraId="67F28E7A" w14:textId="77777777" w:rsidR="00816904" w:rsidRPr="00F61D2F" w:rsidRDefault="00816904" w:rsidP="00816904">
            <w:pPr>
              <w:spacing w:before="0" w:after="0" w:line="240" w:lineRule="auto"/>
              <w:jc w:val="left"/>
              <w:rPr>
                <w:color w:val="000000"/>
                <w:lang w:val="en-IN"/>
              </w:rPr>
            </w:pPr>
            <w:r w:rsidRPr="00F61D2F">
              <w:rPr>
                <w:color w:val="000000"/>
                <w:lang w:val="en-IN"/>
              </w:rPr>
              <w:t>"Market Price of Share"</w:t>
            </w:r>
          </w:p>
        </w:tc>
        <w:tc>
          <w:tcPr>
            <w:tcW w:w="918" w:type="pct"/>
            <w:vMerge w:val="restart"/>
            <w:shd w:val="clear" w:color="000000" w:fill="FFFFFF"/>
            <w:vAlign w:val="center"/>
            <w:hideMark/>
          </w:tcPr>
          <w:p w14:paraId="5F50C3D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"(Market price of share/EPS)"</w:t>
            </w:r>
          </w:p>
        </w:tc>
        <w:tc>
          <w:tcPr>
            <w:tcW w:w="616" w:type="pct"/>
            <w:shd w:val="clear" w:color="000000" w:fill="FFFFFF"/>
            <w:noWrap/>
            <w:vAlign w:val="bottom"/>
            <w:hideMark/>
          </w:tcPr>
          <w:p w14:paraId="38763A6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403.84 </w:t>
            </w:r>
          </w:p>
        </w:tc>
        <w:tc>
          <w:tcPr>
            <w:tcW w:w="548" w:type="pct"/>
            <w:shd w:val="clear" w:color="000000" w:fill="FFFFFF"/>
            <w:noWrap/>
            <w:vAlign w:val="bottom"/>
            <w:hideMark/>
          </w:tcPr>
          <w:p w14:paraId="2AAAF103"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248.48 </w:t>
            </w:r>
          </w:p>
        </w:tc>
        <w:tc>
          <w:tcPr>
            <w:tcW w:w="548" w:type="pct"/>
            <w:shd w:val="clear" w:color="000000" w:fill="FFFFFF"/>
            <w:noWrap/>
            <w:vAlign w:val="bottom"/>
            <w:hideMark/>
          </w:tcPr>
          <w:p w14:paraId="7AECBC07"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123.18 </w:t>
            </w:r>
          </w:p>
        </w:tc>
        <w:tc>
          <w:tcPr>
            <w:tcW w:w="548" w:type="pct"/>
            <w:shd w:val="clear" w:color="000000" w:fill="FFFFFF"/>
            <w:noWrap/>
            <w:vAlign w:val="bottom"/>
            <w:hideMark/>
          </w:tcPr>
          <w:p w14:paraId="66F664B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1,056.78 </w:t>
            </w:r>
          </w:p>
        </w:tc>
        <w:tc>
          <w:tcPr>
            <w:tcW w:w="553" w:type="pct"/>
            <w:shd w:val="clear" w:color="000000" w:fill="FFFFFF"/>
            <w:noWrap/>
            <w:vAlign w:val="bottom"/>
            <w:hideMark/>
          </w:tcPr>
          <w:p w14:paraId="1583547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705.67 </w:t>
            </w:r>
          </w:p>
        </w:tc>
      </w:tr>
      <w:tr w:rsidR="00816904" w:rsidRPr="00F61D2F" w14:paraId="4C466BA2" w14:textId="77777777" w:rsidTr="00EC26C8">
        <w:trPr>
          <w:trHeight w:val="312"/>
          <w:jc w:val="center"/>
        </w:trPr>
        <w:tc>
          <w:tcPr>
            <w:tcW w:w="1268" w:type="pct"/>
            <w:shd w:val="clear" w:color="000000" w:fill="FFFFFF"/>
            <w:noWrap/>
            <w:vAlign w:val="bottom"/>
            <w:hideMark/>
          </w:tcPr>
          <w:p w14:paraId="65B7B9A9" w14:textId="77777777" w:rsidR="00816904" w:rsidRPr="00F61D2F" w:rsidRDefault="00816904" w:rsidP="00816904">
            <w:pPr>
              <w:spacing w:before="0" w:after="0" w:line="240" w:lineRule="auto"/>
              <w:jc w:val="left"/>
              <w:rPr>
                <w:color w:val="000000"/>
                <w:lang w:val="en-IN"/>
              </w:rPr>
            </w:pPr>
            <w:r w:rsidRPr="00F61D2F">
              <w:rPr>
                <w:color w:val="000000"/>
                <w:lang w:val="en-IN"/>
              </w:rPr>
              <w:t>"(/): EPS"</w:t>
            </w:r>
          </w:p>
        </w:tc>
        <w:tc>
          <w:tcPr>
            <w:tcW w:w="918" w:type="pct"/>
            <w:vMerge/>
            <w:vAlign w:val="center"/>
            <w:hideMark/>
          </w:tcPr>
          <w:p w14:paraId="545A86DF"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2FF50A3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141.50 </w:t>
            </w:r>
          </w:p>
        </w:tc>
        <w:tc>
          <w:tcPr>
            <w:tcW w:w="548" w:type="pct"/>
            <w:shd w:val="clear" w:color="000000" w:fill="FFFFFF"/>
            <w:noWrap/>
            <w:vAlign w:val="bottom"/>
            <w:hideMark/>
          </w:tcPr>
          <w:p w14:paraId="66963E84"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161.00 </w:t>
            </w:r>
          </w:p>
        </w:tc>
        <w:tc>
          <w:tcPr>
            <w:tcW w:w="548" w:type="pct"/>
            <w:shd w:val="clear" w:color="000000" w:fill="FFFFFF"/>
            <w:noWrap/>
            <w:vAlign w:val="bottom"/>
            <w:hideMark/>
          </w:tcPr>
          <w:p w14:paraId="2CE939E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138.40 </w:t>
            </w:r>
          </w:p>
        </w:tc>
        <w:tc>
          <w:tcPr>
            <w:tcW w:w="548" w:type="pct"/>
            <w:shd w:val="clear" w:color="000000" w:fill="FFFFFF"/>
            <w:noWrap/>
            <w:vAlign w:val="bottom"/>
            <w:hideMark/>
          </w:tcPr>
          <w:p w14:paraId="0A60092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21.10 </w:t>
            </w:r>
          </w:p>
        </w:tc>
        <w:tc>
          <w:tcPr>
            <w:tcW w:w="553" w:type="pct"/>
            <w:shd w:val="clear" w:color="000000" w:fill="FFFFFF"/>
            <w:noWrap/>
            <w:vAlign w:val="bottom"/>
            <w:hideMark/>
          </w:tcPr>
          <w:p w14:paraId="214AC3CE"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481.90 </w:t>
            </w:r>
          </w:p>
        </w:tc>
      </w:tr>
      <w:tr w:rsidR="00816904" w:rsidRPr="00F61D2F" w14:paraId="0F3E5379" w14:textId="77777777" w:rsidTr="00EC26C8">
        <w:trPr>
          <w:trHeight w:val="312"/>
          <w:jc w:val="center"/>
        </w:trPr>
        <w:tc>
          <w:tcPr>
            <w:tcW w:w="1268" w:type="pct"/>
            <w:shd w:val="clear" w:color="000000" w:fill="FFFFFF"/>
            <w:noWrap/>
            <w:vAlign w:val="bottom"/>
            <w:hideMark/>
          </w:tcPr>
          <w:p w14:paraId="449C0FBA"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"P/E Ratio"</w:t>
            </w:r>
          </w:p>
        </w:tc>
        <w:tc>
          <w:tcPr>
            <w:tcW w:w="918" w:type="pct"/>
            <w:vMerge/>
            <w:vAlign w:val="center"/>
            <w:hideMark/>
          </w:tcPr>
          <w:p w14:paraId="32141F4C"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49018073"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2.85</w:t>
            </w:r>
          </w:p>
        </w:tc>
        <w:tc>
          <w:tcPr>
            <w:tcW w:w="548" w:type="pct"/>
            <w:shd w:val="clear" w:color="000000" w:fill="FFFFFF"/>
            <w:noWrap/>
            <w:vAlign w:val="bottom"/>
            <w:hideMark/>
          </w:tcPr>
          <w:p w14:paraId="59A98D73"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1.54</w:t>
            </w:r>
          </w:p>
        </w:tc>
        <w:tc>
          <w:tcPr>
            <w:tcW w:w="548" w:type="pct"/>
            <w:shd w:val="clear" w:color="000000" w:fill="FFFFFF"/>
            <w:noWrap/>
            <w:vAlign w:val="bottom"/>
            <w:hideMark/>
          </w:tcPr>
          <w:p w14:paraId="58A44E2A"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0.89</w:t>
            </w:r>
          </w:p>
        </w:tc>
        <w:tc>
          <w:tcPr>
            <w:tcW w:w="548" w:type="pct"/>
            <w:shd w:val="clear" w:color="000000" w:fill="FFFFFF"/>
            <w:noWrap/>
            <w:vAlign w:val="bottom"/>
            <w:hideMark/>
          </w:tcPr>
          <w:p w14:paraId="325795D9"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50.08</w:t>
            </w:r>
          </w:p>
        </w:tc>
        <w:tc>
          <w:tcPr>
            <w:tcW w:w="553" w:type="pct"/>
            <w:shd w:val="clear" w:color="000000" w:fill="FFFFFF"/>
            <w:noWrap/>
            <w:vAlign w:val="bottom"/>
            <w:hideMark/>
          </w:tcPr>
          <w:p w14:paraId="651C7195"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-1.46</w:t>
            </w:r>
          </w:p>
        </w:tc>
      </w:tr>
      <w:tr w:rsidR="00816904" w:rsidRPr="00F61D2F" w14:paraId="723333D6" w14:textId="77777777" w:rsidTr="00816904">
        <w:trPr>
          <w:trHeight w:val="312"/>
          <w:jc w:val="center"/>
        </w:trPr>
        <w:tc>
          <w:tcPr>
            <w:tcW w:w="5000" w:type="pct"/>
            <w:gridSpan w:val="7"/>
            <w:shd w:val="clear" w:color="000000" w:fill="FFFFFF"/>
            <w:noWrap/>
            <w:vAlign w:val="bottom"/>
            <w:hideMark/>
          </w:tcPr>
          <w:p w14:paraId="65150379"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2E4F54E8" w14:textId="77777777" w:rsidTr="00816904">
        <w:trPr>
          <w:trHeight w:val="312"/>
          <w:jc w:val="center"/>
        </w:trPr>
        <w:tc>
          <w:tcPr>
            <w:tcW w:w="5000" w:type="pct"/>
            <w:gridSpan w:val="7"/>
            <w:shd w:val="clear" w:color="000000" w:fill="FFFF00"/>
            <w:noWrap/>
            <w:vAlign w:val="bottom"/>
            <w:hideMark/>
          </w:tcPr>
          <w:p w14:paraId="315894C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"Cash Flow Ratios"</w:t>
            </w:r>
          </w:p>
        </w:tc>
      </w:tr>
      <w:tr w:rsidR="00816904" w:rsidRPr="00F61D2F" w14:paraId="217026DD" w14:textId="77777777" w:rsidTr="00816904">
        <w:trPr>
          <w:trHeight w:val="312"/>
          <w:jc w:val="center"/>
        </w:trPr>
        <w:tc>
          <w:tcPr>
            <w:tcW w:w="5000" w:type="pct"/>
            <w:gridSpan w:val="7"/>
            <w:shd w:val="clear" w:color="000000" w:fill="FFFFFF"/>
            <w:noWrap/>
            <w:vAlign w:val="bottom"/>
            <w:hideMark/>
          </w:tcPr>
          <w:p w14:paraId="347902E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"Operating Cash Flow Ratio"</w:t>
            </w:r>
          </w:p>
        </w:tc>
      </w:tr>
      <w:tr w:rsidR="00816904" w:rsidRPr="00F61D2F" w14:paraId="46135391" w14:textId="77777777" w:rsidTr="00EC26C8">
        <w:trPr>
          <w:trHeight w:val="312"/>
          <w:jc w:val="center"/>
        </w:trPr>
        <w:tc>
          <w:tcPr>
            <w:tcW w:w="1268" w:type="pct"/>
            <w:shd w:val="clear" w:color="000000" w:fill="FFFFFF"/>
            <w:noWrap/>
            <w:vAlign w:val="bottom"/>
            <w:hideMark/>
          </w:tcPr>
          <w:p w14:paraId="668FBDCE"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337179A7"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2354D223"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080E53B9"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28AE8CDE"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4B5EDE04"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1178103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1BC2D3AE" w14:textId="77777777" w:rsidTr="00EC26C8">
        <w:trPr>
          <w:trHeight w:val="312"/>
          <w:jc w:val="center"/>
        </w:trPr>
        <w:tc>
          <w:tcPr>
            <w:tcW w:w="1268" w:type="pct"/>
            <w:shd w:val="clear" w:color="000000" w:fill="FFFFFF"/>
            <w:noWrap/>
            <w:vAlign w:val="bottom"/>
            <w:hideMark/>
          </w:tcPr>
          <w:p w14:paraId="6E79BAFD" w14:textId="77777777" w:rsidR="00816904" w:rsidRPr="00F61D2F" w:rsidRDefault="00816904" w:rsidP="00816904">
            <w:pPr>
              <w:spacing w:before="0" w:after="0" w:line="240" w:lineRule="auto"/>
              <w:jc w:val="left"/>
              <w:rPr>
                <w:color w:val="000000"/>
                <w:lang w:val="en-IN"/>
              </w:rPr>
            </w:pPr>
            <w:r w:rsidRPr="00F61D2F">
              <w:rPr>
                <w:color w:val="000000"/>
                <w:lang w:val="en-IN"/>
              </w:rPr>
              <w:t>"Operating Cash Flow"</w:t>
            </w:r>
          </w:p>
        </w:tc>
        <w:tc>
          <w:tcPr>
            <w:tcW w:w="918" w:type="pct"/>
            <w:vMerge w:val="restart"/>
            <w:shd w:val="clear" w:color="000000" w:fill="FFFFFF"/>
            <w:vAlign w:val="center"/>
            <w:hideMark/>
          </w:tcPr>
          <w:p w14:paraId="4F076988"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"(Operating Cash Flow/Current Liabilities)"</w:t>
            </w:r>
          </w:p>
        </w:tc>
        <w:tc>
          <w:tcPr>
            <w:tcW w:w="616" w:type="pct"/>
            <w:shd w:val="clear" w:color="000000" w:fill="FFFFFF"/>
            <w:noWrap/>
            <w:vAlign w:val="bottom"/>
            <w:hideMark/>
          </w:tcPr>
          <w:p w14:paraId="6A68565A"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761.70 </w:t>
            </w:r>
          </w:p>
        </w:tc>
        <w:tc>
          <w:tcPr>
            <w:tcW w:w="548" w:type="pct"/>
            <w:shd w:val="clear" w:color="000000" w:fill="FFFFFF"/>
            <w:noWrap/>
            <w:vAlign w:val="bottom"/>
            <w:hideMark/>
          </w:tcPr>
          <w:p w14:paraId="3FC5B3A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877.90 </w:t>
            </w:r>
          </w:p>
        </w:tc>
        <w:tc>
          <w:tcPr>
            <w:tcW w:w="548" w:type="pct"/>
            <w:shd w:val="clear" w:color="000000" w:fill="FFFFFF"/>
            <w:noWrap/>
            <w:vAlign w:val="bottom"/>
            <w:hideMark/>
          </w:tcPr>
          <w:p w14:paraId="1E8907C6"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799.90 </w:t>
            </w:r>
          </w:p>
        </w:tc>
        <w:tc>
          <w:tcPr>
            <w:tcW w:w="548" w:type="pct"/>
            <w:shd w:val="clear" w:color="000000" w:fill="FFFFFF"/>
            <w:noWrap/>
            <w:vAlign w:val="bottom"/>
            <w:hideMark/>
          </w:tcPr>
          <w:p w14:paraId="09FBFA1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508.70 </w:t>
            </w:r>
          </w:p>
        </w:tc>
        <w:tc>
          <w:tcPr>
            <w:tcW w:w="553" w:type="pct"/>
            <w:shd w:val="clear" w:color="000000" w:fill="FFFFFF"/>
            <w:noWrap/>
            <w:vAlign w:val="bottom"/>
            <w:hideMark/>
          </w:tcPr>
          <w:p w14:paraId="22B52E6D"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391.10 </w:t>
            </w:r>
          </w:p>
        </w:tc>
      </w:tr>
      <w:tr w:rsidR="00816904" w:rsidRPr="00F61D2F" w14:paraId="1001DC13" w14:textId="77777777" w:rsidTr="00EC26C8">
        <w:trPr>
          <w:trHeight w:val="312"/>
          <w:jc w:val="center"/>
        </w:trPr>
        <w:tc>
          <w:tcPr>
            <w:tcW w:w="1268" w:type="pct"/>
            <w:shd w:val="clear" w:color="000000" w:fill="FFFFFF"/>
            <w:noWrap/>
            <w:vAlign w:val="bottom"/>
            <w:hideMark/>
          </w:tcPr>
          <w:p w14:paraId="1C3F8A03" w14:textId="77777777" w:rsidR="00816904" w:rsidRPr="00F61D2F" w:rsidRDefault="00816904" w:rsidP="00816904">
            <w:pPr>
              <w:spacing w:before="0" w:after="0" w:line="240" w:lineRule="auto"/>
              <w:jc w:val="left"/>
              <w:rPr>
                <w:color w:val="000000"/>
                <w:lang w:val="en-IN"/>
              </w:rPr>
            </w:pPr>
            <w:r w:rsidRPr="00F61D2F">
              <w:rPr>
                <w:color w:val="000000"/>
                <w:lang w:val="en-IN"/>
              </w:rPr>
              <w:t>"(/): Current Liabilities"</w:t>
            </w:r>
          </w:p>
        </w:tc>
        <w:tc>
          <w:tcPr>
            <w:tcW w:w="918" w:type="pct"/>
            <w:vMerge/>
            <w:vAlign w:val="center"/>
            <w:hideMark/>
          </w:tcPr>
          <w:p w14:paraId="4C9E59B9"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71E4F6B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1,319.00 </w:t>
            </w:r>
          </w:p>
        </w:tc>
        <w:tc>
          <w:tcPr>
            <w:tcW w:w="548" w:type="pct"/>
            <w:shd w:val="clear" w:color="000000" w:fill="FFFFFF"/>
            <w:noWrap/>
            <w:vAlign w:val="bottom"/>
            <w:hideMark/>
          </w:tcPr>
          <w:p w14:paraId="77DA4CAE"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870.40 </w:t>
            </w:r>
          </w:p>
        </w:tc>
        <w:tc>
          <w:tcPr>
            <w:tcW w:w="548" w:type="pct"/>
            <w:shd w:val="clear" w:color="000000" w:fill="FFFFFF"/>
            <w:noWrap/>
            <w:vAlign w:val="bottom"/>
            <w:hideMark/>
          </w:tcPr>
          <w:p w14:paraId="0CBCAD0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845.60 </w:t>
            </w:r>
          </w:p>
        </w:tc>
        <w:tc>
          <w:tcPr>
            <w:tcW w:w="548" w:type="pct"/>
            <w:shd w:val="clear" w:color="000000" w:fill="FFFFFF"/>
            <w:noWrap/>
            <w:vAlign w:val="bottom"/>
            <w:hideMark/>
          </w:tcPr>
          <w:p w14:paraId="3D464B6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719.60 </w:t>
            </w:r>
          </w:p>
        </w:tc>
        <w:tc>
          <w:tcPr>
            <w:tcW w:w="553" w:type="pct"/>
            <w:shd w:val="clear" w:color="000000" w:fill="FFFFFF"/>
            <w:noWrap/>
            <w:vAlign w:val="bottom"/>
            <w:hideMark/>
          </w:tcPr>
          <w:p w14:paraId="4CC72C78"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775.30 </w:t>
            </w:r>
          </w:p>
        </w:tc>
      </w:tr>
      <w:tr w:rsidR="00816904" w:rsidRPr="00F61D2F" w14:paraId="4C039A86" w14:textId="77777777" w:rsidTr="00EC26C8">
        <w:trPr>
          <w:trHeight w:val="312"/>
          <w:jc w:val="center"/>
        </w:trPr>
        <w:tc>
          <w:tcPr>
            <w:tcW w:w="1268" w:type="pct"/>
            <w:shd w:val="clear" w:color="000000" w:fill="FFFFFF"/>
            <w:noWrap/>
            <w:vAlign w:val="bottom"/>
            <w:hideMark/>
          </w:tcPr>
          <w:p w14:paraId="32648EA2"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"Operating Cash Flow Ratio"</w:t>
            </w:r>
          </w:p>
        </w:tc>
        <w:tc>
          <w:tcPr>
            <w:tcW w:w="918" w:type="pct"/>
            <w:vMerge/>
            <w:vAlign w:val="center"/>
            <w:hideMark/>
          </w:tcPr>
          <w:p w14:paraId="56C0AC80"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38A68790"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0.58</w:t>
            </w:r>
          </w:p>
        </w:tc>
        <w:tc>
          <w:tcPr>
            <w:tcW w:w="548" w:type="pct"/>
            <w:shd w:val="clear" w:color="000000" w:fill="FFFFFF"/>
            <w:noWrap/>
            <w:vAlign w:val="bottom"/>
            <w:hideMark/>
          </w:tcPr>
          <w:p w14:paraId="67AB69B7"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1.01</w:t>
            </w:r>
          </w:p>
        </w:tc>
        <w:tc>
          <w:tcPr>
            <w:tcW w:w="548" w:type="pct"/>
            <w:shd w:val="clear" w:color="000000" w:fill="FFFFFF"/>
            <w:noWrap/>
            <w:vAlign w:val="bottom"/>
            <w:hideMark/>
          </w:tcPr>
          <w:p w14:paraId="3603797B"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0.95</w:t>
            </w:r>
          </w:p>
        </w:tc>
        <w:tc>
          <w:tcPr>
            <w:tcW w:w="548" w:type="pct"/>
            <w:shd w:val="clear" w:color="000000" w:fill="FFFFFF"/>
            <w:noWrap/>
            <w:vAlign w:val="bottom"/>
            <w:hideMark/>
          </w:tcPr>
          <w:p w14:paraId="3E584205"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0.71</w:t>
            </w:r>
          </w:p>
        </w:tc>
        <w:tc>
          <w:tcPr>
            <w:tcW w:w="553" w:type="pct"/>
            <w:shd w:val="clear" w:color="000000" w:fill="FFFFFF"/>
            <w:noWrap/>
            <w:vAlign w:val="bottom"/>
            <w:hideMark/>
          </w:tcPr>
          <w:p w14:paraId="5AE98797"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-0.50</w:t>
            </w:r>
          </w:p>
        </w:tc>
      </w:tr>
      <w:tr w:rsidR="00816904" w:rsidRPr="00F61D2F" w14:paraId="1891ED3D" w14:textId="77777777" w:rsidTr="00816904">
        <w:trPr>
          <w:trHeight w:val="312"/>
          <w:jc w:val="center"/>
        </w:trPr>
        <w:tc>
          <w:tcPr>
            <w:tcW w:w="5000" w:type="pct"/>
            <w:gridSpan w:val="7"/>
            <w:shd w:val="clear" w:color="000000" w:fill="FFFFFF"/>
            <w:noWrap/>
            <w:vAlign w:val="bottom"/>
            <w:hideMark/>
          </w:tcPr>
          <w:p w14:paraId="414BEB62" w14:textId="77777777" w:rsidR="00816904" w:rsidRPr="00F61D2F" w:rsidRDefault="00816904" w:rsidP="00816904">
            <w:pPr>
              <w:spacing w:before="0" w:after="0" w:line="240" w:lineRule="auto"/>
              <w:jc w:val="center"/>
              <w:rPr>
                <w:color w:val="000000"/>
                <w:lang w:val="en-IN"/>
              </w:rPr>
            </w:pPr>
            <w:r w:rsidRPr="00F61D2F">
              <w:rPr>
                <w:color w:val="000000"/>
                <w:lang w:val="en-IN"/>
              </w:rPr>
              <w:t> </w:t>
            </w:r>
          </w:p>
        </w:tc>
      </w:tr>
      <w:tr w:rsidR="00816904" w:rsidRPr="00F61D2F" w14:paraId="0BE8F39A" w14:textId="77777777" w:rsidTr="00816904">
        <w:trPr>
          <w:trHeight w:val="312"/>
          <w:jc w:val="center"/>
        </w:trPr>
        <w:tc>
          <w:tcPr>
            <w:tcW w:w="5000" w:type="pct"/>
            <w:gridSpan w:val="7"/>
            <w:shd w:val="clear" w:color="000000" w:fill="FFFFFF"/>
            <w:noWrap/>
            <w:vAlign w:val="bottom"/>
            <w:hideMark/>
          </w:tcPr>
          <w:p w14:paraId="31470072"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"Cash Flow to Debt Ratio"</w:t>
            </w:r>
          </w:p>
        </w:tc>
      </w:tr>
      <w:tr w:rsidR="00816904" w:rsidRPr="00F61D2F" w14:paraId="0093221A" w14:textId="77777777" w:rsidTr="00EC26C8">
        <w:trPr>
          <w:trHeight w:val="312"/>
          <w:jc w:val="center"/>
        </w:trPr>
        <w:tc>
          <w:tcPr>
            <w:tcW w:w="1268" w:type="pct"/>
            <w:shd w:val="clear" w:color="000000" w:fill="FFFFFF"/>
            <w:noWrap/>
            <w:vAlign w:val="bottom"/>
            <w:hideMark/>
          </w:tcPr>
          <w:p w14:paraId="02D61ACA"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"Financial aspects"</w:t>
            </w:r>
          </w:p>
        </w:tc>
        <w:tc>
          <w:tcPr>
            <w:tcW w:w="918" w:type="pct"/>
            <w:shd w:val="clear" w:color="000000" w:fill="FFFFFF"/>
            <w:noWrap/>
            <w:vAlign w:val="bottom"/>
            <w:hideMark/>
          </w:tcPr>
          <w:p w14:paraId="6ACE6191"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"Formula"</w:t>
            </w:r>
          </w:p>
        </w:tc>
        <w:tc>
          <w:tcPr>
            <w:tcW w:w="616" w:type="pct"/>
            <w:shd w:val="clear" w:color="000000" w:fill="FFFFFF"/>
            <w:noWrap/>
            <w:vAlign w:val="bottom"/>
            <w:hideMark/>
          </w:tcPr>
          <w:p w14:paraId="0A81DBA3"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2025</w:t>
            </w:r>
          </w:p>
        </w:tc>
        <w:tc>
          <w:tcPr>
            <w:tcW w:w="548" w:type="pct"/>
            <w:shd w:val="clear" w:color="000000" w:fill="FFFFFF"/>
            <w:noWrap/>
            <w:vAlign w:val="bottom"/>
            <w:hideMark/>
          </w:tcPr>
          <w:p w14:paraId="32D3AC3F"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2024</w:t>
            </w:r>
          </w:p>
        </w:tc>
        <w:tc>
          <w:tcPr>
            <w:tcW w:w="548" w:type="pct"/>
            <w:shd w:val="clear" w:color="000000" w:fill="FFFFFF"/>
            <w:noWrap/>
            <w:vAlign w:val="bottom"/>
            <w:hideMark/>
          </w:tcPr>
          <w:p w14:paraId="7D83B0EB"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2023</w:t>
            </w:r>
          </w:p>
        </w:tc>
        <w:tc>
          <w:tcPr>
            <w:tcW w:w="548" w:type="pct"/>
            <w:shd w:val="clear" w:color="000000" w:fill="FFFFFF"/>
            <w:noWrap/>
            <w:vAlign w:val="bottom"/>
            <w:hideMark/>
          </w:tcPr>
          <w:p w14:paraId="402724E0"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2022</w:t>
            </w:r>
          </w:p>
        </w:tc>
        <w:tc>
          <w:tcPr>
            <w:tcW w:w="553" w:type="pct"/>
            <w:shd w:val="clear" w:color="000000" w:fill="FFFFFF"/>
            <w:noWrap/>
            <w:vAlign w:val="bottom"/>
            <w:hideMark/>
          </w:tcPr>
          <w:p w14:paraId="38BE88CE"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2021</w:t>
            </w:r>
          </w:p>
        </w:tc>
      </w:tr>
      <w:tr w:rsidR="00816904" w:rsidRPr="00F61D2F" w14:paraId="67164B18" w14:textId="77777777" w:rsidTr="00EC26C8">
        <w:trPr>
          <w:trHeight w:val="312"/>
          <w:jc w:val="center"/>
        </w:trPr>
        <w:tc>
          <w:tcPr>
            <w:tcW w:w="1268" w:type="pct"/>
            <w:shd w:val="clear" w:color="000000" w:fill="FFFFFF"/>
            <w:noWrap/>
            <w:vAlign w:val="bottom"/>
            <w:hideMark/>
          </w:tcPr>
          <w:p w14:paraId="278FFC10" w14:textId="77777777" w:rsidR="00816904" w:rsidRPr="00F61D2F" w:rsidRDefault="00816904" w:rsidP="00816904">
            <w:pPr>
              <w:spacing w:before="0" w:after="0" w:line="240" w:lineRule="auto"/>
              <w:jc w:val="left"/>
              <w:rPr>
                <w:color w:val="000000"/>
                <w:lang w:val="en-IN"/>
              </w:rPr>
            </w:pPr>
            <w:r w:rsidRPr="00F61D2F">
              <w:rPr>
                <w:color w:val="000000"/>
                <w:lang w:val="en-IN"/>
              </w:rPr>
              <w:t>"Operating Cash Flow"</w:t>
            </w:r>
          </w:p>
        </w:tc>
        <w:tc>
          <w:tcPr>
            <w:tcW w:w="918" w:type="pct"/>
            <w:vMerge w:val="restart"/>
            <w:shd w:val="clear" w:color="000000" w:fill="FFFFFF"/>
            <w:vAlign w:val="center"/>
            <w:hideMark/>
          </w:tcPr>
          <w:p w14:paraId="59C5C9A1" w14:textId="77777777" w:rsidR="00816904" w:rsidRPr="00F61D2F" w:rsidRDefault="00816904" w:rsidP="00816904">
            <w:pPr>
              <w:spacing w:before="0" w:after="0" w:line="240" w:lineRule="auto"/>
              <w:jc w:val="center"/>
              <w:rPr>
                <w:b/>
                <w:bCs/>
                <w:color w:val="000000"/>
                <w:lang w:val="en-IN"/>
              </w:rPr>
            </w:pPr>
            <w:r w:rsidRPr="00F61D2F">
              <w:rPr>
                <w:b/>
                <w:bCs/>
                <w:color w:val="000000"/>
                <w:lang w:val="en-IN"/>
              </w:rPr>
              <w:t>"(Operating Cash Flow/Total Debt)"</w:t>
            </w:r>
          </w:p>
        </w:tc>
        <w:tc>
          <w:tcPr>
            <w:tcW w:w="616" w:type="pct"/>
            <w:shd w:val="clear" w:color="000000" w:fill="FFFFFF"/>
            <w:noWrap/>
            <w:vAlign w:val="bottom"/>
            <w:hideMark/>
          </w:tcPr>
          <w:p w14:paraId="13D50656"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761.70 </w:t>
            </w:r>
          </w:p>
        </w:tc>
        <w:tc>
          <w:tcPr>
            <w:tcW w:w="548" w:type="pct"/>
            <w:shd w:val="clear" w:color="000000" w:fill="FFFFFF"/>
            <w:noWrap/>
            <w:vAlign w:val="bottom"/>
            <w:hideMark/>
          </w:tcPr>
          <w:p w14:paraId="6E60CF21"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877.90 </w:t>
            </w:r>
          </w:p>
        </w:tc>
        <w:tc>
          <w:tcPr>
            <w:tcW w:w="548" w:type="pct"/>
            <w:shd w:val="clear" w:color="000000" w:fill="FFFFFF"/>
            <w:noWrap/>
            <w:vAlign w:val="bottom"/>
            <w:hideMark/>
          </w:tcPr>
          <w:p w14:paraId="12F7268B"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799.90 </w:t>
            </w:r>
          </w:p>
        </w:tc>
        <w:tc>
          <w:tcPr>
            <w:tcW w:w="548" w:type="pct"/>
            <w:shd w:val="clear" w:color="000000" w:fill="FFFFFF"/>
            <w:noWrap/>
            <w:vAlign w:val="bottom"/>
            <w:hideMark/>
          </w:tcPr>
          <w:p w14:paraId="2E8E5839"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508.70 </w:t>
            </w:r>
          </w:p>
        </w:tc>
        <w:tc>
          <w:tcPr>
            <w:tcW w:w="553" w:type="pct"/>
            <w:shd w:val="clear" w:color="000000" w:fill="FFFFFF"/>
            <w:noWrap/>
            <w:vAlign w:val="bottom"/>
            <w:hideMark/>
          </w:tcPr>
          <w:p w14:paraId="25DB3F40"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391.10 </w:t>
            </w:r>
          </w:p>
        </w:tc>
      </w:tr>
      <w:tr w:rsidR="00816904" w:rsidRPr="00F61D2F" w14:paraId="337C5727" w14:textId="77777777" w:rsidTr="00EC26C8">
        <w:trPr>
          <w:trHeight w:val="312"/>
          <w:jc w:val="center"/>
        </w:trPr>
        <w:tc>
          <w:tcPr>
            <w:tcW w:w="1268" w:type="pct"/>
            <w:shd w:val="clear" w:color="000000" w:fill="FFFFFF"/>
            <w:noWrap/>
            <w:vAlign w:val="bottom"/>
            <w:hideMark/>
          </w:tcPr>
          <w:p w14:paraId="5D4BD78C" w14:textId="77777777" w:rsidR="00816904" w:rsidRPr="00F61D2F" w:rsidRDefault="00816904" w:rsidP="00816904">
            <w:pPr>
              <w:spacing w:before="0" w:after="0" w:line="240" w:lineRule="auto"/>
              <w:jc w:val="left"/>
              <w:rPr>
                <w:color w:val="000000"/>
                <w:lang w:val="en-IN"/>
              </w:rPr>
            </w:pPr>
            <w:r w:rsidRPr="00F61D2F">
              <w:rPr>
                <w:color w:val="000000"/>
                <w:lang w:val="en-IN"/>
              </w:rPr>
              <w:t>"(/): Total Debt"</w:t>
            </w:r>
          </w:p>
        </w:tc>
        <w:tc>
          <w:tcPr>
            <w:tcW w:w="918" w:type="pct"/>
            <w:vMerge/>
            <w:vAlign w:val="center"/>
            <w:hideMark/>
          </w:tcPr>
          <w:p w14:paraId="4198EB0E"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227E3FB8"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6,570.20 </w:t>
            </w:r>
          </w:p>
        </w:tc>
        <w:tc>
          <w:tcPr>
            <w:tcW w:w="548" w:type="pct"/>
            <w:shd w:val="clear" w:color="000000" w:fill="FFFFFF"/>
            <w:noWrap/>
            <w:vAlign w:val="bottom"/>
            <w:hideMark/>
          </w:tcPr>
          <w:p w14:paraId="605F4232"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6,001.90 </w:t>
            </w:r>
          </w:p>
        </w:tc>
        <w:tc>
          <w:tcPr>
            <w:tcW w:w="548" w:type="pct"/>
            <w:shd w:val="clear" w:color="000000" w:fill="FFFFFF"/>
            <w:noWrap/>
            <w:vAlign w:val="bottom"/>
            <w:hideMark/>
          </w:tcPr>
          <w:p w14:paraId="417B5586"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5,831.40 </w:t>
            </w:r>
          </w:p>
        </w:tc>
        <w:tc>
          <w:tcPr>
            <w:tcW w:w="548" w:type="pct"/>
            <w:shd w:val="clear" w:color="000000" w:fill="FFFFFF"/>
            <w:noWrap/>
            <w:vAlign w:val="bottom"/>
            <w:hideMark/>
          </w:tcPr>
          <w:p w14:paraId="338CDBF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5,447.50 </w:t>
            </w:r>
          </w:p>
        </w:tc>
        <w:tc>
          <w:tcPr>
            <w:tcW w:w="553" w:type="pct"/>
            <w:shd w:val="clear" w:color="000000" w:fill="FFFFFF"/>
            <w:noWrap/>
            <w:vAlign w:val="bottom"/>
            <w:hideMark/>
          </w:tcPr>
          <w:p w14:paraId="3DDF1D85" w14:textId="77777777" w:rsidR="00816904" w:rsidRPr="00F61D2F" w:rsidRDefault="00816904" w:rsidP="00816904">
            <w:pPr>
              <w:spacing w:before="0" w:after="0" w:line="240" w:lineRule="auto"/>
              <w:jc w:val="left"/>
              <w:rPr>
                <w:color w:val="000000"/>
                <w:lang w:val="en-IN"/>
              </w:rPr>
            </w:pPr>
            <w:r w:rsidRPr="00F61D2F">
              <w:rPr>
                <w:color w:val="000000"/>
                <w:lang w:val="en-IN"/>
              </w:rPr>
              <w:t xml:space="preserve"> £  4,964.50 </w:t>
            </w:r>
          </w:p>
        </w:tc>
      </w:tr>
      <w:tr w:rsidR="00816904" w:rsidRPr="00F61D2F" w14:paraId="5FA35E68" w14:textId="77777777" w:rsidTr="00EC26C8">
        <w:trPr>
          <w:trHeight w:val="312"/>
          <w:jc w:val="center"/>
        </w:trPr>
        <w:tc>
          <w:tcPr>
            <w:tcW w:w="1268" w:type="pct"/>
            <w:shd w:val="clear" w:color="000000" w:fill="FFFFFF"/>
            <w:noWrap/>
            <w:vAlign w:val="bottom"/>
            <w:hideMark/>
          </w:tcPr>
          <w:p w14:paraId="442832DB" w14:textId="77777777" w:rsidR="00816904" w:rsidRPr="00F61D2F" w:rsidRDefault="00816904" w:rsidP="00816904">
            <w:pPr>
              <w:spacing w:before="0" w:after="0" w:line="240" w:lineRule="auto"/>
              <w:jc w:val="left"/>
              <w:rPr>
                <w:b/>
                <w:bCs/>
                <w:color w:val="000000"/>
                <w:lang w:val="en-IN"/>
              </w:rPr>
            </w:pPr>
            <w:r w:rsidRPr="00F61D2F">
              <w:rPr>
                <w:b/>
                <w:bCs/>
                <w:color w:val="000000"/>
                <w:lang w:val="en-IN"/>
              </w:rPr>
              <w:t>"Cash Flow to Debt Ratio"</w:t>
            </w:r>
          </w:p>
        </w:tc>
        <w:tc>
          <w:tcPr>
            <w:tcW w:w="918" w:type="pct"/>
            <w:vMerge/>
            <w:vAlign w:val="center"/>
            <w:hideMark/>
          </w:tcPr>
          <w:p w14:paraId="5533E488" w14:textId="77777777" w:rsidR="00816904" w:rsidRPr="00F61D2F" w:rsidRDefault="00816904" w:rsidP="00816904">
            <w:pPr>
              <w:spacing w:before="0" w:after="0" w:line="240" w:lineRule="auto"/>
              <w:jc w:val="left"/>
              <w:rPr>
                <w:b/>
                <w:bCs/>
                <w:color w:val="000000"/>
                <w:lang w:val="en-IN"/>
              </w:rPr>
            </w:pPr>
          </w:p>
        </w:tc>
        <w:tc>
          <w:tcPr>
            <w:tcW w:w="616" w:type="pct"/>
            <w:shd w:val="clear" w:color="000000" w:fill="FFFFFF"/>
            <w:noWrap/>
            <w:vAlign w:val="bottom"/>
            <w:hideMark/>
          </w:tcPr>
          <w:p w14:paraId="42D3219A"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0.12</w:t>
            </w:r>
          </w:p>
        </w:tc>
        <w:tc>
          <w:tcPr>
            <w:tcW w:w="548" w:type="pct"/>
            <w:shd w:val="clear" w:color="000000" w:fill="FFFFFF"/>
            <w:noWrap/>
            <w:vAlign w:val="bottom"/>
            <w:hideMark/>
          </w:tcPr>
          <w:p w14:paraId="38BCF5E0"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0.15</w:t>
            </w:r>
          </w:p>
        </w:tc>
        <w:tc>
          <w:tcPr>
            <w:tcW w:w="548" w:type="pct"/>
            <w:shd w:val="clear" w:color="000000" w:fill="FFFFFF"/>
            <w:noWrap/>
            <w:vAlign w:val="bottom"/>
            <w:hideMark/>
          </w:tcPr>
          <w:p w14:paraId="44315F8D"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0.14</w:t>
            </w:r>
          </w:p>
        </w:tc>
        <w:tc>
          <w:tcPr>
            <w:tcW w:w="548" w:type="pct"/>
            <w:shd w:val="clear" w:color="000000" w:fill="FFFFFF"/>
            <w:noWrap/>
            <w:vAlign w:val="bottom"/>
            <w:hideMark/>
          </w:tcPr>
          <w:p w14:paraId="352B8182"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0.09</w:t>
            </w:r>
          </w:p>
        </w:tc>
        <w:tc>
          <w:tcPr>
            <w:tcW w:w="553" w:type="pct"/>
            <w:shd w:val="clear" w:color="000000" w:fill="FFFFFF"/>
            <w:noWrap/>
            <w:vAlign w:val="bottom"/>
            <w:hideMark/>
          </w:tcPr>
          <w:p w14:paraId="61143789" w14:textId="77777777" w:rsidR="00816904" w:rsidRPr="00F61D2F" w:rsidRDefault="00816904" w:rsidP="00816904">
            <w:pPr>
              <w:spacing w:before="0" w:after="0" w:line="240" w:lineRule="auto"/>
              <w:jc w:val="right"/>
              <w:rPr>
                <w:b/>
                <w:bCs/>
                <w:color w:val="000000"/>
                <w:lang w:val="en-IN"/>
              </w:rPr>
            </w:pPr>
            <w:r w:rsidRPr="00F61D2F">
              <w:rPr>
                <w:b/>
                <w:bCs/>
                <w:color w:val="000000"/>
                <w:lang w:val="en-IN"/>
              </w:rPr>
              <w:t>-0.08</w:t>
            </w:r>
          </w:p>
        </w:tc>
      </w:tr>
    </w:tbl>
    <w:p w14:paraId="736CC6A1" w14:textId="77777777" w:rsidR="00AD2731" w:rsidRPr="00F61D2F" w:rsidRDefault="0000313C">
      <w:pPr>
        <w:pStyle w:val="Heading2"/>
        <w:spacing w:before="200" w:after="200"/>
      </w:pPr>
      <w:bookmarkStart w:id="36" w:name="_Toc235041195"/>
      <w:r w:rsidRPr="00F61D2F">
        <w:t>Appendix B: Ratio Graphs</w:t>
      </w:r>
      <w:bookmarkEnd w:id="36"/>
    </w:p>
    <w:p w14:paraId="56E0196E" w14:textId="77777777" w:rsidR="00941CB8" w:rsidRPr="00F61D2F" w:rsidRDefault="00941CB8" w:rsidP="00941CB8"/>
    <w:p w14:paraId="28F111B0" w14:textId="77777777" w:rsidR="00941CB8" w:rsidRPr="00F61D2F" w:rsidRDefault="00941CB8" w:rsidP="00941CB8"/>
    <w:p w14:paraId="2F0CFCA2" w14:textId="11A0CD50" w:rsidR="00AD2731" w:rsidRPr="00F61D2F" w:rsidRDefault="00941CB8" w:rsidP="00941CB8">
      <w:pPr>
        <w:jc w:val="center"/>
      </w:pPr>
      <w:r w:rsidRPr="00F61D2F">
        <w:rPr>
          <w:noProof/>
        </w:rPr>
        <w:drawing>
          <wp:inline distT="0" distB="0" distL="0" distR="0" wp14:anchorId="5515DA69" wp14:editId="01FD7D50">
            <wp:extent cx="5387975" cy="4032772"/>
            <wp:effectExtent l="0" t="0" r="3175" b="6350"/>
            <wp:docPr id="3558987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95144" cy="4038138"/>
                    </a:xfrm>
                    <a:prstGeom prst="rect">
                      <a:avLst/>
                    </a:prstGeom>
                    <a:noFill/>
                  </pic:spPr>
                </pic:pic>
              </a:graphicData>
            </a:graphic>
          </wp:inline>
        </w:drawing>
      </w:r>
      <w:r w:rsidR="00F61D2F" w:rsidRPr="00F61D2F">
        <w:rPr>
          <w:noProof/>
        </w:rPr>
        <w:drawing>
          <wp:inline distT="0" distB="0" distL="0" distR="0" wp14:anchorId="3CCFE461" wp14:editId="02E2AEB2">
            <wp:extent cx="5044440" cy="2669851"/>
            <wp:effectExtent l="0" t="0" r="3810" b="0"/>
            <wp:docPr id="89603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46537" cy="2670961"/>
                    </a:xfrm>
                    <a:prstGeom prst="rect">
                      <a:avLst/>
                    </a:prstGeom>
                    <a:noFill/>
                  </pic:spPr>
                </pic:pic>
              </a:graphicData>
            </a:graphic>
          </wp:inline>
        </w:drawing>
      </w:r>
      <w:r w:rsidRPr="00F61D2F">
        <w:rPr>
          <w:noProof/>
        </w:rPr>
        <w:drawing>
          <wp:inline distT="0" distB="0" distL="0" distR="0" wp14:anchorId="11131F3A" wp14:editId="7BB21E6F">
            <wp:extent cx="5124937" cy="2682240"/>
            <wp:effectExtent l="0" t="0" r="0" b="3810"/>
            <wp:docPr id="11994616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28914" cy="2684322"/>
                    </a:xfrm>
                    <a:prstGeom prst="rect">
                      <a:avLst/>
                    </a:prstGeom>
                    <a:noFill/>
                  </pic:spPr>
                </pic:pic>
              </a:graphicData>
            </a:graphic>
          </wp:inline>
        </w:drawing>
      </w:r>
    </w:p>
    <w:p w14:paraId="4439D8C2" w14:textId="11294202" w:rsidR="00941CB8" w:rsidRPr="00F61D2F" w:rsidRDefault="00941CB8" w:rsidP="00941CB8">
      <w:pPr>
        <w:jc w:val="center"/>
      </w:pPr>
      <w:r w:rsidRPr="00F61D2F">
        <w:rPr>
          <w:noProof/>
        </w:rPr>
        <w:drawing>
          <wp:inline distT="0" distB="0" distL="0" distR="0" wp14:anchorId="6BEEF29C" wp14:editId="49BDF97C">
            <wp:extent cx="5338457" cy="2758440"/>
            <wp:effectExtent l="0" t="0" r="0" b="3810"/>
            <wp:docPr id="1977051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41660" cy="2760095"/>
                    </a:xfrm>
                    <a:prstGeom prst="rect">
                      <a:avLst/>
                    </a:prstGeom>
                    <a:noFill/>
                  </pic:spPr>
                </pic:pic>
              </a:graphicData>
            </a:graphic>
          </wp:inline>
        </w:drawing>
      </w:r>
    </w:p>
    <w:p w14:paraId="0A8A8774" w14:textId="477E1F7C" w:rsidR="00941CB8" w:rsidRPr="00F61D2F" w:rsidRDefault="00941CB8" w:rsidP="00941CB8">
      <w:pPr>
        <w:jc w:val="center"/>
      </w:pPr>
      <w:r w:rsidRPr="00F61D2F">
        <w:rPr>
          <w:noProof/>
        </w:rPr>
        <w:drawing>
          <wp:inline distT="0" distB="0" distL="0" distR="0" wp14:anchorId="7C61C462" wp14:editId="3932997E">
            <wp:extent cx="5737860" cy="2823727"/>
            <wp:effectExtent l="0" t="0" r="0" b="0"/>
            <wp:docPr id="9028550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50038" cy="2829720"/>
                    </a:xfrm>
                    <a:prstGeom prst="rect">
                      <a:avLst/>
                    </a:prstGeom>
                    <a:noFill/>
                  </pic:spPr>
                </pic:pic>
              </a:graphicData>
            </a:graphic>
          </wp:inline>
        </w:drawing>
      </w:r>
    </w:p>
    <w:p w14:paraId="0121B445" w14:textId="2C102CA7" w:rsidR="00941CB8" w:rsidRPr="00F61D2F" w:rsidRDefault="00941CB8" w:rsidP="00941CB8">
      <w:pPr>
        <w:jc w:val="center"/>
      </w:pPr>
      <w:r w:rsidRPr="00F61D2F">
        <w:rPr>
          <w:noProof/>
        </w:rPr>
        <w:drawing>
          <wp:inline distT="0" distB="0" distL="0" distR="0" wp14:anchorId="64894679" wp14:editId="61343CDF">
            <wp:extent cx="5053965" cy="2974975"/>
            <wp:effectExtent l="0" t="0" r="0" b="0"/>
            <wp:docPr id="2598257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53965" cy="2974975"/>
                    </a:xfrm>
                    <a:prstGeom prst="rect">
                      <a:avLst/>
                    </a:prstGeom>
                    <a:noFill/>
                  </pic:spPr>
                </pic:pic>
              </a:graphicData>
            </a:graphic>
          </wp:inline>
        </w:drawing>
      </w:r>
    </w:p>
    <w:p w14:paraId="6F942F79" w14:textId="1CADC62E" w:rsidR="00941CB8" w:rsidRPr="00F61D2F" w:rsidRDefault="00941CB8" w:rsidP="00941CB8">
      <w:pPr>
        <w:jc w:val="center"/>
      </w:pPr>
      <w:r w:rsidRPr="00F61D2F">
        <w:rPr>
          <w:noProof/>
        </w:rPr>
        <w:drawing>
          <wp:inline distT="0" distB="0" distL="0" distR="0" wp14:anchorId="454FAD4F" wp14:editId="4B371F04">
            <wp:extent cx="5041900" cy="3609340"/>
            <wp:effectExtent l="0" t="0" r="6350" b="0"/>
            <wp:docPr id="5633913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41900" cy="3609340"/>
                    </a:xfrm>
                    <a:prstGeom prst="rect">
                      <a:avLst/>
                    </a:prstGeom>
                    <a:noFill/>
                  </pic:spPr>
                </pic:pic>
              </a:graphicData>
            </a:graphic>
          </wp:inline>
        </w:drawing>
      </w:r>
    </w:p>
    <w:p w14:paraId="33DCFEF6" w14:textId="77777777" w:rsidR="00941CB8" w:rsidRPr="00F61D2F" w:rsidRDefault="00941CB8"/>
    <w:p w14:paraId="2044AD4B" w14:textId="77777777" w:rsidR="00AD2731" w:rsidRPr="00F61D2F" w:rsidRDefault="0000313C">
      <w:pPr>
        <w:pStyle w:val="Heading2"/>
        <w:spacing w:before="200" w:after="200"/>
      </w:pPr>
      <w:bookmarkStart w:id="37" w:name="_Toc235041196"/>
      <w:r w:rsidRPr="00F61D2F">
        <w:t>Appendix C: Investment Appraisal Calculations</w:t>
      </w:r>
      <w:bookmarkEnd w:id="37"/>
    </w:p>
    <w:tbl>
      <w:tblPr>
        <w:tblW w:w="9120" w:type="dxa"/>
        <w:tblLook w:val="04A0" w:firstRow="1" w:lastRow="0" w:firstColumn="1" w:lastColumn="0" w:noHBand="0" w:noVBand="1"/>
      </w:tblPr>
      <w:tblGrid>
        <w:gridCol w:w="989"/>
        <w:gridCol w:w="1700"/>
        <w:gridCol w:w="2180"/>
        <w:gridCol w:w="2080"/>
        <w:gridCol w:w="2320"/>
      </w:tblGrid>
      <w:tr w:rsidR="00941CB8" w:rsidRPr="00F61D2F" w14:paraId="361FEFC6" w14:textId="77777777" w:rsidTr="00941CB8">
        <w:trPr>
          <w:trHeight w:val="624"/>
        </w:trPr>
        <w:tc>
          <w:tcPr>
            <w:tcW w:w="8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E024671"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700" w:type="dxa"/>
            <w:tcBorders>
              <w:top w:val="single" w:sz="4" w:space="0" w:color="000000"/>
              <w:left w:val="nil"/>
              <w:bottom w:val="single" w:sz="4" w:space="0" w:color="000000"/>
              <w:right w:val="single" w:sz="4" w:space="0" w:color="000000"/>
            </w:tcBorders>
            <w:shd w:val="clear" w:color="000000" w:fill="FFFFFF"/>
            <w:vAlign w:val="center"/>
            <w:hideMark/>
          </w:tcPr>
          <w:p w14:paraId="485542A7"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180" w:type="dxa"/>
            <w:tcBorders>
              <w:top w:val="single" w:sz="4" w:space="0" w:color="000000"/>
              <w:left w:val="nil"/>
              <w:bottom w:val="single" w:sz="4" w:space="0" w:color="000000"/>
              <w:right w:val="single" w:sz="4" w:space="0" w:color="000000"/>
            </w:tcBorders>
            <w:shd w:val="clear" w:color="000000" w:fill="FFFFFF"/>
            <w:vAlign w:val="center"/>
            <w:hideMark/>
          </w:tcPr>
          <w:p w14:paraId="09EAE63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2080" w:type="dxa"/>
            <w:tcBorders>
              <w:top w:val="single" w:sz="4" w:space="0" w:color="000000"/>
              <w:left w:val="nil"/>
              <w:bottom w:val="single" w:sz="4" w:space="0" w:color="000000"/>
              <w:right w:val="single" w:sz="4" w:space="0" w:color="000000"/>
            </w:tcBorders>
            <w:shd w:val="clear" w:color="000000" w:fill="FFFFFF"/>
            <w:vAlign w:val="center"/>
            <w:hideMark/>
          </w:tcPr>
          <w:p w14:paraId="138DEABA"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320" w:type="dxa"/>
            <w:tcBorders>
              <w:top w:val="nil"/>
              <w:left w:val="nil"/>
              <w:bottom w:val="nil"/>
              <w:right w:val="nil"/>
            </w:tcBorders>
            <w:shd w:val="clear" w:color="000000" w:fill="FFFFFF"/>
            <w:noWrap/>
            <w:vAlign w:val="center"/>
            <w:hideMark/>
          </w:tcPr>
          <w:p w14:paraId="46729DE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6FFCCE6"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023E3E66"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700" w:type="dxa"/>
            <w:tcBorders>
              <w:top w:val="nil"/>
              <w:left w:val="nil"/>
              <w:bottom w:val="single" w:sz="4" w:space="0" w:color="000000"/>
              <w:right w:val="single" w:sz="4" w:space="0" w:color="000000"/>
            </w:tcBorders>
            <w:shd w:val="clear" w:color="000000" w:fill="FFFFFF"/>
            <w:noWrap/>
            <w:vAlign w:val="center"/>
            <w:hideMark/>
          </w:tcPr>
          <w:p w14:paraId="28EC7CC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137B170B"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000000"/>
              <w:right w:val="single" w:sz="4" w:space="0" w:color="000000"/>
            </w:tcBorders>
            <w:shd w:val="clear" w:color="000000" w:fill="FFFFFF"/>
            <w:noWrap/>
            <w:vAlign w:val="center"/>
            <w:hideMark/>
          </w:tcPr>
          <w:p w14:paraId="742FAF1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320" w:type="dxa"/>
            <w:tcBorders>
              <w:top w:val="nil"/>
              <w:left w:val="nil"/>
              <w:bottom w:val="nil"/>
              <w:right w:val="nil"/>
            </w:tcBorders>
            <w:shd w:val="clear" w:color="000000" w:fill="FFFFFF"/>
            <w:noWrap/>
            <w:vAlign w:val="center"/>
            <w:hideMark/>
          </w:tcPr>
          <w:p w14:paraId="645C60F0"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16B5264"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5E647B1B"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700" w:type="dxa"/>
            <w:tcBorders>
              <w:top w:val="nil"/>
              <w:left w:val="nil"/>
              <w:bottom w:val="single" w:sz="4" w:space="0" w:color="000000"/>
              <w:right w:val="single" w:sz="4" w:space="0" w:color="000000"/>
            </w:tcBorders>
            <w:shd w:val="clear" w:color="000000" w:fill="FFFFFF"/>
            <w:noWrap/>
            <w:vAlign w:val="center"/>
            <w:hideMark/>
          </w:tcPr>
          <w:p w14:paraId="4FD395B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0322B42C"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2080" w:type="dxa"/>
            <w:tcBorders>
              <w:top w:val="nil"/>
              <w:left w:val="nil"/>
              <w:bottom w:val="single" w:sz="4" w:space="0" w:color="000000"/>
              <w:right w:val="single" w:sz="4" w:space="0" w:color="000000"/>
            </w:tcBorders>
            <w:shd w:val="clear" w:color="000000" w:fill="FFFFFF"/>
            <w:noWrap/>
            <w:vAlign w:val="center"/>
            <w:hideMark/>
          </w:tcPr>
          <w:p w14:paraId="65669BA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9.26 </w:t>
            </w:r>
          </w:p>
        </w:tc>
        <w:tc>
          <w:tcPr>
            <w:tcW w:w="2320" w:type="dxa"/>
            <w:tcBorders>
              <w:top w:val="nil"/>
              <w:left w:val="nil"/>
              <w:bottom w:val="nil"/>
              <w:right w:val="nil"/>
            </w:tcBorders>
            <w:shd w:val="clear" w:color="000000" w:fill="FFFFFF"/>
            <w:noWrap/>
            <w:vAlign w:val="center"/>
            <w:hideMark/>
          </w:tcPr>
          <w:p w14:paraId="2C6F35A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BC6226E"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4D449BAC"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700" w:type="dxa"/>
            <w:tcBorders>
              <w:top w:val="nil"/>
              <w:left w:val="nil"/>
              <w:bottom w:val="single" w:sz="4" w:space="0" w:color="000000"/>
              <w:right w:val="single" w:sz="4" w:space="0" w:color="000000"/>
            </w:tcBorders>
            <w:shd w:val="clear" w:color="000000" w:fill="FFFFFF"/>
            <w:noWrap/>
            <w:vAlign w:val="center"/>
            <w:hideMark/>
          </w:tcPr>
          <w:p w14:paraId="5C14EB0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12.00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298A3C33"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2080" w:type="dxa"/>
            <w:tcBorders>
              <w:top w:val="nil"/>
              <w:left w:val="nil"/>
              <w:bottom w:val="single" w:sz="4" w:space="0" w:color="000000"/>
              <w:right w:val="single" w:sz="4" w:space="0" w:color="000000"/>
            </w:tcBorders>
            <w:shd w:val="clear" w:color="000000" w:fill="FFFFFF"/>
            <w:noWrap/>
            <w:vAlign w:val="center"/>
            <w:hideMark/>
          </w:tcPr>
          <w:p w14:paraId="3734284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10.29 </w:t>
            </w:r>
          </w:p>
        </w:tc>
        <w:tc>
          <w:tcPr>
            <w:tcW w:w="2320" w:type="dxa"/>
            <w:tcBorders>
              <w:top w:val="nil"/>
              <w:left w:val="nil"/>
              <w:bottom w:val="nil"/>
              <w:right w:val="nil"/>
            </w:tcBorders>
            <w:shd w:val="clear" w:color="000000" w:fill="FFFFFF"/>
            <w:noWrap/>
            <w:vAlign w:val="center"/>
            <w:hideMark/>
          </w:tcPr>
          <w:p w14:paraId="66F9E4A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43E6B88"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1B23932E"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700" w:type="dxa"/>
            <w:tcBorders>
              <w:top w:val="nil"/>
              <w:left w:val="nil"/>
              <w:bottom w:val="single" w:sz="4" w:space="0" w:color="000000"/>
              <w:right w:val="single" w:sz="4" w:space="0" w:color="000000"/>
            </w:tcBorders>
            <w:shd w:val="clear" w:color="000000" w:fill="FFFFFF"/>
            <w:noWrap/>
            <w:vAlign w:val="center"/>
            <w:hideMark/>
          </w:tcPr>
          <w:p w14:paraId="3ED20E8C"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14.00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1B84EB9A"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2080" w:type="dxa"/>
            <w:tcBorders>
              <w:top w:val="nil"/>
              <w:left w:val="nil"/>
              <w:bottom w:val="single" w:sz="4" w:space="0" w:color="000000"/>
              <w:right w:val="single" w:sz="4" w:space="0" w:color="000000"/>
            </w:tcBorders>
            <w:shd w:val="clear" w:color="000000" w:fill="FFFFFF"/>
            <w:noWrap/>
            <w:vAlign w:val="center"/>
            <w:hideMark/>
          </w:tcPr>
          <w:p w14:paraId="554F252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11.11 </w:t>
            </w:r>
          </w:p>
        </w:tc>
        <w:tc>
          <w:tcPr>
            <w:tcW w:w="2320" w:type="dxa"/>
            <w:tcBorders>
              <w:top w:val="nil"/>
              <w:left w:val="nil"/>
              <w:bottom w:val="nil"/>
              <w:right w:val="nil"/>
            </w:tcBorders>
            <w:shd w:val="clear" w:color="000000" w:fill="FFFFFF"/>
            <w:noWrap/>
            <w:vAlign w:val="center"/>
            <w:hideMark/>
          </w:tcPr>
          <w:p w14:paraId="5850F11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E9DCBC9"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59B00843"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700" w:type="dxa"/>
            <w:tcBorders>
              <w:top w:val="nil"/>
              <w:left w:val="nil"/>
              <w:bottom w:val="single" w:sz="4" w:space="0" w:color="000000"/>
              <w:right w:val="single" w:sz="4" w:space="0" w:color="000000"/>
            </w:tcBorders>
            <w:shd w:val="clear" w:color="000000" w:fill="FFFFFF"/>
            <w:noWrap/>
            <w:vAlign w:val="center"/>
            <w:hideMark/>
          </w:tcPr>
          <w:p w14:paraId="5139D39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32776595"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2080" w:type="dxa"/>
            <w:tcBorders>
              <w:top w:val="nil"/>
              <w:left w:val="nil"/>
              <w:bottom w:val="single" w:sz="4" w:space="0" w:color="000000"/>
              <w:right w:val="single" w:sz="4" w:space="0" w:color="000000"/>
            </w:tcBorders>
            <w:shd w:val="clear" w:color="000000" w:fill="FFFFFF"/>
            <w:noWrap/>
            <w:vAlign w:val="center"/>
            <w:hideMark/>
          </w:tcPr>
          <w:p w14:paraId="2980C62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7.35 </w:t>
            </w:r>
          </w:p>
        </w:tc>
        <w:tc>
          <w:tcPr>
            <w:tcW w:w="2320" w:type="dxa"/>
            <w:tcBorders>
              <w:top w:val="nil"/>
              <w:left w:val="nil"/>
              <w:bottom w:val="nil"/>
              <w:right w:val="nil"/>
            </w:tcBorders>
            <w:shd w:val="clear" w:color="000000" w:fill="FFFFFF"/>
            <w:noWrap/>
            <w:vAlign w:val="center"/>
            <w:hideMark/>
          </w:tcPr>
          <w:p w14:paraId="4C3F2C9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0531F50"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69FA353"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700" w:type="dxa"/>
            <w:tcBorders>
              <w:top w:val="nil"/>
              <w:left w:val="nil"/>
              <w:bottom w:val="single" w:sz="4" w:space="0" w:color="000000"/>
              <w:right w:val="single" w:sz="4" w:space="0" w:color="000000"/>
            </w:tcBorders>
            <w:shd w:val="clear" w:color="000000" w:fill="FFFFFF"/>
            <w:noWrap/>
            <w:vAlign w:val="center"/>
            <w:hideMark/>
          </w:tcPr>
          <w:p w14:paraId="6549A80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55BFFE91"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2080" w:type="dxa"/>
            <w:tcBorders>
              <w:top w:val="nil"/>
              <w:left w:val="nil"/>
              <w:bottom w:val="single" w:sz="4" w:space="0" w:color="000000"/>
              <w:right w:val="single" w:sz="4" w:space="0" w:color="000000"/>
            </w:tcBorders>
            <w:shd w:val="clear" w:color="000000" w:fill="FFFFFF"/>
            <w:noWrap/>
            <w:vAlign w:val="center"/>
            <w:hideMark/>
          </w:tcPr>
          <w:p w14:paraId="4195DB5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5.44 </w:t>
            </w:r>
          </w:p>
        </w:tc>
        <w:tc>
          <w:tcPr>
            <w:tcW w:w="2320" w:type="dxa"/>
            <w:tcBorders>
              <w:top w:val="nil"/>
              <w:left w:val="nil"/>
              <w:bottom w:val="nil"/>
              <w:right w:val="nil"/>
            </w:tcBorders>
            <w:shd w:val="clear" w:color="000000" w:fill="FFFFFF"/>
            <w:noWrap/>
            <w:vAlign w:val="center"/>
            <w:hideMark/>
          </w:tcPr>
          <w:p w14:paraId="2D0C6A34"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578E0D6" w14:textId="77777777" w:rsidTr="00941CB8">
        <w:trPr>
          <w:trHeight w:val="300"/>
        </w:trPr>
        <w:tc>
          <w:tcPr>
            <w:tcW w:w="4720" w:type="dxa"/>
            <w:gridSpan w:val="3"/>
            <w:tcBorders>
              <w:top w:val="single" w:sz="4" w:space="0" w:color="000000"/>
              <w:left w:val="single" w:sz="4" w:space="0" w:color="000000"/>
              <w:bottom w:val="nil"/>
              <w:right w:val="single" w:sz="4" w:space="0" w:color="000000"/>
            </w:tcBorders>
            <w:shd w:val="clear" w:color="000000" w:fill="FFFFFF"/>
            <w:vAlign w:val="center"/>
            <w:hideMark/>
          </w:tcPr>
          <w:p w14:paraId="1FE51269"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"Net Present Value (NPV) of Project A"</w:t>
            </w:r>
          </w:p>
        </w:tc>
        <w:tc>
          <w:tcPr>
            <w:tcW w:w="2080" w:type="dxa"/>
            <w:tcBorders>
              <w:top w:val="nil"/>
              <w:left w:val="nil"/>
              <w:bottom w:val="nil"/>
              <w:right w:val="single" w:sz="4" w:space="0" w:color="000000"/>
            </w:tcBorders>
            <w:shd w:val="clear" w:color="000000" w:fill="FFFFFF"/>
            <w:vAlign w:val="center"/>
            <w:hideMark/>
          </w:tcPr>
          <w:p w14:paraId="32001186"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 xml:space="preserve">-£                 6.54 </w:t>
            </w:r>
          </w:p>
        </w:tc>
        <w:tc>
          <w:tcPr>
            <w:tcW w:w="2320" w:type="dxa"/>
            <w:tcBorders>
              <w:top w:val="nil"/>
              <w:left w:val="nil"/>
              <w:bottom w:val="nil"/>
              <w:right w:val="nil"/>
            </w:tcBorders>
            <w:shd w:val="clear" w:color="000000" w:fill="FFFFFF"/>
            <w:noWrap/>
            <w:vAlign w:val="center"/>
            <w:hideMark/>
          </w:tcPr>
          <w:p w14:paraId="47AD112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B1A0A0B" w14:textId="77777777" w:rsidTr="00941CB8">
        <w:trPr>
          <w:trHeight w:val="312"/>
        </w:trPr>
        <w:tc>
          <w:tcPr>
            <w:tcW w:w="4720" w:type="dxa"/>
            <w:gridSpan w:val="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19564464"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"Profitability Index (PI) of Project A"</w:t>
            </w:r>
          </w:p>
        </w:tc>
        <w:tc>
          <w:tcPr>
            <w:tcW w:w="2080" w:type="dxa"/>
            <w:tcBorders>
              <w:top w:val="single" w:sz="4" w:space="0" w:color="auto"/>
              <w:left w:val="nil"/>
              <w:bottom w:val="single" w:sz="4" w:space="0" w:color="auto"/>
              <w:right w:val="single" w:sz="4" w:space="0" w:color="auto"/>
            </w:tcBorders>
            <w:shd w:val="clear" w:color="000000" w:fill="FFFFFF"/>
            <w:noWrap/>
            <w:vAlign w:val="center"/>
            <w:hideMark/>
          </w:tcPr>
          <w:p w14:paraId="1D8A713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1.13</w:t>
            </w:r>
          </w:p>
        </w:tc>
        <w:tc>
          <w:tcPr>
            <w:tcW w:w="2320" w:type="dxa"/>
            <w:tcBorders>
              <w:top w:val="nil"/>
              <w:left w:val="nil"/>
              <w:bottom w:val="nil"/>
              <w:right w:val="nil"/>
            </w:tcBorders>
            <w:shd w:val="clear" w:color="000000" w:fill="FFFFFF"/>
            <w:noWrap/>
            <w:vAlign w:val="center"/>
            <w:hideMark/>
          </w:tcPr>
          <w:p w14:paraId="6326305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3DC06CA" w14:textId="77777777" w:rsidTr="00941CB8">
        <w:trPr>
          <w:trHeight w:val="300"/>
        </w:trPr>
        <w:tc>
          <w:tcPr>
            <w:tcW w:w="840" w:type="dxa"/>
            <w:tcBorders>
              <w:top w:val="nil"/>
              <w:left w:val="nil"/>
              <w:bottom w:val="nil"/>
              <w:right w:val="nil"/>
            </w:tcBorders>
            <w:shd w:val="clear" w:color="000000" w:fill="FFFFFF"/>
            <w:noWrap/>
            <w:vAlign w:val="center"/>
            <w:hideMark/>
          </w:tcPr>
          <w:p w14:paraId="410032E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700" w:type="dxa"/>
            <w:tcBorders>
              <w:top w:val="nil"/>
              <w:left w:val="nil"/>
              <w:bottom w:val="nil"/>
              <w:right w:val="nil"/>
            </w:tcBorders>
            <w:shd w:val="clear" w:color="000000" w:fill="FFFFFF"/>
            <w:noWrap/>
            <w:vAlign w:val="center"/>
            <w:hideMark/>
          </w:tcPr>
          <w:p w14:paraId="3FAE42E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80" w:type="dxa"/>
            <w:tcBorders>
              <w:top w:val="nil"/>
              <w:left w:val="nil"/>
              <w:bottom w:val="nil"/>
              <w:right w:val="nil"/>
            </w:tcBorders>
            <w:shd w:val="clear" w:color="000000" w:fill="FFFFFF"/>
            <w:noWrap/>
            <w:vAlign w:val="center"/>
            <w:hideMark/>
          </w:tcPr>
          <w:p w14:paraId="1B4A6AF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080" w:type="dxa"/>
            <w:tcBorders>
              <w:top w:val="nil"/>
              <w:left w:val="nil"/>
              <w:bottom w:val="nil"/>
              <w:right w:val="nil"/>
            </w:tcBorders>
            <w:shd w:val="clear" w:color="000000" w:fill="FFFFFF"/>
            <w:noWrap/>
            <w:vAlign w:val="center"/>
            <w:hideMark/>
          </w:tcPr>
          <w:p w14:paraId="10F68304"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320" w:type="dxa"/>
            <w:tcBorders>
              <w:top w:val="nil"/>
              <w:left w:val="nil"/>
              <w:bottom w:val="nil"/>
              <w:right w:val="nil"/>
            </w:tcBorders>
            <w:shd w:val="clear" w:color="000000" w:fill="FFFFFF"/>
            <w:noWrap/>
            <w:vAlign w:val="center"/>
            <w:hideMark/>
          </w:tcPr>
          <w:p w14:paraId="5C0CD88A"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BA77CFC" w14:textId="77777777" w:rsidTr="00941CB8">
        <w:trPr>
          <w:trHeight w:val="624"/>
        </w:trPr>
        <w:tc>
          <w:tcPr>
            <w:tcW w:w="8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5AFD595C"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700" w:type="dxa"/>
            <w:tcBorders>
              <w:top w:val="single" w:sz="4" w:space="0" w:color="000000"/>
              <w:left w:val="nil"/>
              <w:bottom w:val="single" w:sz="4" w:space="0" w:color="000000"/>
              <w:right w:val="single" w:sz="4" w:space="0" w:color="000000"/>
            </w:tcBorders>
            <w:shd w:val="clear" w:color="000000" w:fill="FFFFFF"/>
            <w:vAlign w:val="center"/>
            <w:hideMark/>
          </w:tcPr>
          <w:p w14:paraId="445A0081"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180" w:type="dxa"/>
            <w:tcBorders>
              <w:top w:val="single" w:sz="4" w:space="0" w:color="000000"/>
              <w:left w:val="nil"/>
              <w:bottom w:val="single" w:sz="4" w:space="0" w:color="000000"/>
              <w:right w:val="single" w:sz="4" w:space="0" w:color="000000"/>
            </w:tcBorders>
            <w:shd w:val="clear" w:color="000000" w:fill="FFFFFF"/>
            <w:vAlign w:val="center"/>
            <w:hideMark/>
          </w:tcPr>
          <w:p w14:paraId="4BD225C9"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2080" w:type="dxa"/>
            <w:tcBorders>
              <w:top w:val="single" w:sz="4" w:space="0" w:color="000000"/>
              <w:left w:val="nil"/>
              <w:bottom w:val="single" w:sz="4" w:space="0" w:color="000000"/>
              <w:right w:val="single" w:sz="4" w:space="0" w:color="000000"/>
            </w:tcBorders>
            <w:shd w:val="clear" w:color="000000" w:fill="FFFFFF"/>
            <w:vAlign w:val="center"/>
            <w:hideMark/>
          </w:tcPr>
          <w:p w14:paraId="5800707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320" w:type="dxa"/>
            <w:tcBorders>
              <w:top w:val="single" w:sz="4" w:space="0" w:color="000000"/>
              <w:left w:val="nil"/>
              <w:bottom w:val="single" w:sz="4" w:space="0" w:color="000000"/>
              <w:right w:val="single" w:sz="4" w:space="0" w:color="000000"/>
            </w:tcBorders>
            <w:shd w:val="clear" w:color="000000" w:fill="FFFFFF"/>
            <w:vAlign w:val="center"/>
            <w:hideMark/>
          </w:tcPr>
          <w:p w14:paraId="23E6E337"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Cumulative</w:t>
            </w:r>
          </w:p>
        </w:tc>
      </w:tr>
      <w:tr w:rsidR="00941CB8" w:rsidRPr="00F61D2F" w14:paraId="7109F5FD"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1372BEBE"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700" w:type="dxa"/>
            <w:tcBorders>
              <w:top w:val="nil"/>
              <w:left w:val="nil"/>
              <w:bottom w:val="single" w:sz="4" w:space="0" w:color="000000"/>
              <w:right w:val="single" w:sz="4" w:space="0" w:color="000000"/>
            </w:tcBorders>
            <w:shd w:val="clear" w:color="000000" w:fill="FFFFFF"/>
            <w:noWrap/>
            <w:vAlign w:val="center"/>
            <w:hideMark/>
          </w:tcPr>
          <w:p w14:paraId="340C47C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562A8571"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000000"/>
              <w:right w:val="single" w:sz="4" w:space="0" w:color="000000"/>
            </w:tcBorders>
            <w:shd w:val="clear" w:color="000000" w:fill="FFFFFF"/>
            <w:noWrap/>
            <w:vAlign w:val="center"/>
            <w:hideMark/>
          </w:tcPr>
          <w:p w14:paraId="384E2C5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320" w:type="dxa"/>
            <w:tcBorders>
              <w:top w:val="nil"/>
              <w:left w:val="nil"/>
              <w:bottom w:val="single" w:sz="4" w:space="0" w:color="000000"/>
              <w:right w:val="single" w:sz="4" w:space="0" w:color="000000"/>
            </w:tcBorders>
            <w:shd w:val="clear" w:color="000000" w:fill="FFFFFF"/>
            <w:noWrap/>
            <w:vAlign w:val="center"/>
            <w:hideMark/>
          </w:tcPr>
          <w:p w14:paraId="2A0731B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r>
      <w:tr w:rsidR="00941CB8" w:rsidRPr="00F61D2F" w14:paraId="2C58C19A"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262EEEF0"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700" w:type="dxa"/>
            <w:tcBorders>
              <w:top w:val="nil"/>
              <w:left w:val="nil"/>
              <w:bottom w:val="single" w:sz="4" w:space="0" w:color="000000"/>
              <w:right w:val="single" w:sz="4" w:space="0" w:color="000000"/>
            </w:tcBorders>
            <w:shd w:val="clear" w:color="000000" w:fill="FFFFFF"/>
            <w:noWrap/>
            <w:vAlign w:val="center"/>
            <w:hideMark/>
          </w:tcPr>
          <w:p w14:paraId="719122C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67EF67CE"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2080" w:type="dxa"/>
            <w:tcBorders>
              <w:top w:val="nil"/>
              <w:left w:val="nil"/>
              <w:bottom w:val="single" w:sz="4" w:space="0" w:color="000000"/>
              <w:right w:val="single" w:sz="4" w:space="0" w:color="000000"/>
            </w:tcBorders>
            <w:shd w:val="clear" w:color="000000" w:fill="FFFFFF"/>
            <w:noWrap/>
            <w:vAlign w:val="center"/>
            <w:hideMark/>
          </w:tcPr>
          <w:p w14:paraId="666E497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9.26 </w:t>
            </w:r>
          </w:p>
        </w:tc>
        <w:tc>
          <w:tcPr>
            <w:tcW w:w="2320" w:type="dxa"/>
            <w:tcBorders>
              <w:top w:val="nil"/>
              <w:left w:val="nil"/>
              <w:bottom w:val="single" w:sz="4" w:space="0" w:color="000000"/>
              <w:right w:val="single" w:sz="4" w:space="0" w:color="000000"/>
            </w:tcBorders>
            <w:shd w:val="clear" w:color="000000" w:fill="FFFFFF"/>
            <w:noWrap/>
            <w:vAlign w:val="center"/>
            <w:hideMark/>
          </w:tcPr>
          <w:p w14:paraId="3004345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40.74 </w:t>
            </w:r>
          </w:p>
        </w:tc>
      </w:tr>
      <w:tr w:rsidR="00941CB8" w:rsidRPr="00F61D2F" w14:paraId="18729655"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6407FC2C"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700" w:type="dxa"/>
            <w:tcBorders>
              <w:top w:val="nil"/>
              <w:left w:val="nil"/>
              <w:bottom w:val="single" w:sz="4" w:space="0" w:color="000000"/>
              <w:right w:val="single" w:sz="4" w:space="0" w:color="000000"/>
            </w:tcBorders>
            <w:shd w:val="clear" w:color="000000" w:fill="FFFFFF"/>
            <w:noWrap/>
            <w:vAlign w:val="center"/>
            <w:hideMark/>
          </w:tcPr>
          <w:p w14:paraId="21620BE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12.00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496FC103"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2080" w:type="dxa"/>
            <w:tcBorders>
              <w:top w:val="nil"/>
              <w:left w:val="nil"/>
              <w:bottom w:val="single" w:sz="4" w:space="0" w:color="000000"/>
              <w:right w:val="single" w:sz="4" w:space="0" w:color="000000"/>
            </w:tcBorders>
            <w:shd w:val="clear" w:color="000000" w:fill="FFFFFF"/>
            <w:noWrap/>
            <w:vAlign w:val="center"/>
            <w:hideMark/>
          </w:tcPr>
          <w:p w14:paraId="5F4C61FC"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10.29 </w:t>
            </w:r>
          </w:p>
        </w:tc>
        <w:tc>
          <w:tcPr>
            <w:tcW w:w="2320" w:type="dxa"/>
            <w:tcBorders>
              <w:top w:val="nil"/>
              <w:left w:val="nil"/>
              <w:bottom w:val="single" w:sz="4" w:space="0" w:color="000000"/>
              <w:right w:val="single" w:sz="4" w:space="0" w:color="000000"/>
            </w:tcBorders>
            <w:shd w:val="clear" w:color="000000" w:fill="FFFFFF"/>
            <w:noWrap/>
            <w:vAlign w:val="center"/>
            <w:hideMark/>
          </w:tcPr>
          <w:p w14:paraId="1057EED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30.45 </w:t>
            </w:r>
          </w:p>
        </w:tc>
      </w:tr>
      <w:tr w:rsidR="00941CB8" w:rsidRPr="00F61D2F" w14:paraId="5753C6A0"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EFE07C0"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700" w:type="dxa"/>
            <w:tcBorders>
              <w:top w:val="nil"/>
              <w:left w:val="nil"/>
              <w:bottom w:val="single" w:sz="4" w:space="0" w:color="000000"/>
              <w:right w:val="single" w:sz="4" w:space="0" w:color="000000"/>
            </w:tcBorders>
            <w:shd w:val="clear" w:color="000000" w:fill="FFFFFF"/>
            <w:noWrap/>
            <w:vAlign w:val="center"/>
            <w:hideMark/>
          </w:tcPr>
          <w:p w14:paraId="727C5EE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14.00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28511A56"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2080" w:type="dxa"/>
            <w:tcBorders>
              <w:top w:val="nil"/>
              <w:left w:val="nil"/>
              <w:bottom w:val="single" w:sz="4" w:space="0" w:color="000000"/>
              <w:right w:val="single" w:sz="4" w:space="0" w:color="000000"/>
            </w:tcBorders>
            <w:shd w:val="clear" w:color="000000" w:fill="FFFFFF"/>
            <w:noWrap/>
            <w:vAlign w:val="center"/>
            <w:hideMark/>
          </w:tcPr>
          <w:p w14:paraId="4A6C101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11.11 </w:t>
            </w:r>
          </w:p>
        </w:tc>
        <w:tc>
          <w:tcPr>
            <w:tcW w:w="2320" w:type="dxa"/>
            <w:tcBorders>
              <w:top w:val="nil"/>
              <w:left w:val="nil"/>
              <w:bottom w:val="single" w:sz="4" w:space="0" w:color="000000"/>
              <w:right w:val="single" w:sz="4" w:space="0" w:color="000000"/>
            </w:tcBorders>
            <w:shd w:val="clear" w:color="000000" w:fill="FFFFFF"/>
            <w:noWrap/>
            <w:vAlign w:val="center"/>
            <w:hideMark/>
          </w:tcPr>
          <w:p w14:paraId="2EB0FFD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19.34 </w:t>
            </w:r>
          </w:p>
        </w:tc>
      </w:tr>
      <w:tr w:rsidR="00941CB8" w:rsidRPr="00F61D2F" w14:paraId="06E25848"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43F7DB11"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700" w:type="dxa"/>
            <w:tcBorders>
              <w:top w:val="nil"/>
              <w:left w:val="nil"/>
              <w:bottom w:val="single" w:sz="4" w:space="0" w:color="000000"/>
              <w:right w:val="single" w:sz="4" w:space="0" w:color="000000"/>
            </w:tcBorders>
            <w:shd w:val="clear" w:color="000000" w:fill="FFFFFF"/>
            <w:noWrap/>
            <w:vAlign w:val="center"/>
            <w:hideMark/>
          </w:tcPr>
          <w:p w14:paraId="169BE71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75FCC42D"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2080" w:type="dxa"/>
            <w:tcBorders>
              <w:top w:val="nil"/>
              <w:left w:val="nil"/>
              <w:bottom w:val="single" w:sz="4" w:space="0" w:color="000000"/>
              <w:right w:val="single" w:sz="4" w:space="0" w:color="000000"/>
            </w:tcBorders>
            <w:shd w:val="clear" w:color="000000" w:fill="FFFFFF"/>
            <w:noWrap/>
            <w:vAlign w:val="center"/>
            <w:hideMark/>
          </w:tcPr>
          <w:p w14:paraId="7CFEF15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7.35 </w:t>
            </w:r>
          </w:p>
        </w:tc>
        <w:tc>
          <w:tcPr>
            <w:tcW w:w="2320" w:type="dxa"/>
            <w:tcBorders>
              <w:top w:val="nil"/>
              <w:left w:val="nil"/>
              <w:bottom w:val="single" w:sz="4" w:space="0" w:color="000000"/>
              <w:right w:val="single" w:sz="4" w:space="0" w:color="000000"/>
            </w:tcBorders>
            <w:shd w:val="clear" w:color="000000" w:fill="FFFFFF"/>
            <w:noWrap/>
            <w:vAlign w:val="center"/>
            <w:hideMark/>
          </w:tcPr>
          <w:p w14:paraId="5B7DDF0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11.99 </w:t>
            </w:r>
          </w:p>
        </w:tc>
      </w:tr>
      <w:tr w:rsidR="00941CB8" w:rsidRPr="00F61D2F" w14:paraId="4D663749"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346166DF"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700" w:type="dxa"/>
            <w:tcBorders>
              <w:top w:val="nil"/>
              <w:left w:val="nil"/>
              <w:bottom w:val="single" w:sz="4" w:space="0" w:color="000000"/>
              <w:right w:val="single" w:sz="4" w:space="0" w:color="000000"/>
            </w:tcBorders>
            <w:shd w:val="clear" w:color="000000" w:fill="FFFFFF"/>
            <w:noWrap/>
            <w:vAlign w:val="center"/>
            <w:hideMark/>
          </w:tcPr>
          <w:p w14:paraId="17B4530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7BE1069B"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2080" w:type="dxa"/>
            <w:tcBorders>
              <w:top w:val="nil"/>
              <w:left w:val="nil"/>
              <w:bottom w:val="single" w:sz="4" w:space="0" w:color="000000"/>
              <w:right w:val="single" w:sz="4" w:space="0" w:color="000000"/>
            </w:tcBorders>
            <w:shd w:val="clear" w:color="000000" w:fill="FFFFFF"/>
            <w:noWrap/>
            <w:vAlign w:val="center"/>
            <w:hideMark/>
          </w:tcPr>
          <w:p w14:paraId="02C75FD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5.44 </w:t>
            </w:r>
          </w:p>
        </w:tc>
        <w:tc>
          <w:tcPr>
            <w:tcW w:w="2320" w:type="dxa"/>
            <w:tcBorders>
              <w:top w:val="nil"/>
              <w:left w:val="nil"/>
              <w:bottom w:val="single" w:sz="4" w:space="0" w:color="000000"/>
              <w:right w:val="single" w:sz="4" w:space="0" w:color="000000"/>
            </w:tcBorders>
            <w:shd w:val="clear" w:color="000000" w:fill="FFFFFF"/>
            <w:noWrap/>
            <w:vAlign w:val="center"/>
            <w:hideMark/>
          </w:tcPr>
          <w:p w14:paraId="35B3CA5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6.54 </w:t>
            </w:r>
          </w:p>
        </w:tc>
      </w:tr>
      <w:tr w:rsidR="00941CB8" w:rsidRPr="00F61D2F" w14:paraId="237D6CF1" w14:textId="77777777" w:rsidTr="00941CB8">
        <w:trPr>
          <w:trHeight w:val="312"/>
        </w:trPr>
        <w:tc>
          <w:tcPr>
            <w:tcW w:w="6800" w:type="dxa"/>
            <w:gridSpan w:val="4"/>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6563C78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"Payback Period (PBP) of Project A"</w:t>
            </w:r>
          </w:p>
        </w:tc>
        <w:tc>
          <w:tcPr>
            <w:tcW w:w="2320" w:type="dxa"/>
            <w:tcBorders>
              <w:top w:val="nil"/>
              <w:left w:val="nil"/>
              <w:bottom w:val="single" w:sz="4" w:space="0" w:color="000000"/>
              <w:right w:val="single" w:sz="4" w:space="0" w:color="000000"/>
            </w:tcBorders>
            <w:shd w:val="clear" w:color="000000" w:fill="FFFFFF"/>
            <w:vAlign w:val="center"/>
            <w:hideMark/>
          </w:tcPr>
          <w:p w14:paraId="3FEA885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Not Recovered</w:t>
            </w:r>
          </w:p>
        </w:tc>
      </w:tr>
      <w:tr w:rsidR="00941CB8" w:rsidRPr="00F61D2F" w14:paraId="63D18B7E" w14:textId="77777777" w:rsidTr="00941CB8">
        <w:trPr>
          <w:trHeight w:val="300"/>
        </w:trPr>
        <w:tc>
          <w:tcPr>
            <w:tcW w:w="840" w:type="dxa"/>
            <w:tcBorders>
              <w:top w:val="nil"/>
              <w:left w:val="nil"/>
              <w:bottom w:val="nil"/>
              <w:right w:val="nil"/>
            </w:tcBorders>
            <w:shd w:val="clear" w:color="000000" w:fill="FFFFFF"/>
            <w:noWrap/>
            <w:vAlign w:val="center"/>
            <w:hideMark/>
          </w:tcPr>
          <w:p w14:paraId="1DC90C4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700" w:type="dxa"/>
            <w:tcBorders>
              <w:top w:val="nil"/>
              <w:left w:val="nil"/>
              <w:bottom w:val="nil"/>
              <w:right w:val="nil"/>
            </w:tcBorders>
            <w:shd w:val="clear" w:color="000000" w:fill="FFFFFF"/>
            <w:noWrap/>
            <w:vAlign w:val="center"/>
            <w:hideMark/>
          </w:tcPr>
          <w:p w14:paraId="44E8D88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80" w:type="dxa"/>
            <w:tcBorders>
              <w:top w:val="nil"/>
              <w:left w:val="nil"/>
              <w:bottom w:val="nil"/>
              <w:right w:val="nil"/>
            </w:tcBorders>
            <w:shd w:val="clear" w:color="000000" w:fill="FFFFFF"/>
            <w:noWrap/>
            <w:vAlign w:val="center"/>
            <w:hideMark/>
          </w:tcPr>
          <w:p w14:paraId="33C6CF7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080" w:type="dxa"/>
            <w:tcBorders>
              <w:top w:val="nil"/>
              <w:left w:val="nil"/>
              <w:bottom w:val="nil"/>
              <w:right w:val="nil"/>
            </w:tcBorders>
            <w:shd w:val="clear" w:color="000000" w:fill="FFFFFF"/>
            <w:noWrap/>
            <w:vAlign w:val="center"/>
            <w:hideMark/>
          </w:tcPr>
          <w:p w14:paraId="6D11D2B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320" w:type="dxa"/>
            <w:tcBorders>
              <w:top w:val="nil"/>
              <w:left w:val="nil"/>
              <w:bottom w:val="nil"/>
              <w:right w:val="nil"/>
            </w:tcBorders>
            <w:shd w:val="clear" w:color="000000" w:fill="FFFFFF"/>
            <w:noWrap/>
            <w:vAlign w:val="center"/>
            <w:hideMark/>
          </w:tcPr>
          <w:p w14:paraId="5FCD58B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D8E9770" w14:textId="77777777" w:rsidTr="00941CB8">
        <w:trPr>
          <w:trHeight w:val="624"/>
        </w:trPr>
        <w:tc>
          <w:tcPr>
            <w:tcW w:w="8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8E15C41"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700" w:type="dxa"/>
            <w:tcBorders>
              <w:top w:val="single" w:sz="4" w:space="0" w:color="000000"/>
              <w:left w:val="nil"/>
              <w:bottom w:val="single" w:sz="4" w:space="0" w:color="000000"/>
              <w:right w:val="single" w:sz="4" w:space="0" w:color="000000"/>
            </w:tcBorders>
            <w:shd w:val="clear" w:color="000000" w:fill="FFFFFF"/>
            <w:vAlign w:val="center"/>
            <w:hideMark/>
          </w:tcPr>
          <w:p w14:paraId="789D10A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Cashflow</w:t>
            </w:r>
          </w:p>
        </w:tc>
        <w:tc>
          <w:tcPr>
            <w:tcW w:w="2180" w:type="dxa"/>
            <w:tcBorders>
              <w:top w:val="single" w:sz="4" w:space="0" w:color="000000"/>
              <w:left w:val="nil"/>
              <w:bottom w:val="single" w:sz="4" w:space="0" w:color="000000"/>
              <w:right w:val="single" w:sz="4" w:space="0" w:color="000000"/>
            </w:tcBorders>
            <w:shd w:val="clear" w:color="000000" w:fill="FFFFFF"/>
            <w:vAlign w:val="center"/>
            <w:hideMark/>
          </w:tcPr>
          <w:p w14:paraId="3C943420"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2080" w:type="dxa"/>
            <w:tcBorders>
              <w:top w:val="single" w:sz="4" w:space="0" w:color="000000"/>
              <w:left w:val="nil"/>
              <w:bottom w:val="single" w:sz="4" w:space="0" w:color="000000"/>
              <w:right w:val="single" w:sz="4" w:space="0" w:color="000000"/>
            </w:tcBorders>
            <w:shd w:val="clear" w:color="000000" w:fill="FFFFFF"/>
            <w:vAlign w:val="center"/>
            <w:hideMark/>
          </w:tcPr>
          <w:p w14:paraId="1CA093A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320" w:type="dxa"/>
            <w:tcBorders>
              <w:top w:val="nil"/>
              <w:left w:val="nil"/>
              <w:bottom w:val="nil"/>
              <w:right w:val="nil"/>
            </w:tcBorders>
            <w:shd w:val="clear" w:color="000000" w:fill="FFFFFF"/>
            <w:noWrap/>
            <w:vAlign w:val="center"/>
            <w:hideMark/>
          </w:tcPr>
          <w:p w14:paraId="574D5A50"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B0304FA"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2547E7F"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700" w:type="dxa"/>
            <w:tcBorders>
              <w:top w:val="nil"/>
              <w:left w:val="nil"/>
              <w:bottom w:val="single" w:sz="4" w:space="0" w:color="000000"/>
              <w:right w:val="single" w:sz="4" w:space="0" w:color="000000"/>
            </w:tcBorders>
            <w:shd w:val="clear" w:color="000000" w:fill="FFFFFF"/>
            <w:noWrap/>
            <w:vAlign w:val="center"/>
            <w:hideMark/>
          </w:tcPr>
          <w:p w14:paraId="2E85D40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5F242786"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000000"/>
              <w:right w:val="single" w:sz="4" w:space="0" w:color="000000"/>
            </w:tcBorders>
            <w:shd w:val="clear" w:color="000000" w:fill="FFFFFF"/>
            <w:noWrap/>
            <w:vAlign w:val="center"/>
            <w:hideMark/>
          </w:tcPr>
          <w:p w14:paraId="090D19B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320" w:type="dxa"/>
            <w:tcBorders>
              <w:top w:val="nil"/>
              <w:left w:val="nil"/>
              <w:bottom w:val="nil"/>
              <w:right w:val="nil"/>
            </w:tcBorders>
            <w:shd w:val="clear" w:color="000000" w:fill="FFFFFF"/>
            <w:noWrap/>
            <w:vAlign w:val="center"/>
            <w:hideMark/>
          </w:tcPr>
          <w:p w14:paraId="56A1749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023BA76"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0DE293CF"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700" w:type="dxa"/>
            <w:tcBorders>
              <w:top w:val="nil"/>
              <w:left w:val="nil"/>
              <w:bottom w:val="single" w:sz="4" w:space="0" w:color="000000"/>
              <w:right w:val="single" w:sz="4" w:space="0" w:color="000000"/>
            </w:tcBorders>
            <w:shd w:val="clear" w:color="000000" w:fill="FFFFFF"/>
            <w:noWrap/>
            <w:vAlign w:val="center"/>
            <w:hideMark/>
          </w:tcPr>
          <w:p w14:paraId="484D2D6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53D309DA"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2080" w:type="dxa"/>
            <w:tcBorders>
              <w:top w:val="nil"/>
              <w:left w:val="nil"/>
              <w:bottom w:val="single" w:sz="4" w:space="0" w:color="000000"/>
              <w:right w:val="single" w:sz="4" w:space="0" w:color="000000"/>
            </w:tcBorders>
            <w:shd w:val="clear" w:color="000000" w:fill="FFFFFF"/>
            <w:noWrap/>
            <w:vAlign w:val="center"/>
            <w:hideMark/>
          </w:tcPr>
          <w:p w14:paraId="622DD6B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9.26 </w:t>
            </w:r>
          </w:p>
        </w:tc>
        <w:tc>
          <w:tcPr>
            <w:tcW w:w="2320" w:type="dxa"/>
            <w:tcBorders>
              <w:top w:val="nil"/>
              <w:left w:val="nil"/>
              <w:bottom w:val="nil"/>
              <w:right w:val="nil"/>
            </w:tcBorders>
            <w:shd w:val="clear" w:color="000000" w:fill="FFFFFF"/>
            <w:noWrap/>
            <w:vAlign w:val="center"/>
            <w:hideMark/>
          </w:tcPr>
          <w:p w14:paraId="1392571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F63F749"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25B5280C"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700" w:type="dxa"/>
            <w:tcBorders>
              <w:top w:val="nil"/>
              <w:left w:val="nil"/>
              <w:bottom w:val="single" w:sz="4" w:space="0" w:color="000000"/>
              <w:right w:val="single" w:sz="4" w:space="0" w:color="000000"/>
            </w:tcBorders>
            <w:shd w:val="clear" w:color="000000" w:fill="FFFFFF"/>
            <w:noWrap/>
            <w:vAlign w:val="center"/>
            <w:hideMark/>
          </w:tcPr>
          <w:p w14:paraId="31CE0C7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12.00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48C1A665"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2080" w:type="dxa"/>
            <w:tcBorders>
              <w:top w:val="nil"/>
              <w:left w:val="nil"/>
              <w:bottom w:val="single" w:sz="4" w:space="0" w:color="000000"/>
              <w:right w:val="single" w:sz="4" w:space="0" w:color="000000"/>
            </w:tcBorders>
            <w:shd w:val="clear" w:color="000000" w:fill="FFFFFF"/>
            <w:noWrap/>
            <w:vAlign w:val="center"/>
            <w:hideMark/>
          </w:tcPr>
          <w:p w14:paraId="4819571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10.29 </w:t>
            </w:r>
          </w:p>
        </w:tc>
        <w:tc>
          <w:tcPr>
            <w:tcW w:w="2320" w:type="dxa"/>
            <w:tcBorders>
              <w:top w:val="nil"/>
              <w:left w:val="nil"/>
              <w:bottom w:val="nil"/>
              <w:right w:val="nil"/>
            </w:tcBorders>
            <w:shd w:val="clear" w:color="000000" w:fill="FFFFFF"/>
            <w:noWrap/>
            <w:vAlign w:val="center"/>
            <w:hideMark/>
          </w:tcPr>
          <w:p w14:paraId="0F2FFF5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E608231"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9129251"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700" w:type="dxa"/>
            <w:tcBorders>
              <w:top w:val="nil"/>
              <w:left w:val="nil"/>
              <w:bottom w:val="single" w:sz="4" w:space="0" w:color="000000"/>
              <w:right w:val="single" w:sz="4" w:space="0" w:color="000000"/>
            </w:tcBorders>
            <w:shd w:val="clear" w:color="000000" w:fill="FFFFFF"/>
            <w:noWrap/>
            <w:vAlign w:val="center"/>
            <w:hideMark/>
          </w:tcPr>
          <w:p w14:paraId="588435B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14.00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630DBD44"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2080" w:type="dxa"/>
            <w:tcBorders>
              <w:top w:val="nil"/>
              <w:left w:val="nil"/>
              <w:bottom w:val="single" w:sz="4" w:space="0" w:color="000000"/>
              <w:right w:val="single" w:sz="4" w:space="0" w:color="000000"/>
            </w:tcBorders>
            <w:shd w:val="clear" w:color="000000" w:fill="FFFFFF"/>
            <w:noWrap/>
            <w:vAlign w:val="center"/>
            <w:hideMark/>
          </w:tcPr>
          <w:p w14:paraId="2122C95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11.11 </w:t>
            </w:r>
          </w:p>
        </w:tc>
        <w:tc>
          <w:tcPr>
            <w:tcW w:w="2320" w:type="dxa"/>
            <w:tcBorders>
              <w:top w:val="nil"/>
              <w:left w:val="nil"/>
              <w:bottom w:val="nil"/>
              <w:right w:val="nil"/>
            </w:tcBorders>
            <w:shd w:val="clear" w:color="000000" w:fill="FFFFFF"/>
            <w:noWrap/>
            <w:vAlign w:val="center"/>
            <w:hideMark/>
          </w:tcPr>
          <w:p w14:paraId="4E93278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174D94F"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576F8052"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700" w:type="dxa"/>
            <w:tcBorders>
              <w:top w:val="nil"/>
              <w:left w:val="nil"/>
              <w:bottom w:val="single" w:sz="4" w:space="0" w:color="000000"/>
              <w:right w:val="single" w:sz="4" w:space="0" w:color="000000"/>
            </w:tcBorders>
            <w:shd w:val="clear" w:color="000000" w:fill="FFFFFF"/>
            <w:noWrap/>
            <w:vAlign w:val="center"/>
            <w:hideMark/>
          </w:tcPr>
          <w:p w14:paraId="6B9AA0A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26112E56"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2080" w:type="dxa"/>
            <w:tcBorders>
              <w:top w:val="nil"/>
              <w:left w:val="nil"/>
              <w:bottom w:val="single" w:sz="4" w:space="0" w:color="000000"/>
              <w:right w:val="single" w:sz="4" w:space="0" w:color="000000"/>
            </w:tcBorders>
            <w:shd w:val="clear" w:color="000000" w:fill="FFFFFF"/>
            <w:noWrap/>
            <w:vAlign w:val="center"/>
            <w:hideMark/>
          </w:tcPr>
          <w:p w14:paraId="7C2B57C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7.35 </w:t>
            </w:r>
          </w:p>
        </w:tc>
        <w:tc>
          <w:tcPr>
            <w:tcW w:w="2320" w:type="dxa"/>
            <w:tcBorders>
              <w:top w:val="nil"/>
              <w:left w:val="nil"/>
              <w:bottom w:val="nil"/>
              <w:right w:val="nil"/>
            </w:tcBorders>
            <w:shd w:val="clear" w:color="000000" w:fill="FFFFFF"/>
            <w:noWrap/>
            <w:vAlign w:val="center"/>
            <w:hideMark/>
          </w:tcPr>
          <w:p w14:paraId="25D46D61"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DD79E89"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5AC198F1"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700" w:type="dxa"/>
            <w:tcBorders>
              <w:top w:val="nil"/>
              <w:left w:val="nil"/>
              <w:bottom w:val="single" w:sz="4" w:space="0" w:color="000000"/>
              <w:right w:val="single" w:sz="4" w:space="0" w:color="000000"/>
            </w:tcBorders>
            <w:shd w:val="clear" w:color="000000" w:fill="FFFFFF"/>
            <w:noWrap/>
            <w:vAlign w:val="center"/>
            <w:hideMark/>
          </w:tcPr>
          <w:p w14:paraId="50154F4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8.00 </w:t>
            </w:r>
          </w:p>
        </w:tc>
        <w:tc>
          <w:tcPr>
            <w:tcW w:w="2180" w:type="dxa"/>
            <w:tcBorders>
              <w:top w:val="nil"/>
              <w:left w:val="nil"/>
              <w:bottom w:val="single" w:sz="4" w:space="0" w:color="000000"/>
              <w:right w:val="single" w:sz="4" w:space="0" w:color="000000"/>
            </w:tcBorders>
            <w:shd w:val="clear" w:color="000000" w:fill="FFFFFF"/>
            <w:noWrap/>
            <w:vAlign w:val="center"/>
            <w:hideMark/>
          </w:tcPr>
          <w:p w14:paraId="5C9069E8"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2080" w:type="dxa"/>
            <w:tcBorders>
              <w:top w:val="nil"/>
              <w:left w:val="nil"/>
              <w:bottom w:val="single" w:sz="4" w:space="0" w:color="000000"/>
              <w:right w:val="single" w:sz="4" w:space="0" w:color="000000"/>
            </w:tcBorders>
            <w:shd w:val="clear" w:color="000000" w:fill="FFFFFF"/>
            <w:noWrap/>
            <w:vAlign w:val="center"/>
            <w:hideMark/>
          </w:tcPr>
          <w:p w14:paraId="2B3BCBD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5.44 </w:t>
            </w:r>
          </w:p>
        </w:tc>
        <w:tc>
          <w:tcPr>
            <w:tcW w:w="2320" w:type="dxa"/>
            <w:tcBorders>
              <w:top w:val="nil"/>
              <w:left w:val="nil"/>
              <w:bottom w:val="nil"/>
              <w:right w:val="nil"/>
            </w:tcBorders>
            <w:shd w:val="clear" w:color="000000" w:fill="FFFFFF"/>
            <w:noWrap/>
            <w:vAlign w:val="center"/>
            <w:hideMark/>
          </w:tcPr>
          <w:p w14:paraId="3006BEE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BB45831" w14:textId="77777777" w:rsidTr="00941CB8">
        <w:trPr>
          <w:trHeight w:val="312"/>
        </w:trPr>
        <w:tc>
          <w:tcPr>
            <w:tcW w:w="4720" w:type="dxa"/>
            <w:gridSpan w:val="3"/>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3E99AB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"Internal Rate of Return (IRR) of Project A"</w:t>
            </w:r>
          </w:p>
        </w:tc>
        <w:tc>
          <w:tcPr>
            <w:tcW w:w="2080" w:type="dxa"/>
            <w:tcBorders>
              <w:top w:val="nil"/>
              <w:left w:val="nil"/>
              <w:bottom w:val="single" w:sz="4" w:space="0" w:color="000000"/>
              <w:right w:val="single" w:sz="4" w:space="0" w:color="000000"/>
            </w:tcBorders>
            <w:shd w:val="clear" w:color="000000" w:fill="FFFFFF"/>
            <w:vAlign w:val="center"/>
            <w:hideMark/>
          </w:tcPr>
          <w:p w14:paraId="53E1AACF"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2.72%</w:t>
            </w:r>
          </w:p>
        </w:tc>
        <w:tc>
          <w:tcPr>
            <w:tcW w:w="2320" w:type="dxa"/>
            <w:tcBorders>
              <w:top w:val="nil"/>
              <w:left w:val="nil"/>
              <w:bottom w:val="nil"/>
              <w:right w:val="nil"/>
            </w:tcBorders>
            <w:shd w:val="clear" w:color="000000" w:fill="FFFFFF"/>
            <w:noWrap/>
            <w:vAlign w:val="center"/>
            <w:hideMark/>
          </w:tcPr>
          <w:p w14:paraId="1362ADD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331FB14" w14:textId="77777777" w:rsidTr="00941CB8">
        <w:trPr>
          <w:trHeight w:val="300"/>
        </w:trPr>
        <w:tc>
          <w:tcPr>
            <w:tcW w:w="840" w:type="dxa"/>
            <w:tcBorders>
              <w:top w:val="nil"/>
              <w:left w:val="nil"/>
              <w:bottom w:val="nil"/>
              <w:right w:val="nil"/>
            </w:tcBorders>
            <w:shd w:val="clear" w:color="000000" w:fill="FFFFFF"/>
            <w:noWrap/>
            <w:vAlign w:val="center"/>
            <w:hideMark/>
          </w:tcPr>
          <w:p w14:paraId="60A81B0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700" w:type="dxa"/>
            <w:tcBorders>
              <w:top w:val="nil"/>
              <w:left w:val="nil"/>
              <w:bottom w:val="nil"/>
              <w:right w:val="nil"/>
            </w:tcBorders>
            <w:shd w:val="clear" w:color="000000" w:fill="FFFFFF"/>
            <w:noWrap/>
            <w:vAlign w:val="center"/>
            <w:hideMark/>
          </w:tcPr>
          <w:p w14:paraId="2C21C37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80" w:type="dxa"/>
            <w:tcBorders>
              <w:top w:val="nil"/>
              <w:left w:val="nil"/>
              <w:bottom w:val="nil"/>
              <w:right w:val="nil"/>
            </w:tcBorders>
            <w:shd w:val="clear" w:color="000000" w:fill="FFFFFF"/>
            <w:noWrap/>
            <w:vAlign w:val="center"/>
            <w:hideMark/>
          </w:tcPr>
          <w:p w14:paraId="2654A9F6"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080" w:type="dxa"/>
            <w:tcBorders>
              <w:top w:val="nil"/>
              <w:left w:val="nil"/>
              <w:bottom w:val="nil"/>
              <w:right w:val="nil"/>
            </w:tcBorders>
            <w:shd w:val="clear" w:color="000000" w:fill="FFFFFF"/>
            <w:noWrap/>
            <w:vAlign w:val="center"/>
            <w:hideMark/>
          </w:tcPr>
          <w:p w14:paraId="19091444"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320" w:type="dxa"/>
            <w:tcBorders>
              <w:top w:val="nil"/>
              <w:left w:val="nil"/>
              <w:bottom w:val="nil"/>
              <w:right w:val="nil"/>
            </w:tcBorders>
            <w:shd w:val="clear" w:color="000000" w:fill="FFFFFF"/>
            <w:noWrap/>
            <w:vAlign w:val="center"/>
            <w:hideMark/>
          </w:tcPr>
          <w:p w14:paraId="0C5B3CA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F881355" w14:textId="77777777" w:rsidTr="00941CB8">
        <w:trPr>
          <w:trHeight w:val="300"/>
        </w:trPr>
        <w:tc>
          <w:tcPr>
            <w:tcW w:w="840" w:type="dxa"/>
            <w:tcBorders>
              <w:top w:val="nil"/>
              <w:left w:val="nil"/>
              <w:bottom w:val="nil"/>
              <w:right w:val="nil"/>
            </w:tcBorders>
            <w:shd w:val="clear" w:color="000000" w:fill="FFFFFF"/>
            <w:noWrap/>
            <w:vAlign w:val="center"/>
            <w:hideMark/>
          </w:tcPr>
          <w:p w14:paraId="4F79FB24"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700" w:type="dxa"/>
            <w:tcBorders>
              <w:top w:val="nil"/>
              <w:left w:val="nil"/>
              <w:bottom w:val="nil"/>
              <w:right w:val="nil"/>
            </w:tcBorders>
            <w:shd w:val="clear" w:color="000000" w:fill="FFFFFF"/>
            <w:noWrap/>
            <w:vAlign w:val="center"/>
            <w:hideMark/>
          </w:tcPr>
          <w:p w14:paraId="15A47BD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80" w:type="dxa"/>
            <w:tcBorders>
              <w:top w:val="nil"/>
              <w:left w:val="nil"/>
              <w:bottom w:val="nil"/>
              <w:right w:val="nil"/>
            </w:tcBorders>
            <w:shd w:val="clear" w:color="000000" w:fill="FFFFFF"/>
            <w:noWrap/>
            <w:vAlign w:val="center"/>
            <w:hideMark/>
          </w:tcPr>
          <w:p w14:paraId="623049F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080" w:type="dxa"/>
            <w:tcBorders>
              <w:top w:val="nil"/>
              <w:left w:val="nil"/>
              <w:bottom w:val="nil"/>
              <w:right w:val="nil"/>
            </w:tcBorders>
            <w:shd w:val="clear" w:color="000000" w:fill="FFFFFF"/>
            <w:noWrap/>
            <w:vAlign w:val="center"/>
            <w:hideMark/>
          </w:tcPr>
          <w:p w14:paraId="7193490C"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320" w:type="dxa"/>
            <w:tcBorders>
              <w:top w:val="nil"/>
              <w:left w:val="nil"/>
              <w:bottom w:val="nil"/>
              <w:right w:val="nil"/>
            </w:tcBorders>
            <w:shd w:val="clear" w:color="000000" w:fill="FFFFFF"/>
            <w:noWrap/>
            <w:vAlign w:val="center"/>
            <w:hideMark/>
          </w:tcPr>
          <w:p w14:paraId="3A663EE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0AC4B6A" w14:textId="77777777" w:rsidTr="00941CB8">
        <w:trPr>
          <w:trHeight w:val="312"/>
        </w:trPr>
        <w:tc>
          <w:tcPr>
            <w:tcW w:w="840"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225AA7E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700" w:type="dxa"/>
            <w:tcBorders>
              <w:top w:val="single" w:sz="4" w:space="0" w:color="auto"/>
              <w:left w:val="nil"/>
              <w:bottom w:val="single" w:sz="4" w:space="0" w:color="auto"/>
              <w:right w:val="single" w:sz="4" w:space="0" w:color="auto"/>
            </w:tcBorders>
            <w:shd w:val="clear" w:color="000000" w:fill="FFFFFF"/>
            <w:vAlign w:val="center"/>
            <w:hideMark/>
          </w:tcPr>
          <w:p w14:paraId="0AE824DC"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180" w:type="dxa"/>
            <w:tcBorders>
              <w:top w:val="single" w:sz="4" w:space="0" w:color="auto"/>
              <w:left w:val="nil"/>
              <w:bottom w:val="single" w:sz="4" w:space="0" w:color="auto"/>
              <w:right w:val="single" w:sz="4" w:space="0" w:color="auto"/>
            </w:tcBorders>
            <w:shd w:val="clear" w:color="000000" w:fill="FFFFFF"/>
            <w:vAlign w:val="center"/>
            <w:hideMark/>
          </w:tcPr>
          <w:p w14:paraId="06DABA8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 xml:space="preserve">"Depreciation" </w:t>
            </w:r>
          </w:p>
        </w:tc>
        <w:tc>
          <w:tcPr>
            <w:tcW w:w="2080" w:type="dxa"/>
            <w:tcBorders>
              <w:top w:val="single" w:sz="4" w:space="0" w:color="auto"/>
              <w:left w:val="nil"/>
              <w:bottom w:val="single" w:sz="4" w:space="0" w:color="auto"/>
              <w:right w:val="single" w:sz="4" w:space="0" w:color="auto"/>
            </w:tcBorders>
            <w:shd w:val="clear" w:color="000000" w:fill="FFFFFF"/>
            <w:vAlign w:val="center"/>
            <w:hideMark/>
          </w:tcPr>
          <w:p w14:paraId="1032A62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320" w:type="dxa"/>
            <w:tcBorders>
              <w:top w:val="nil"/>
              <w:left w:val="nil"/>
              <w:bottom w:val="nil"/>
              <w:right w:val="nil"/>
            </w:tcBorders>
            <w:shd w:val="clear" w:color="000000" w:fill="FFFFFF"/>
            <w:noWrap/>
            <w:vAlign w:val="center"/>
            <w:hideMark/>
          </w:tcPr>
          <w:p w14:paraId="021C3F1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ACE1EC1"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3CD5EBFD"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700" w:type="dxa"/>
            <w:tcBorders>
              <w:top w:val="nil"/>
              <w:left w:val="nil"/>
              <w:bottom w:val="single" w:sz="4" w:space="0" w:color="auto"/>
              <w:right w:val="single" w:sz="4" w:space="0" w:color="auto"/>
            </w:tcBorders>
            <w:shd w:val="clear" w:color="000000" w:fill="FFFFFF"/>
            <w:noWrap/>
            <w:vAlign w:val="center"/>
            <w:hideMark/>
          </w:tcPr>
          <w:p w14:paraId="75CB2884"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180" w:type="dxa"/>
            <w:tcBorders>
              <w:top w:val="nil"/>
              <w:left w:val="nil"/>
              <w:bottom w:val="single" w:sz="4" w:space="0" w:color="auto"/>
              <w:right w:val="single" w:sz="4" w:space="0" w:color="auto"/>
            </w:tcBorders>
            <w:shd w:val="clear" w:color="000000" w:fill="FFFFFF"/>
            <w:noWrap/>
            <w:vAlign w:val="center"/>
            <w:hideMark/>
          </w:tcPr>
          <w:p w14:paraId="0DDE4778" w14:textId="77777777" w:rsidR="00941CB8" w:rsidRPr="00F61D2F" w:rsidRDefault="00941CB8" w:rsidP="00941CB8">
            <w:pPr>
              <w:spacing w:before="0" w:after="0" w:line="240" w:lineRule="auto"/>
              <w:jc w:val="center"/>
              <w:rPr>
                <w:color w:val="000000"/>
                <w:lang w:val="en-IN"/>
              </w:rPr>
            </w:pPr>
            <w:r w:rsidRPr="00F61D2F">
              <w:rPr>
                <w:color w:val="000000"/>
                <w:lang w:val="en-IN"/>
              </w:rPr>
              <w:t>0.00</w:t>
            </w:r>
          </w:p>
        </w:tc>
        <w:tc>
          <w:tcPr>
            <w:tcW w:w="2080" w:type="dxa"/>
            <w:tcBorders>
              <w:top w:val="nil"/>
              <w:left w:val="nil"/>
              <w:bottom w:val="single" w:sz="4" w:space="0" w:color="auto"/>
              <w:right w:val="single" w:sz="4" w:space="0" w:color="auto"/>
            </w:tcBorders>
            <w:shd w:val="clear" w:color="000000" w:fill="FFFFFF"/>
            <w:noWrap/>
            <w:vAlign w:val="center"/>
            <w:hideMark/>
          </w:tcPr>
          <w:p w14:paraId="23686F4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320" w:type="dxa"/>
            <w:tcBorders>
              <w:top w:val="nil"/>
              <w:left w:val="nil"/>
              <w:bottom w:val="nil"/>
              <w:right w:val="nil"/>
            </w:tcBorders>
            <w:shd w:val="clear" w:color="000000" w:fill="FFFFFF"/>
            <w:noWrap/>
            <w:vAlign w:val="center"/>
            <w:hideMark/>
          </w:tcPr>
          <w:p w14:paraId="7881E8D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C25B9C4"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407E90D4"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700" w:type="dxa"/>
            <w:tcBorders>
              <w:top w:val="nil"/>
              <w:left w:val="nil"/>
              <w:bottom w:val="single" w:sz="4" w:space="0" w:color="auto"/>
              <w:right w:val="single" w:sz="4" w:space="0" w:color="auto"/>
            </w:tcBorders>
            <w:shd w:val="clear" w:color="000000" w:fill="FFFFFF"/>
            <w:noWrap/>
            <w:vAlign w:val="center"/>
            <w:hideMark/>
          </w:tcPr>
          <w:p w14:paraId="5286F02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auto"/>
              <w:right w:val="single" w:sz="4" w:space="0" w:color="auto"/>
            </w:tcBorders>
            <w:shd w:val="clear" w:color="000000" w:fill="FFFFFF"/>
            <w:noWrap/>
            <w:vAlign w:val="center"/>
            <w:hideMark/>
          </w:tcPr>
          <w:p w14:paraId="1DB6F709"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auto"/>
              <w:right w:val="single" w:sz="4" w:space="0" w:color="auto"/>
            </w:tcBorders>
            <w:shd w:val="clear" w:color="000000" w:fill="FFFFFF"/>
            <w:noWrap/>
            <w:vAlign w:val="center"/>
            <w:hideMark/>
          </w:tcPr>
          <w:p w14:paraId="0F2FCDF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   </w:t>
            </w:r>
          </w:p>
        </w:tc>
        <w:tc>
          <w:tcPr>
            <w:tcW w:w="2320" w:type="dxa"/>
            <w:tcBorders>
              <w:top w:val="nil"/>
              <w:left w:val="nil"/>
              <w:bottom w:val="nil"/>
              <w:right w:val="nil"/>
            </w:tcBorders>
            <w:shd w:val="clear" w:color="000000" w:fill="FFFFFF"/>
            <w:noWrap/>
            <w:vAlign w:val="center"/>
            <w:hideMark/>
          </w:tcPr>
          <w:p w14:paraId="37FD515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4260CC4"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1E545B2A"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700" w:type="dxa"/>
            <w:tcBorders>
              <w:top w:val="nil"/>
              <w:left w:val="nil"/>
              <w:bottom w:val="single" w:sz="4" w:space="0" w:color="auto"/>
              <w:right w:val="single" w:sz="4" w:space="0" w:color="auto"/>
            </w:tcBorders>
            <w:shd w:val="clear" w:color="000000" w:fill="FFFFFF"/>
            <w:noWrap/>
            <w:vAlign w:val="center"/>
            <w:hideMark/>
          </w:tcPr>
          <w:p w14:paraId="253A0E4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12.00 </w:t>
            </w:r>
          </w:p>
        </w:tc>
        <w:tc>
          <w:tcPr>
            <w:tcW w:w="2180" w:type="dxa"/>
            <w:tcBorders>
              <w:top w:val="nil"/>
              <w:left w:val="nil"/>
              <w:bottom w:val="single" w:sz="4" w:space="0" w:color="auto"/>
              <w:right w:val="single" w:sz="4" w:space="0" w:color="auto"/>
            </w:tcBorders>
            <w:shd w:val="clear" w:color="000000" w:fill="FFFFFF"/>
            <w:noWrap/>
            <w:vAlign w:val="center"/>
            <w:hideMark/>
          </w:tcPr>
          <w:p w14:paraId="3F41D610"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auto"/>
              <w:right w:val="single" w:sz="4" w:space="0" w:color="auto"/>
            </w:tcBorders>
            <w:shd w:val="clear" w:color="000000" w:fill="FFFFFF"/>
            <w:noWrap/>
            <w:vAlign w:val="center"/>
            <w:hideMark/>
          </w:tcPr>
          <w:p w14:paraId="5BBE06B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2.00 </w:t>
            </w:r>
          </w:p>
        </w:tc>
        <w:tc>
          <w:tcPr>
            <w:tcW w:w="2320" w:type="dxa"/>
            <w:tcBorders>
              <w:top w:val="nil"/>
              <w:left w:val="nil"/>
              <w:bottom w:val="nil"/>
              <w:right w:val="nil"/>
            </w:tcBorders>
            <w:shd w:val="clear" w:color="000000" w:fill="FFFFFF"/>
            <w:noWrap/>
            <w:vAlign w:val="center"/>
            <w:hideMark/>
          </w:tcPr>
          <w:p w14:paraId="241491B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8F4CC6D"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02C49067"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700" w:type="dxa"/>
            <w:tcBorders>
              <w:top w:val="nil"/>
              <w:left w:val="nil"/>
              <w:bottom w:val="single" w:sz="4" w:space="0" w:color="auto"/>
              <w:right w:val="single" w:sz="4" w:space="0" w:color="auto"/>
            </w:tcBorders>
            <w:shd w:val="clear" w:color="000000" w:fill="FFFFFF"/>
            <w:noWrap/>
            <w:vAlign w:val="center"/>
            <w:hideMark/>
          </w:tcPr>
          <w:p w14:paraId="49E460B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14.00 </w:t>
            </w:r>
          </w:p>
        </w:tc>
        <w:tc>
          <w:tcPr>
            <w:tcW w:w="2180" w:type="dxa"/>
            <w:tcBorders>
              <w:top w:val="nil"/>
              <w:left w:val="nil"/>
              <w:bottom w:val="single" w:sz="4" w:space="0" w:color="auto"/>
              <w:right w:val="single" w:sz="4" w:space="0" w:color="auto"/>
            </w:tcBorders>
            <w:shd w:val="clear" w:color="000000" w:fill="FFFFFF"/>
            <w:noWrap/>
            <w:vAlign w:val="center"/>
            <w:hideMark/>
          </w:tcPr>
          <w:p w14:paraId="595E0C4A"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auto"/>
              <w:right w:val="single" w:sz="4" w:space="0" w:color="auto"/>
            </w:tcBorders>
            <w:shd w:val="clear" w:color="000000" w:fill="FFFFFF"/>
            <w:noWrap/>
            <w:vAlign w:val="center"/>
            <w:hideMark/>
          </w:tcPr>
          <w:p w14:paraId="080A674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4.00 </w:t>
            </w:r>
          </w:p>
        </w:tc>
        <w:tc>
          <w:tcPr>
            <w:tcW w:w="2320" w:type="dxa"/>
            <w:tcBorders>
              <w:top w:val="nil"/>
              <w:left w:val="nil"/>
              <w:bottom w:val="nil"/>
              <w:right w:val="nil"/>
            </w:tcBorders>
            <w:shd w:val="clear" w:color="000000" w:fill="FFFFFF"/>
            <w:noWrap/>
            <w:vAlign w:val="center"/>
            <w:hideMark/>
          </w:tcPr>
          <w:p w14:paraId="1227B91A"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F78DDA3"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02532AFF"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700" w:type="dxa"/>
            <w:tcBorders>
              <w:top w:val="nil"/>
              <w:left w:val="nil"/>
              <w:bottom w:val="single" w:sz="4" w:space="0" w:color="auto"/>
              <w:right w:val="single" w:sz="4" w:space="0" w:color="auto"/>
            </w:tcBorders>
            <w:shd w:val="clear" w:color="000000" w:fill="FFFFFF"/>
            <w:noWrap/>
            <w:vAlign w:val="center"/>
            <w:hideMark/>
          </w:tcPr>
          <w:p w14:paraId="4BA5315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180" w:type="dxa"/>
            <w:tcBorders>
              <w:top w:val="nil"/>
              <w:left w:val="nil"/>
              <w:bottom w:val="single" w:sz="4" w:space="0" w:color="auto"/>
              <w:right w:val="single" w:sz="4" w:space="0" w:color="auto"/>
            </w:tcBorders>
            <w:shd w:val="clear" w:color="000000" w:fill="FFFFFF"/>
            <w:noWrap/>
            <w:vAlign w:val="center"/>
            <w:hideMark/>
          </w:tcPr>
          <w:p w14:paraId="1B635D29"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auto"/>
              <w:right w:val="single" w:sz="4" w:space="0" w:color="auto"/>
            </w:tcBorders>
            <w:shd w:val="clear" w:color="000000" w:fill="FFFFFF"/>
            <w:noWrap/>
            <w:vAlign w:val="center"/>
            <w:hideMark/>
          </w:tcPr>
          <w:p w14:paraId="4DF9A3F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   </w:t>
            </w:r>
          </w:p>
        </w:tc>
        <w:tc>
          <w:tcPr>
            <w:tcW w:w="2320" w:type="dxa"/>
            <w:tcBorders>
              <w:top w:val="nil"/>
              <w:left w:val="nil"/>
              <w:bottom w:val="nil"/>
              <w:right w:val="nil"/>
            </w:tcBorders>
            <w:shd w:val="clear" w:color="000000" w:fill="FFFFFF"/>
            <w:noWrap/>
            <w:vAlign w:val="center"/>
            <w:hideMark/>
          </w:tcPr>
          <w:p w14:paraId="7D1526A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7EBD42C"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4ADB918D"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700" w:type="dxa"/>
            <w:tcBorders>
              <w:top w:val="nil"/>
              <w:left w:val="nil"/>
              <w:bottom w:val="single" w:sz="4" w:space="0" w:color="auto"/>
              <w:right w:val="single" w:sz="4" w:space="0" w:color="auto"/>
            </w:tcBorders>
            <w:shd w:val="clear" w:color="000000" w:fill="FFFFFF"/>
            <w:noWrap/>
            <w:vAlign w:val="center"/>
            <w:hideMark/>
          </w:tcPr>
          <w:p w14:paraId="646BB82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8.00 </w:t>
            </w:r>
          </w:p>
        </w:tc>
        <w:tc>
          <w:tcPr>
            <w:tcW w:w="2180" w:type="dxa"/>
            <w:tcBorders>
              <w:top w:val="nil"/>
              <w:left w:val="nil"/>
              <w:bottom w:val="single" w:sz="4" w:space="0" w:color="auto"/>
              <w:right w:val="single" w:sz="4" w:space="0" w:color="auto"/>
            </w:tcBorders>
            <w:shd w:val="clear" w:color="000000" w:fill="FFFFFF"/>
            <w:noWrap/>
            <w:vAlign w:val="center"/>
            <w:hideMark/>
          </w:tcPr>
          <w:p w14:paraId="138543AF"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2080" w:type="dxa"/>
            <w:tcBorders>
              <w:top w:val="nil"/>
              <w:left w:val="nil"/>
              <w:bottom w:val="single" w:sz="4" w:space="0" w:color="auto"/>
              <w:right w:val="single" w:sz="4" w:space="0" w:color="auto"/>
            </w:tcBorders>
            <w:shd w:val="clear" w:color="000000" w:fill="FFFFFF"/>
            <w:noWrap/>
            <w:vAlign w:val="center"/>
            <w:hideMark/>
          </w:tcPr>
          <w:p w14:paraId="7A823FE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2.00 </w:t>
            </w:r>
          </w:p>
        </w:tc>
        <w:tc>
          <w:tcPr>
            <w:tcW w:w="2320" w:type="dxa"/>
            <w:tcBorders>
              <w:top w:val="nil"/>
              <w:left w:val="nil"/>
              <w:bottom w:val="nil"/>
              <w:right w:val="nil"/>
            </w:tcBorders>
            <w:shd w:val="clear" w:color="000000" w:fill="FFFFFF"/>
            <w:noWrap/>
            <w:vAlign w:val="center"/>
            <w:hideMark/>
          </w:tcPr>
          <w:p w14:paraId="71DB5F81"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914DC55" w14:textId="77777777" w:rsidTr="00941CB8">
        <w:trPr>
          <w:trHeight w:val="312"/>
        </w:trPr>
        <w:tc>
          <w:tcPr>
            <w:tcW w:w="4720" w:type="dxa"/>
            <w:gridSpan w:val="3"/>
            <w:tcBorders>
              <w:top w:val="single" w:sz="4" w:space="0" w:color="auto"/>
              <w:left w:val="single" w:sz="4" w:space="0" w:color="auto"/>
              <w:bottom w:val="single" w:sz="4" w:space="0" w:color="auto"/>
              <w:right w:val="single" w:sz="4" w:space="0" w:color="000000"/>
            </w:tcBorders>
            <w:shd w:val="clear" w:color="000000" w:fill="FFFFFF"/>
            <w:vAlign w:val="center"/>
            <w:hideMark/>
          </w:tcPr>
          <w:p w14:paraId="7D375CA5"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 xml:space="preserve">"Accounting Rate of Return (ARR) of Project A" </w:t>
            </w:r>
          </w:p>
        </w:tc>
        <w:tc>
          <w:tcPr>
            <w:tcW w:w="2080" w:type="dxa"/>
            <w:tcBorders>
              <w:top w:val="nil"/>
              <w:left w:val="nil"/>
              <w:bottom w:val="single" w:sz="4" w:space="0" w:color="auto"/>
              <w:right w:val="single" w:sz="4" w:space="0" w:color="auto"/>
            </w:tcBorders>
            <w:shd w:val="clear" w:color="000000" w:fill="FFFFFF"/>
            <w:vAlign w:val="center"/>
            <w:hideMark/>
          </w:tcPr>
          <w:p w14:paraId="4FEA1CC7"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1.60%</w:t>
            </w:r>
          </w:p>
        </w:tc>
        <w:tc>
          <w:tcPr>
            <w:tcW w:w="2320" w:type="dxa"/>
            <w:tcBorders>
              <w:top w:val="nil"/>
              <w:left w:val="nil"/>
              <w:bottom w:val="nil"/>
              <w:right w:val="nil"/>
            </w:tcBorders>
            <w:shd w:val="clear" w:color="000000" w:fill="FFFFFF"/>
            <w:noWrap/>
            <w:vAlign w:val="center"/>
            <w:hideMark/>
          </w:tcPr>
          <w:p w14:paraId="635EDB6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bl>
    <w:p w14:paraId="05B8D2F1" w14:textId="77777777" w:rsidR="00AD2731" w:rsidRPr="00F61D2F" w:rsidRDefault="00AD2731"/>
    <w:tbl>
      <w:tblPr>
        <w:tblW w:w="9620" w:type="dxa"/>
        <w:tblLook w:val="04A0" w:firstRow="1" w:lastRow="0" w:firstColumn="1" w:lastColumn="0" w:noHBand="0" w:noVBand="1"/>
      </w:tblPr>
      <w:tblGrid>
        <w:gridCol w:w="989"/>
        <w:gridCol w:w="2100"/>
        <w:gridCol w:w="2520"/>
        <w:gridCol w:w="1820"/>
        <w:gridCol w:w="2220"/>
      </w:tblGrid>
      <w:tr w:rsidR="00941CB8" w:rsidRPr="00F61D2F" w14:paraId="0A7A9D2F" w14:textId="77777777" w:rsidTr="00941CB8">
        <w:trPr>
          <w:trHeight w:val="624"/>
        </w:trPr>
        <w:tc>
          <w:tcPr>
            <w:tcW w:w="96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022FB3F"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2100" w:type="dxa"/>
            <w:tcBorders>
              <w:top w:val="single" w:sz="4" w:space="0" w:color="000000"/>
              <w:left w:val="nil"/>
              <w:bottom w:val="single" w:sz="4" w:space="0" w:color="000000"/>
              <w:right w:val="single" w:sz="4" w:space="0" w:color="000000"/>
            </w:tcBorders>
            <w:shd w:val="clear" w:color="000000" w:fill="FFFFFF"/>
            <w:vAlign w:val="center"/>
            <w:hideMark/>
          </w:tcPr>
          <w:p w14:paraId="590D48B9"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520" w:type="dxa"/>
            <w:tcBorders>
              <w:top w:val="single" w:sz="4" w:space="0" w:color="000000"/>
              <w:left w:val="nil"/>
              <w:bottom w:val="single" w:sz="4" w:space="0" w:color="000000"/>
              <w:right w:val="single" w:sz="4" w:space="0" w:color="000000"/>
            </w:tcBorders>
            <w:shd w:val="clear" w:color="000000" w:fill="FFFFFF"/>
            <w:vAlign w:val="center"/>
            <w:hideMark/>
          </w:tcPr>
          <w:p w14:paraId="6DABBAD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1820" w:type="dxa"/>
            <w:tcBorders>
              <w:top w:val="single" w:sz="4" w:space="0" w:color="000000"/>
              <w:left w:val="nil"/>
              <w:bottom w:val="single" w:sz="4" w:space="0" w:color="000000"/>
              <w:right w:val="single" w:sz="4" w:space="0" w:color="000000"/>
            </w:tcBorders>
            <w:shd w:val="clear" w:color="000000" w:fill="FFFFFF"/>
            <w:vAlign w:val="center"/>
            <w:hideMark/>
          </w:tcPr>
          <w:p w14:paraId="702AFBC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220" w:type="dxa"/>
            <w:tcBorders>
              <w:top w:val="nil"/>
              <w:left w:val="nil"/>
              <w:bottom w:val="nil"/>
              <w:right w:val="nil"/>
            </w:tcBorders>
            <w:shd w:val="clear" w:color="000000" w:fill="FFFFFF"/>
            <w:noWrap/>
            <w:vAlign w:val="center"/>
            <w:hideMark/>
          </w:tcPr>
          <w:p w14:paraId="3C0AEED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0C92A5E"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1CECC215"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2100" w:type="dxa"/>
            <w:tcBorders>
              <w:top w:val="nil"/>
              <w:left w:val="nil"/>
              <w:bottom w:val="single" w:sz="4" w:space="0" w:color="000000"/>
              <w:right w:val="single" w:sz="4" w:space="0" w:color="000000"/>
            </w:tcBorders>
            <w:shd w:val="clear" w:color="000000" w:fill="FFFFFF"/>
            <w:noWrap/>
            <w:vAlign w:val="center"/>
            <w:hideMark/>
          </w:tcPr>
          <w:p w14:paraId="41DE675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0C2F2191"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000000"/>
              <w:right w:val="single" w:sz="4" w:space="0" w:color="000000"/>
            </w:tcBorders>
            <w:shd w:val="clear" w:color="000000" w:fill="FFFFFF"/>
            <w:noWrap/>
            <w:vAlign w:val="center"/>
            <w:hideMark/>
          </w:tcPr>
          <w:p w14:paraId="07276A8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220" w:type="dxa"/>
            <w:tcBorders>
              <w:top w:val="nil"/>
              <w:left w:val="nil"/>
              <w:bottom w:val="nil"/>
              <w:right w:val="nil"/>
            </w:tcBorders>
            <w:shd w:val="clear" w:color="000000" w:fill="FFFFFF"/>
            <w:noWrap/>
            <w:vAlign w:val="center"/>
            <w:hideMark/>
          </w:tcPr>
          <w:p w14:paraId="0E2F89E1"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6E5E191"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506B49BD"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2100" w:type="dxa"/>
            <w:tcBorders>
              <w:top w:val="nil"/>
              <w:left w:val="nil"/>
              <w:bottom w:val="single" w:sz="4" w:space="0" w:color="000000"/>
              <w:right w:val="single" w:sz="4" w:space="0" w:color="000000"/>
            </w:tcBorders>
            <w:shd w:val="clear" w:color="000000" w:fill="FFFFFF"/>
            <w:noWrap/>
            <w:vAlign w:val="center"/>
            <w:hideMark/>
          </w:tcPr>
          <w:p w14:paraId="3EF8BF9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67DAB4DB"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1820" w:type="dxa"/>
            <w:tcBorders>
              <w:top w:val="nil"/>
              <w:left w:val="nil"/>
              <w:bottom w:val="single" w:sz="4" w:space="0" w:color="000000"/>
              <w:right w:val="single" w:sz="4" w:space="0" w:color="000000"/>
            </w:tcBorders>
            <w:shd w:val="clear" w:color="000000" w:fill="FFFFFF"/>
            <w:noWrap/>
            <w:vAlign w:val="center"/>
            <w:hideMark/>
          </w:tcPr>
          <w:p w14:paraId="4C592DD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10.19 </w:t>
            </w:r>
          </w:p>
        </w:tc>
        <w:tc>
          <w:tcPr>
            <w:tcW w:w="2220" w:type="dxa"/>
            <w:tcBorders>
              <w:top w:val="nil"/>
              <w:left w:val="nil"/>
              <w:bottom w:val="nil"/>
              <w:right w:val="nil"/>
            </w:tcBorders>
            <w:shd w:val="clear" w:color="000000" w:fill="FFFFFF"/>
            <w:noWrap/>
            <w:vAlign w:val="center"/>
            <w:hideMark/>
          </w:tcPr>
          <w:p w14:paraId="143F993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ED5F5A3"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1C0B6AEB"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2100" w:type="dxa"/>
            <w:tcBorders>
              <w:top w:val="nil"/>
              <w:left w:val="nil"/>
              <w:bottom w:val="single" w:sz="4" w:space="0" w:color="000000"/>
              <w:right w:val="single" w:sz="4" w:space="0" w:color="000000"/>
            </w:tcBorders>
            <w:shd w:val="clear" w:color="000000" w:fill="FFFFFF"/>
            <w:noWrap/>
            <w:vAlign w:val="center"/>
            <w:hideMark/>
          </w:tcPr>
          <w:p w14:paraId="7D117AC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22A03A74"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1820" w:type="dxa"/>
            <w:tcBorders>
              <w:top w:val="nil"/>
              <w:left w:val="nil"/>
              <w:bottom w:val="single" w:sz="4" w:space="0" w:color="000000"/>
              <w:right w:val="single" w:sz="4" w:space="0" w:color="000000"/>
            </w:tcBorders>
            <w:shd w:val="clear" w:color="000000" w:fill="FFFFFF"/>
            <w:noWrap/>
            <w:vAlign w:val="center"/>
            <w:hideMark/>
          </w:tcPr>
          <w:p w14:paraId="77EF27E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9.43 </w:t>
            </w:r>
          </w:p>
        </w:tc>
        <w:tc>
          <w:tcPr>
            <w:tcW w:w="2220" w:type="dxa"/>
            <w:tcBorders>
              <w:top w:val="nil"/>
              <w:left w:val="nil"/>
              <w:bottom w:val="nil"/>
              <w:right w:val="nil"/>
            </w:tcBorders>
            <w:shd w:val="clear" w:color="000000" w:fill="FFFFFF"/>
            <w:noWrap/>
            <w:vAlign w:val="center"/>
            <w:hideMark/>
          </w:tcPr>
          <w:p w14:paraId="2CDB298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1ACC507"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213D723E"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2100" w:type="dxa"/>
            <w:tcBorders>
              <w:top w:val="nil"/>
              <w:left w:val="nil"/>
              <w:bottom w:val="single" w:sz="4" w:space="0" w:color="000000"/>
              <w:right w:val="single" w:sz="4" w:space="0" w:color="000000"/>
            </w:tcBorders>
            <w:shd w:val="clear" w:color="000000" w:fill="FFFFFF"/>
            <w:noWrap/>
            <w:vAlign w:val="center"/>
            <w:hideMark/>
          </w:tcPr>
          <w:p w14:paraId="4D546A1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3A77160D"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1820" w:type="dxa"/>
            <w:tcBorders>
              <w:top w:val="nil"/>
              <w:left w:val="nil"/>
              <w:bottom w:val="single" w:sz="4" w:space="0" w:color="000000"/>
              <w:right w:val="single" w:sz="4" w:space="0" w:color="000000"/>
            </w:tcBorders>
            <w:shd w:val="clear" w:color="000000" w:fill="FFFFFF"/>
            <w:noWrap/>
            <w:vAlign w:val="center"/>
            <w:hideMark/>
          </w:tcPr>
          <w:p w14:paraId="0595C9D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8.73 </w:t>
            </w:r>
          </w:p>
        </w:tc>
        <w:tc>
          <w:tcPr>
            <w:tcW w:w="2220" w:type="dxa"/>
            <w:tcBorders>
              <w:top w:val="nil"/>
              <w:left w:val="nil"/>
              <w:bottom w:val="nil"/>
              <w:right w:val="nil"/>
            </w:tcBorders>
            <w:shd w:val="clear" w:color="000000" w:fill="FFFFFF"/>
            <w:noWrap/>
            <w:vAlign w:val="center"/>
            <w:hideMark/>
          </w:tcPr>
          <w:p w14:paraId="5E6C094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9DC3DB1"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0C0F8E63"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2100" w:type="dxa"/>
            <w:tcBorders>
              <w:top w:val="nil"/>
              <w:left w:val="nil"/>
              <w:bottom w:val="single" w:sz="4" w:space="0" w:color="000000"/>
              <w:right w:val="single" w:sz="4" w:space="0" w:color="000000"/>
            </w:tcBorders>
            <w:shd w:val="clear" w:color="000000" w:fill="FFFFFF"/>
            <w:noWrap/>
            <w:vAlign w:val="center"/>
            <w:hideMark/>
          </w:tcPr>
          <w:p w14:paraId="4BD634B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73B15EFE"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1820" w:type="dxa"/>
            <w:tcBorders>
              <w:top w:val="nil"/>
              <w:left w:val="nil"/>
              <w:bottom w:val="single" w:sz="4" w:space="0" w:color="000000"/>
              <w:right w:val="single" w:sz="4" w:space="0" w:color="000000"/>
            </w:tcBorders>
            <w:shd w:val="clear" w:color="000000" w:fill="FFFFFF"/>
            <w:noWrap/>
            <w:vAlign w:val="center"/>
            <w:hideMark/>
          </w:tcPr>
          <w:p w14:paraId="7696228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8.09 </w:t>
            </w:r>
          </w:p>
        </w:tc>
        <w:tc>
          <w:tcPr>
            <w:tcW w:w="2220" w:type="dxa"/>
            <w:tcBorders>
              <w:top w:val="nil"/>
              <w:left w:val="nil"/>
              <w:bottom w:val="nil"/>
              <w:right w:val="nil"/>
            </w:tcBorders>
            <w:shd w:val="clear" w:color="000000" w:fill="FFFFFF"/>
            <w:noWrap/>
            <w:vAlign w:val="center"/>
            <w:hideMark/>
          </w:tcPr>
          <w:p w14:paraId="78B81A7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32E4ACE"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21378FE3"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2100" w:type="dxa"/>
            <w:tcBorders>
              <w:top w:val="nil"/>
              <w:left w:val="nil"/>
              <w:bottom w:val="single" w:sz="4" w:space="0" w:color="000000"/>
              <w:right w:val="single" w:sz="4" w:space="0" w:color="000000"/>
            </w:tcBorders>
            <w:shd w:val="clear" w:color="000000" w:fill="FFFFFF"/>
            <w:noWrap/>
            <w:vAlign w:val="center"/>
            <w:hideMark/>
          </w:tcPr>
          <w:p w14:paraId="6B97B01C"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354C084D"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1820" w:type="dxa"/>
            <w:tcBorders>
              <w:top w:val="nil"/>
              <w:left w:val="nil"/>
              <w:bottom w:val="single" w:sz="4" w:space="0" w:color="000000"/>
              <w:right w:val="single" w:sz="4" w:space="0" w:color="000000"/>
            </w:tcBorders>
            <w:shd w:val="clear" w:color="000000" w:fill="FFFFFF"/>
            <w:noWrap/>
            <w:vAlign w:val="center"/>
            <w:hideMark/>
          </w:tcPr>
          <w:p w14:paraId="40E73BA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7.49 </w:t>
            </w:r>
          </w:p>
        </w:tc>
        <w:tc>
          <w:tcPr>
            <w:tcW w:w="2220" w:type="dxa"/>
            <w:tcBorders>
              <w:top w:val="nil"/>
              <w:left w:val="nil"/>
              <w:bottom w:val="nil"/>
              <w:right w:val="nil"/>
            </w:tcBorders>
            <w:shd w:val="clear" w:color="000000" w:fill="FFFFFF"/>
            <w:noWrap/>
            <w:vAlign w:val="center"/>
            <w:hideMark/>
          </w:tcPr>
          <w:p w14:paraId="01E7582C"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8014AB3" w14:textId="77777777" w:rsidTr="00941CB8">
        <w:trPr>
          <w:trHeight w:val="300"/>
        </w:trPr>
        <w:tc>
          <w:tcPr>
            <w:tcW w:w="5580" w:type="dxa"/>
            <w:gridSpan w:val="3"/>
            <w:tcBorders>
              <w:top w:val="single" w:sz="4" w:space="0" w:color="000000"/>
              <w:left w:val="single" w:sz="4" w:space="0" w:color="000000"/>
              <w:bottom w:val="single" w:sz="4" w:space="0" w:color="auto"/>
              <w:right w:val="single" w:sz="4" w:space="0" w:color="000000"/>
            </w:tcBorders>
            <w:shd w:val="clear" w:color="000000" w:fill="FFFFFF"/>
            <w:vAlign w:val="center"/>
            <w:hideMark/>
          </w:tcPr>
          <w:p w14:paraId="41F88AD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"Net Present Value (NPV) of Project B"</w:t>
            </w:r>
          </w:p>
        </w:tc>
        <w:tc>
          <w:tcPr>
            <w:tcW w:w="1820" w:type="dxa"/>
            <w:tcBorders>
              <w:top w:val="nil"/>
              <w:left w:val="nil"/>
              <w:bottom w:val="nil"/>
              <w:right w:val="single" w:sz="4" w:space="0" w:color="000000"/>
            </w:tcBorders>
            <w:shd w:val="clear" w:color="000000" w:fill="FFFFFF"/>
            <w:vAlign w:val="center"/>
            <w:hideMark/>
          </w:tcPr>
          <w:p w14:paraId="76F442CF"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 xml:space="preserve">-£             6.08 </w:t>
            </w:r>
          </w:p>
        </w:tc>
        <w:tc>
          <w:tcPr>
            <w:tcW w:w="2220" w:type="dxa"/>
            <w:tcBorders>
              <w:top w:val="nil"/>
              <w:left w:val="nil"/>
              <w:bottom w:val="nil"/>
              <w:right w:val="nil"/>
            </w:tcBorders>
            <w:shd w:val="clear" w:color="000000" w:fill="FFFFFF"/>
            <w:noWrap/>
            <w:vAlign w:val="center"/>
            <w:hideMark/>
          </w:tcPr>
          <w:p w14:paraId="13B3E91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928009C" w14:textId="77777777" w:rsidTr="00941CB8">
        <w:trPr>
          <w:trHeight w:val="312"/>
        </w:trPr>
        <w:tc>
          <w:tcPr>
            <w:tcW w:w="5580" w:type="dxa"/>
            <w:gridSpan w:val="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649BBC3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"Profitability Index (PI) of Project B"</w:t>
            </w:r>
          </w:p>
        </w:tc>
        <w:tc>
          <w:tcPr>
            <w:tcW w:w="1820" w:type="dxa"/>
            <w:tcBorders>
              <w:top w:val="single" w:sz="4" w:space="0" w:color="auto"/>
              <w:left w:val="nil"/>
              <w:bottom w:val="single" w:sz="4" w:space="0" w:color="auto"/>
              <w:right w:val="single" w:sz="4" w:space="0" w:color="auto"/>
            </w:tcBorders>
            <w:shd w:val="clear" w:color="000000" w:fill="FFFFFF"/>
            <w:noWrap/>
            <w:vAlign w:val="center"/>
            <w:hideMark/>
          </w:tcPr>
          <w:p w14:paraId="458FBE14"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1.12</w:t>
            </w:r>
          </w:p>
        </w:tc>
        <w:tc>
          <w:tcPr>
            <w:tcW w:w="2220" w:type="dxa"/>
            <w:tcBorders>
              <w:top w:val="nil"/>
              <w:left w:val="nil"/>
              <w:bottom w:val="nil"/>
              <w:right w:val="nil"/>
            </w:tcBorders>
            <w:shd w:val="clear" w:color="000000" w:fill="FFFFFF"/>
            <w:noWrap/>
            <w:vAlign w:val="center"/>
            <w:hideMark/>
          </w:tcPr>
          <w:p w14:paraId="367BDF0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16322B3" w14:textId="77777777" w:rsidTr="00941CB8">
        <w:trPr>
          <w:trHeight w:val="300"/>
        </w:trPr>
        <w:tc>
          <w:tcPr>
            <w:tcW w:w="960" w:type="dxa"/>
            <w:tcBorders>
              <w:top w:val="nil"/>
              <w:left w:val="nil"/>
              <w:bottom w:val="nil"/>
              <w:right w:val="nil"/>
            </w:tcBorders>
            <w:shd w:val="clear" w:color="000000" w:fill="FFFFFF"/>
            <w:noWrap/>
            <w:vAlign w:val="center"/>
            <w:hideMark/>
          </w:tcPr>
          <w:p w14:paraId="1EAC3E2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00" w:type="dxa"/>
            <w:tcBorders>
              <w:top w:val="nil"/>
              <w:left w:val="nil"/>
              <w:bottom w:val="nil"/>
              <w:right w:val="nil"/>
            </w:tcBorders>
            <w:shd w:val="clear" w:color="000000" w:fill="FFFFFF"/>
            <w:noWrap/>
            <w:vAlign w:val="center"/>
            <w:hideMark/>
          </w:tcPr>
          <w:p w14:paraId="50DA5EE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520" w:type="dxa"/>
            <w:tcBorders>
              <w:top w:val="nil"/>
              <w:left w:val="nil"/>
              <w:bottom w:val="nil"/>
              <w:right w:val="nil"/>
            </w:tcBorders>
            <w:shd w:val="clear" w:color="000000" w:fill="FFFFFF"/>
            <w:noWrap/>
            <w:vAlign w:val="center"/>
            <w:hideMark/>
          </w:tcPr>
          <w:p w14:paraId="6478795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20" w:type="dxa"/>
            <w:tcBorders>
              <w:top w:val="nil"/>
              <w:left w:val="nil"/>
              <w:bottom w:val="nil"/>
              <w:right w:val="nil"/>
            </w:tcBorders>
            <w:shd w:val="clear" w:color="000000" w:fill="FFFFFF"/>
            <w:noWrap/>
            <w:vAlign w:val="center"/>
            <w:hideMark/>
          </w:tcPr>
          <w:p w14:paraId="7CD5121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220" w:type="dxa"/>
            <w:tcBorders>
              <w:top w:val="nil"/>
              <w:left w:val="nil"/>
              <w:bottom w:val="nil"/>
              <w:right w:val="nil"/>
            </w:tcBorders>
            <w:shd w:val="clear" w:color="000000" w:fill="FFFFFF"/>
            <w:noWrap/>
            <w:vAlign w:val="center"/>
            <w:hideMark/>
          </w:tcPr>
          <w:p w14:paraId="152401B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DD9F209" w14:textId="77777777" w:rsidTr="00941CB8">
        <w:trPr>
          <w:trHeight w:val="624"/>
        </w:trPr>
        <w:tc>
          <w:tcPr>
            <w:tcW w:w="96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336F69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2100" w:type="dxa"/>
            <w:tcBorders>
              <w:top w:val="single" w:sz="4" w:space="0" w:color="000000"/>
              <w:left w:val="nil"/>
              <w:bottom w:val="single" w:sz="4" w:space="0" w:color="000000"/>
              <w:right w:val="single" w:sz="4" w:space="0" w:color="000000"/>
            </w:tcBorders>
            <w:shd w:val="clear" w:color="000000" w:fill="FFFFFF"/>
            <w:vAlign w:val="center"/>
            <w:hideMark/>
          </w:tcPr>
          <w:p w14:paraId="1E9F806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520" w:type="dxa"/>
            <w:tcBorders>
              <w:top w:val="single" w:sz="4" w:space="0" w:color="000000"/>
              <w:left w:val="nil"/>
              <w:bottom w:val="single" w:sz="4" w:space="0" w:color="000000"/>
              <w:right w:val="single" w:sz="4" w:space="0" w:color="000000"/>
            </w:tcBorders>
            <w:shd w:val="clear" w:color="000000" w:fill="FFFFFF"/>
            <w:vAlign w:val="center"/>
            <w:hideMark/>
          </w:tcPr>
          <w:p w14:paraId="680D14FA"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1820" w:type="dxa"/>
            <w:tcBorders>
              <w:top w:val="single" w:sz="4" w:space="0" w:color="000000"/>
              <w:left w:val="nil"/>
              <w:bottom w:val="single" w:sz="4" w:space="0" w:color="000000"/>
              <w:right w:val="single" w:sz="4" w:space="0" w:color="000000"/>
            </w:tcBorders>
            <w:shd w:val="clear" w:color="000000" w:fill="FFFFFF"/>
            <w:vAlign w:val="center"/>
            <w:hideMark/>
          </w:tcPr>
          <w:p w14:paraId="58EAB1C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220" w:type="dxa"/>
            <w:tcBorders>
              <w:top w:val="single" w:sz="4" w:space="0" w:color="000000"/>
              <w:left w:val="nil"/>
              <w:bottom w:val="single" w:sz="4" w:space="0" w:color="000000"/>
              <w:right w:val="single" w:sz="4" w:space="0" w:color="000000"/>
            </w:tcBorders>
            <w:shd w:val="clear" w:color="000000" w:fill="FFFFFF"/>
            <w:vAlign w:val="center"/>
            <w:hideMark/>
          </w:tcPr>
          <w:p w14:paraId="3EB416C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Cumulative</w:t>
            </w:r>
          </w:p>
        </w:tc>
      </w:tr>
      <w:tr w:rsidR="00941CB8" w:rsidRPr="00F61D2F" w14:paraId="603453D3"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4D2709C7"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2100" w:type="dxa"/>
            <w:tcBorders>
              <w:top w:val="nil"/>
              <w:left w:val="nil"/>
              <w:bottom w:val="single" w:sz="4" w:space="0" w:color="000000"/>
              <w:right w:val="single" w:sz="4" w:space="0" w:color="000000"/>
            </w:tcBorders>
            <w:shd w:val="clear" w:color="000000" w:fill="FFFFFF"/>
            <w:noWrap/>
            <w:vAlign w:val="center"/>
            <w:hideMark/>
          </w:tcPr>
          <w:p w14:paraId="6DAEEE3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6AF55C11"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000000"/>
              <w:right w:val="single" w:sz="4" w:space="0" w:color="000000"/>
            </w:tcBorders>
            <w:shd w:val="clear" w:color="000000" w:fill="FFFFFF"/>
            <w:noWrap/>
            <w:vAlign w:val="center"/>
            <w:hideMark/>
          </w:tcPr>
          <w:p w14:paraId="61D9D8E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220" w:type="dxa"/>
            <w:tcBorders>
              <w:top w:val="nil"/>
              <w:left w:val="nil"/>
              <w:bottom w:val="single" w:sz="4" w:space="0" w:color="000000"/>
              <w:right w:val="single" w:sz="4" w:space="0" w:color="000000"/>
            </w:tcBorders>
            <w:shd w:val="clear" w:color="000000" w:fill="FFFFFF"/>
            <w:noWrap/>
            <w:vAlign w:val="center"/>
            <w:hideMark/>
          </w:tcPr>
          <w:p w14:paraId="7D63294C"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r>
      <w:tr w:rsidR="00941CB8" w:rsidRPr="00F61D2F" w14:paraId="5DDE0113"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5280B25F"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2100" w:type="dxa"/>
            <w:tcBorders>
              <w:top w:val="nil"/>
              <w:left w:val="nil"/>
              <w:bottom w:val="single" w:sz="4" w:space="0" w:color="000000"/>
              <w:right w:val="single" w:sz="4" w:space="0" w:color="000000"/>
            </w:tcBorders>
            <w:shd w:val="clear" w:color="000000" w:fill="FFFFFF"/>
            <w:noWrap/>
            <w:vAlign w:val="center"/>
            <w:hideMark/>
          </w:tcPr>
          <w:p w14:paraId="2E47D5D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14E40941"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1820" w:type="dxa"/>
            <w:tcBorders>
              <w:top w:val="nil"/>
              <w:left w:val="nil"/>
              <w:bottom w:val="single" w:sz="4" w:space="0" w:color="000000"/>
              <w:right w:val="single" w:sz="4" w:space="0" w:color="000000"/>
            </w:tcBorders>
            <w:shd w:val="clear" w:color="000000" w:fill="FFFFFF"/>
            <w:noWrap/>
            <w:vAlign w:val="center"/>
            <w:hideMark/>
          </w:tcPr>
          <w:p w14:paraId="0B43BC2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10.19 </w:t>
            </w:r>
          </w:p>
        </w:tc>
        <w:tc>
          <w:tcPr>
            <w:tcW w:w="2220" w:type="dxa"/>
            <w:tcBorders>
              <w:top w:val="nil"/>
              <w:left w:val="nil"/>
              <w:bottom w:val="single" w:sz="4" w:space="0" w:color="000000"/>
              <w:right w:val="single" w:sz="4" w:space="0" w:color="000000"/>
            </w:tcBorders>
            <w:shd w:val="clear" w:color="000000" w:fill="FFFFFF"/>
            <w:noWrap/>
            <w:vAlign w:val="center"/>
            <w:hideMark/>
          </w:tcPr>
          <w:p w14:paraId="4096378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39.81 </w:t>
            </w:r>
          </w:p>
        </w:tc>
      </w:tr>
      <w:tr w:rsidR="00941CB8" w:rsidRPr="00F61D2F" w14:paraId="71A76683"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28DC227A"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2100" w:type="dxa"/>
            <w:tcBorders>
              <w:top w:val="nil"/>
              <w:left w:val="nil"/>
              <w:bottom w:val="single" w:sz="4" w:space="0" w:color="000000"/>
              <w:right w:val="single" w:sz="4" w:space="0" w:color="000000"/>
            </w:tcBorders>
            <w:shd w:val="clear" w:color="000000" w:fill="FFFFFF"/>
            <w:noWrap/>
            <w:vAlign w:val="center"/>
            <w:hideMark/>
          </w:tcPr>
          <w:p w14:paraId="20235D5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07C197B9"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1820" w:type="dxa"/>
            <w:tcBorders>
              <w:top w:val="nil"/>
              <w:left w:val="nil"/>
              <w:bottom w:val="single" w:sz="4" w:space="0" w:color="000000"/>
              <w:right w:val="single" w:sz="4" w:space="0" w:color="000000"/>
            </w:tcBorders>
            <w:shd w:val="clear" w:color="000000" w:fill="FFFFFF"/>
            <w:noWrap/>
            <w:vAlign w:val="center"/>
            <w:hideMark/>
          </w:tcPr>
          <w:p w14:paraId="28E64D0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9.43 </w:t>
            </w:r>
          </w:p>
        </w:tc>
        <w:tc>
          <w:tcPr>
            <w:tcW w:w="2220" w:type="dxa"/>
            <w:tcBorders>
              <w:top w:val="nil"/>
              <w:left w:val="nil"/>
              <w:bottom w:val="single" w:sz="4" w:space="0" w:color="000000"/>
              <w:right w:val="single" w:sz="4" w:space="0" w:color="000000"/>
            </w:tcBorders>
            <w:shd w:val="clear" w:color="000000" w:fill="FFFFFF"/>
            <w:noWrap/>
            <w:vAlign w:val="center"/>
            <w:hideMark/>
          </w:tcPr>
          <w:p w14:paraId="2624ED1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30.38 </w:t>
            </w:r>
          </w:p>
        </w:tc>
      </w:tr>
      <w:tr w:rsidR="00941CB8" w:rsidRPr="00F61D2F" w14:paraId="5895147F"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3E14986A"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2100" w:type="dxa"/>
            <w:tcBorders>
              <w:top w:val="nil"/>
              <w:left w:val="nil"/>
              <w:bottom w:val="single" w:sz="4" w:space="0" w:color="000000"/>
              <w:right w:val="single" w:sz="4" w:space="0" w:color="000000"/>
            </w:tcBorders>
            <w:shd w:val="clear" w:color="000000" w:fill="FFFFFF"/>
            <w:noWrap/>
            <w:vAlign w:val="center"/>
            <w:hideMark/>
          </w:tcPr>
          <w:p w14:paraId="3727F8D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1382443F"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1820" w:type="dxa"/>
            <w:tcBorders>
              <w:top w:val="nil"/>
              <w:left w:val="nil"/>
              <w:bottom w:val="single" w:sz="4" w:space="0" w:color="000000"/>
              <w:right w:val="single" w:sz="4" w:space="0" w:color="000000"/>
            </w:tcBorders>
            <w:shd w:val="clear" w:color="000000" w:fill="FFFFFF"/>
            <w:noWrap/>
            <w:vAlign w:val="center"/>
            <w:hideMark/>
          </w:tcPr>
          <w:p w14:paraId="0780ED3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8.73 </w:t>
            </w:r>
          </w:p>
        </w:tc>
        <w:tc>
          <w:tcPr>
            <w:tcW w:w="2220" w:type="dxa"/>
            <w:tcBorders>
              <w:top w:val="nil"/>
              <w:left w:val="nil"/>
              <w:bottom w:val="single" w:sz="4" w:space="0" w:color="000000"/>
              <w:right w:val="single" w:sz="4" w:space="0" w:color="000000"/>
            </w:tcBorders>
            <w:shd w:val="clear" w:color="000000" w:fill="FFFFFF"/>
            <w:noWrap/>
            <w:vAlign w:val="center"/>
            <w:hideMark/>
          </w:tcPr>
          <w:p w14:paraId="7818558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21.65 </w:t>
            </w:r>
          </w:p>
        </w:tc>
      </w:tr>
      <w:tr w:rsidR="00941CB8" w:rsidRPr="00F61D2F" w14:paraId="153E1D9E"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6A4035DC"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2100" w:type="dxa"/>
            <w:tcBorders>
              <w:top w:val="nil"/>
              <w:left w:val="nil"/>
              <w:bottom w:val="single" w:sz="4" w:space="0" w:color="000000"/>
              <w:right w:val="single" w:sz="4" w:space="0" w:color="000000"/>
            </w:tcBorders>
            <w:shd w:val="clear" w:color="000000" w:fill="FFFFFF"/>
            <w:noWrap/>
            <w:vAlign w:val="center"/>
            <w:hideMark/>
          </w:tcPr>
          <w:p w14:paraId="3C5F1E1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2811A0FC"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1820" w:type="dxa"/>
            <w:tcBorders>
              <w:top w:val="nil"/>
              <w:left w:val="nil"/>
              <w:bottom w:val="single" w:sz="4" w:space="0" w:color="000000"/>
              <w:right w:val="single" w:sz="4" w:space="0" w:color="000000"/>
            </w:tcBorders>
            <w:shd w:val="clear" w:color="000000" w:fill="FFFFFF"/>
            <w:noWrap/>
            <w:vAlign w:val="center"/>
            <w:hideMark/>
          </w:tcPr>
          <w:p w14:paraId="4759B47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8.09 </w:t>
            </w:r>
          </w:p>
        </w:tc>
        <w:tc>
          <w:tcPr>
            <w:tcW w:w="2220" w:type="dxa"/>
            <w:tcBorders>
              <w:top w:val="nil"/>
              <w:left w:val="nil"/>
              <w:bottom w:val="single" w:sz="4" w:space="0" w:color="000000"/>
              <w:right w:val="single" w:sz="4" w:space="0" w:color="000000"/>
            </w:tcBorders>
            <w:shd w:val="clear" w:color="000000" w:fill="FFFFFF"/>
            <w:noWrap/>
            <w:vAlign w:val="center"/>
            <w:hideMark/>
          </w:tcPr>
          <w:p w14:paraId="576D400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13.57 </w:t>
            </w:r>
          </w:p>
        </w:tc>
      </w:tr>
      <w:tr w:rsidR="00941CB8" w:rsidRPr="00F61D2F" w14:paraId="068295C0"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0B02FE68"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2100" w:type="dxa"/>
            <w:tcBorders>
              <w:top w:val="nil"/>
              <w:left w:val="nil"/>
              <w:bottom w:val="single" w:sz="4" w:space="0" w:color="000000"/>
              <w:right w:val="single" w:sz="4" w:space="0" w:color="000000"/>
            </w:tcBorders>
            <w:shd w:val="clear" w:color="000000" w:fill="FFFFFF"/>
            <w:noWrap/>
            <w:vAlign w:val="center"/>
            <w:hideMark/>
          </w:tcPr>
          <w:p w14:paraId="0CE6A49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0745E3CB"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1820" w:type="dxa"/>
            <w:tcBorders>
              <w:top w:val="nil"/>
              <w:left w:val="nil"/>
              <w:bottom w:val="single" w:sz="4" w:space="0" w:color="000000"/>
              <w:right w:val="single" w:sz="4" w:space="0" w:color="000000"/>
            </w:tcBorders>
            <w:shd w:val="clear" w:color="000000" w:fill="FFFFFF"/>
            <w:noWrap/>
            <w:vAlign w:val="center"/>
            <w:hideMark/>
          </w:tcPr>
          <w:p w14:paraId="1F40A48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7.49 </w:t>
            </w:r>
          </w:p>
        </w:tc>
        <w:tc>
          <w:tcPr>
            <w:tcW w:w="2220" w:type="dxa"/>
            <w:tcBorders>
              <w:top w:val="nil"/>
              <w:left w:val="nil"/>
              <w:bottom w:val="single" w:sz="4" w:space="0" w:color="000000"/>
              <w:right w:val="single" w:sz="4" w:space="0" w:color="000000"/>
            </w:tcBorders>
            <w:shd w:val="clear" w:color="000000" w:fill="FFFFFF"/>
            <w:noWrap/>
            <w:vAlign w:val="center"/>
            <w:hideMark/>
          </w:tcPr>
          <w:p w14:paraId="0DF4E1A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6.08 </w:t>
            </w:r>
          </w:p>
        </w:tc>
      </w:tr>
      <w:tr w:rsidR="00941CB8" w:rsidRPr="00F61D2F" w14:paraId="5282CEE7" w14:textId="77777777" w:rsidTr="00941CB8">
        <w:trPr>
          <w:trHeight w:val="312"/>
        </w:trPr>
        <w:tc>
          <w:tcPr>
            <w:tcW w:w="7400" w:type="dxa"/>
            <w:gridSpan w:val="4"/>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5AB78971"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"Payback Period (PBP) of Project B"</w:t>
            </w:r>
          </w:p>
        </w:tc>
        <w:tc>
          <w:tcPr>
            <w:tcW w:w="2220" w:type="dxa"/>
            <w:tcBorders>
              <w:top w:val="nil"/>
              <w:left w:val="nil"/>
              <w:bottom w:val="single" w:sz="4" w:space="0" w:color="000000"/>
              <w:right w:val="single" w:sz="4" w:space="0" w:color="000000"/>
            </w:tcBorders>
            <w:shd w:val="clear" w:color="000000" w:fill="FFFFFF"/>
            <w:vAlign w:val="center"/>
            <w:hideMark/>
          </w:tcPr>
          <w:p w14:paraId="4E2091B6"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Not Recovered</w:t>
            </w:r>
          </w:p>
        </w:tc>
      </w:tr>
      <w:tr w:rsidR="00941CB8" w:rsidRPr="00F61D2F" w14:paraId="3BD0F064" w14:textId="77777777" w:rsidTr="00941CB8">
        <w:trPr>
          <w:trHeight w:val="300"/>
        </w:trPr>
        <w:tc>
          <w:tcPr>
            <w:tcW w:w="960" w:type="dxa"/>
            <w:tcBorders>
              <w:top w:val="nil"/>
              <w:left w:val="nil"/>
              <w:bottom w:val="nil"/>
              <w:right w:val="nil"/>
            </w:tcBorders>
            <w:shd w:val="clear" w:color="000000" w:fill="FFFFFF"/>
            <w:noWrap/>
            <w:vAlign w:val="center"/>
            <w:hideMark/>
          </w:tcPr>
          <w:p w14:paraId="7F48614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00" w:type="dxa"/>
            <w:tcBorders>
              <w:top w:val="nil"/>
              <w:left w:val="nil"/>
              <w:bottom w:val="nil"/>
              <w:right w:val="nil"/>
            </w:tcBorders>
            <w:shd w:val="clear" w:color="000000" w:fill="FFFFFF"/>
            <w:noWrap/>
            <w:vAlign w:val="center"/>
            <w:hideMark/>
          </w:tcPr>
          <w:p w14:paraId="16CA1B66"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520" w:type="dxa"/>
            <w:tcBorders>
              <w:top w:val="nil"/>
              <w:left w:val="nil"/>
              <w:bottom w:val="nil"/>
              <w:right w:val="nil"/>
            </w:tcBorders>
            <w:shd w:val="clear" w:color="000000" w:fill="FFFFFF"/>
            <w:noWrap/>
            <w:vAlign w:val="center"/>
            <w:hideMark/>
          </w:tcPr>
          <w:p w14:paraId="6289C9B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20" w:type="dxa"/>
            <w:tcBorders>
              <w:top w:val="nil"/>
              <w:left w:val="nil"/>
              <w:bottom w:val="nil"/>
              <w:right w:val="nil"/>
            </w:tcBorders>
            <w:shd w:val="clear" w:color="000000" w:fill="FFFFFF"/>
            <w:noWrap/>
            <w:vAlign w:val="center"/>
            <w:hideMark/>
          </w:tcPr>
          <w:p w14:paraId="5B0CF52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220" w:type="dxa"/>
            <w:tcBorders>
              <w:top w:val="nil"/>
              <w:left w:val="nil"/>
              <w:bottom w:val="nil"/>
              <w:right w:val="nil"/>
            </w:tcBorders>
            <w:shd w:val="clear" w:color="000000" w:fill="FFFFFF"/>
            <w:noWrap/>
            <w:vAlign w:val="center"/>
            <w:hideMark/>
          </w:tcPr>
          <w:p w14:paraId="1B26D54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C7C4ABF" w14:textId="77777777" w:rsidTr="00941CB8">
        <w:trPr>
          <w:trHeight w:val="624"/>
        </w:trPr>
        <w:tc>
          <w:tcPr>
            <w:tcW w:w="96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59A2FFDF"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2100" w:type="dxa"/>
            <w:tcBorders>
              <w:top w:val="single" w:sz="4" w:space="0" w:color="000000"/>
              <w:left w:val="nil"/>
              <w:bottom w:val="single" w:sz="4" w:space="0" w:color="000000"/>
              <w:right w:val="single" w:sz="4" w:space="0" w:color="000000"/>
            </w:tcBorders>
            <w:shd w:val="clear" w:color="000000" w:fill="FFFFFF"/>
            <w:vAlign w:val="center"/>
            <w:hideMark/>
          </w:tcPr>
          <w:p w14:paraId="5D3EFC2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Cashflow</w:t>
            </w:r>
          </w:p>
        </w:tc>
        <w:tc>
          <w:tcPr>
            <w:tcW w:w="2520" w:type="dxa"/>
            <w:tcBorders>
              <w:top w:val="single" w:sz="4" w:space="0" w:color="000000"/>
              <w:left w:val="nil"/>
              <w:bottom w:val="single" w:sz="4" w:space="0" w:color="000000"/>
              <w:right w:val="single" w:sz="4" w:space="0" w:color="000000"/>
            </w:tcBorders>
            <w:shd w:val="clear" w:color="000000" w:fill="FFFFFF"/>
            <w:vAlign w:val="center"/>
            <w:hideMark/>
          </w:tcPr>
          <w:p w14:paraId="545C64D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1820" w:type="dxa"/>
            <w:tcBorders>
              <w:top w:val="single" w:sz="4" w:space="0" w:color="000000"/>
              <w:left w:val="nil"/>
              <w:bottom w:val="single" w:sz="4" w:space="0" w:color="000000"/>
              <w:right w:val="single" w:sz="4" w:space="0" w:color="000000"/>
            </w:tcBorders>
            <w:shd w:val="clear" w:color="000000" w:fill="FFFFFF"/>
            <w:vAlign w:val="center"/>
            <w:hideMark/>
          </w:tcPr>
          <w:p w14:paraId="7794A16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220" w:type="dxa"/>
            <w:tcBorders>
              <w:top w:val="nil"/>
              <w:left w:val="nil"/>
              <w:bottom w:val="nil"/>
              <w:right w:val="nil"/>
            </w:tcBorders>
            <w:shd w:val="clear" w:color="000000" w:fill="FFFFFF"/>
            <w:noWrap/>
            <w:vAlign w:val="center"/>
            <w:hideMark/>
          </w:tcPr>
          <w:p w14:paraId="1C00F9C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BF24902"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774C6557"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2100" w:type="dxa"/>
            <w:tcBorders>
              <w:top w:val="nil"/>
              <w:left w:val="nil"/>
              <w:bottom w:val="single" w:sz="4" w:space="0" w:color="000000"/>
              <w:right w:val="single" w:sz="4" w:space="0" w:color="000000"/>
            </w:tcBorders>
            <w:shd w:val="clear" w:color="000000" w:fill="FFFFFF"/>
            <w:noWrap/>
            <w:vAlign w:val="center"/>
            <w:hideMark/>
          </w:tcPr>
          <w:p w14:paraId="48D8A06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398F9678"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000000"/>
              <w:right w:val="single" w:sz="4" w:space="0" w:color="000000"/>
            </w:tcBorders>
            <w:shd w:val="clear" w:color="000000" w:fill="FFFFFF"/>
            <w:noWrap/>
            <w:vAlign w:val="center"/>
            <w:hideMark/>
          </w:tcPr>
          <w:p w14:paraId="548C52C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220" w:type="dxa"/>
            <w:tcBorders>
              <w:top w:val="nil"/>
              <w:left w:val="nil"/>
              <w:bottom w:val="nil"/>
              <w:right w:val="nil"/>
            </w:tcBorders>
            <w:shd w:val="clear" w:color="000000" w:fill="FFFFFF"/>
            <w:noWrap/>
            <w:vAlign w:val="center"/>
            <w:hideMark/>
          </w:tcPr>
          <w:p w14:paraId="264FBC2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CE2DB5A"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78E7C2F1"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2100" w:type="dxa"/>
            <w:tcBorders>
              <w:top w:val="nil"/>
              <w:left w:val="nil"/>
              <w:bottom w:val="single" w:sz="4" w:space="0" w:color="000000"/>
              <w:right w:val="single" w:sz="4" w:space="0" w:color="000000"/>
            </w:tcBorders>
            <w:shd w:val="clear" w:color="000000" w:fill="FFFFFF"/>
            <w:noWrap/>
            <w:vAlign w:val="center"/>
            <w:hideMark/>
          </w:tcPr>
          <w:p w14:paraId="6E2E82F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09645CC3"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1820" w:type="dxa"/>
            <w:tcBorders>
              <w:top w:val="nil"/>
              <w:left w:val="nil"/>
              <w:bottom w:val="single" w:sz="4" w:space="0" w:color="000000"/>
              <w:right w:val="single" w:sz="4" w:space="0" w:color="000000"/>
            </w:tcBorders>
            <w:shd w:val="clear" w:color="000000" w:fill="FFFFFF"/>
            <w:noWrap/>
            <w:vAlign w:val="center"/>
            <w:hideMark/>
          </w:tcPr>
          <w:p w14:paraId="6A475C8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10.19 </w:t>
            </w:r>
          </w:p>
        </w:tc>
        <w:tc>
          <w:tcPr>
            <w:tcW w:w="2220" w:type="dxa"/>
            <w:tcBorders>
              <w:top w:val="nil"/>
              <w:left w:val="nil"/>
              <w:bottom w:val="nil"/>
              <w:right w:val="nil"/>
            </w:tcBorders>
            <w:shd w:val="clear" w:color="000000" w:fill="FFFFFF"/>
            <w:noWrap/>
            <w:vAlign w:val="center"/>
            <w:hideMark/>
          </w:tcPr>
          <w:p w14:paraId="4EB4E5D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2353C3F"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7605C889"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2100" w:type="dxa"/>
            <w:tcBorders>
              <w:top w:val="nil"/>
              <w:left w:val="nil"/>
              <w:bottom w:val="single" w:sz="4" w:space="0" w:color="000000"/>
              <w:right w:val="single" w:sz="4" w:space="0" w:color="000000"/>
            </w:tcBorders>
            <w:shd w:val="clear" w:color="000000" w:fill="FFFFFF"/>
            <w:noWrap/>
            <w:vAlign w:val="center"/>
            <w:hideMark/>
          </w:tcPr>
          <w:p w14:paraId="56EB1C7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14B0D6D5"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1820" w:type="dxa"/>
            <w:tcBorders>
              <w:top w:val="nil"/>
              <w:left w:val="nil"/>
              <w:bottom w:val="single" w:sz="4" w:space="0" w:color="000000"/>
              <w:right w:val="single" w:sz="4" w:space="0" w:color="000000"/>
            </w:tcBorders>
            <w:shd w:val="clear" w:color="000000" w:fill="FFFFFF"/>
            <w:noWrap/>
            <w:vAlign w:val="center"/>
            <w:hideMark/>
          </w:tcPr>
          <w:p w14:paraId="5F2E60A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9.43 </w:t>
            </w:r>
          </w:p>
        </w:tc>
        <w:tc>
          <w:tcPr>
            <w:tcW w:w="2220" w:type="dxa"/>
            <w:tcBorders>
              <w:top w:val="nil"/>
              <w:left w:val="nil"/>
              <w:bottom w:val="nil"/>
              <w:right w:val="nil"/>
            </w:tcBorders>
            <w:shd w:val="clear" w:color="000000" w:fill="FFFFFF"/>
            <w:noWrap/>
            <w:vAlign w:val="center"/>
            <w:hideMark/>
          </w:tcPr>
          <w:p w14:paraId="113FA8A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030B9D9"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5F551E38"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2100" w:type="dxa"/>
            <w:tcBorders>
              <w:top w:val="nil"/>
              <w:left w:val="nil"/>
              <w:bottom w:val="single" w:sz="4" w:space="0" w:color="000000"/>
              <w:right w:val="single" w:sz="4" w:space="0" w:color="000000"/>
            </w:tcBorders>
            <w:shd w:val="clear" w:color="000000" w:fill="FFFFFF"/>
            <w:noWrap/>
            <w:vAlign w:val="center"/>
            <w:hideMark/>
          </w:tcPr>
          <w:p w14:paraId="5F75224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2BB213FB"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1820" w:type="dxa"/>
            <w:tcBorders>
              <w:top w:val="nil"/>
              <w:left w:val="nil"/>
              <w:bottom w:val="single" w:sz="4" w:space="0" w:color="000000"/>
              <w:right w:val="single" w:sz="4" w:space="0" w:color="000000"/>
            </w:tcBorders>
            <w:shd w:val="clear" w:color="000000" w:fill="FFFFFF"/>
            <w:noWrap/>
            <w:vAlign w:val="center"/>
            <w:hideMark/>
          </w:tcPr>
          <w:p w14:paraId="69B5518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8.73 </w:t>
            </w:r>
          </w:p>
        </w:tc>
        <w:tc>
          <w:tcPr>
            <w:tcW w:w="2220" w:type="dxa"/>
            <w:tcBorders>
              <w:top w:val="nil"/>
              <w:left w:val="nil"/>
              <w:bottom w:val="nil"/>
              <w:right w:val="nil"/>
            </w:tcBorders>
            <w:shd w:val="clear" w:color="000000" w:fill="FFFFFF"/>
            <w:noWrap/>
            <w:vAlign w:val="center"/>
            <w:hideMark/>
          </w:tcPr>
          <w:p w14:paraId="6C04D37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6B893C7"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38567002"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2100" w:type="dxa"/>
            <w:tcBorders>
              <w:top w:val="nil"/>
              <w:left w:val="nil"/>
              <w:bottom w:val="single" w:sz="4" w:space="0" w:color="000000"/>
              <w:right w:val="single" w:sz="4" w:space="0" w:color="000000"/>
            </w:tcBorders>
            <w:shd w:val="clear" w:color="000000" w:fill="FFFFFF"/>
            <w:noWrap/>
            <w:vAlign w:val="center"/>
            <w:hideMark/>
          </w:tcPr>
          <w:p w14:paraId="6713BCB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7B3B96F6"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1820" w:type="dxa"/>
            <w:tcBorders>
              <w:top w:val="nil"/>
              <w:left w:val="nil"/>
              <w:bottom w:val="single" w:sz="4" w:space="0" w:color="000000"/>
              <w:right w:val="single" w:sz="4" w:space="0" w:color="000000"/>
            </w:tcBorders>
            <w:shd w:val="clear" w:color="000000" w:fill="FFFFFF"/>
            <w:noWrap/>
            <w:vAlign w:val="center"/>
            <w:hideMark/>
          </w:tcPr>
          <w:p w14:paraId="381B5D7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8.09 </w:t>
            </w:r>
          </w:p>
        </w:tc>
        <w:tc>
          <w:tcPr>
            <w:tcW w:w="2220" w:type="dxa"/>
            <w:tcBorders>
              <w:top w:val="nil"/>
              <w:left w:val="nil"/>
              <w:bottom w:val="nil"/>
              <w:right w:val="nil"/>
            </w:tcBorders>
            <w:shd w:val="clear" w:color="000000" w:fill="FFFFFF"/>
            <w:noWrap/>
            <w:vAlign w:val="center"/>
            <w:hideMark/>
          </w:tcPr>
          <w:p w14:paraId="0CDC9E7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30EC868" w14:textId="77777777" w:rsidTr="00941CB8">
        <w:trPr>
          <w:trHeight w:val="300"/>
        </w:trPr>
        <w:tc>
          <w:tcPr>
            <w:tcW w:w="960" w:type="dxa"/>
            <w:tcBorders>
              <w:top w:val="nil"/>
              <w:left w:val="single" w:sz="4" w:space="0" w:color="000000"/>
              <w:bottom w:val="single" w:sz="4" w:space="0" w:color="000000"/>
              <w:right w:val="single" w:sz="4" w:space="0" w:color="000000"/>
            </w:tcBorders>
            <w:shd w:val="clear" w:color="000000" w:fill="FFFFFF"/>
            <w:noWrap/>
            <w:vAlign w:val="center"/>
            <w:hideMark/>
          </w:tcPr>
          <w:p w14:paraId="7209EA85"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2100" w:type="dxa"/>
            <w:tcBorders>
              <w:top w:val="nil"/>
              <w:left w:val="nil"/>
              <w:bottom w:val="single" w:sz="4" w:space="0" w:color="000000"/>
              <w:right w:val="single" w:sz="4" w:space="0" w:color="000000"/>
            </w:tcBorders>
            <w:shd w:val="clear" w:color="000000" w:fill="FFFFFF"/>
            <w:noWrap/>
            <w:vAlign w:val="center"/>
            <w:hideMark/>
          </w:tcPr>
          <w:p w14:paraId="0176D71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000000"/>
              <w:right w:val="single" w:sz="4" w:space="0" w:color="000000"/>
            </w:tcBorders>
            <w:shd w:val="clear" w:color="000000" w:fill="FFFFFF"/>
            <w:noWrap/>
            <w:vAlign w:val="center"/>
            <w:hideMark/>
          </w:tcPr>
          <w:p w14:paraId="47277BD4"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1820" w:type="dxa"/>
            <w:tcBorders>
              <w:top w:val="nil"/>
              <w:left w:val="nil"/>
              <w:bottom w:val="single" w:sz="4" w:space="0" w:color="000000"/>
              <w:right w:val="single" w:sz="4" w:space="0" w:color="000000"/>
            </w:tcBorders>
            <w:shd w:val="clear" w:color="000000" w:fill="FFFFFF"/>
            <w:noWrap/>
            <w:vAlign w:val="center"/>
            <w:hideMark/>
          </w:tcPr>
          <w:p w14:paraId="50C65D5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7.49 </w:t>
            </w:r>
          </w:p>
        </w:tc>
        <w:tc>
          <w:tcPr>
            <w:tcW w:w="2220" w:type="dxa"/>
            <w:tcBorders>
              <w:top w:val="nil"/>
              <w:left w:val="nil"/>
              <w:bottom w:val="nil"/>
              <w:right w:val="nil"/>
            </w:tcBorders>
            <w:shd w:val="clear" w:color="000000" w:fill="FFFFFF"/>
            <w:noWrap/>
            <w:vAlign w:val="center"/>
            <w:hideMark/>
          </w:tcPr>
          <w:p w14:paraId="64F8ACEC"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01EEF4A" w14:textId="77777777" w:rsidTr="00941CB8">
        <w:trPr>
          <w:trHeight w:val="312"/>
        </w:trPr>
        <w:tc>
          <w:tcPr>
            <w:tcW w:w="5580" w:type="dxa"/>
            <w:gridSpan w:val="3"/>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592AFC1F"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"Internal Rate of Return (IRR) of Project B"</w:t>
            </w:r>
          </w:p>
        </w:tc>
        <w:tc>
          <w:tcPr>
            <w:tcW w:w="1820" w:type="dxa"/>
            <w:tcBorders>
              <w:top w:val="nil"/>
              <w:left w:val="nil"/>
              <w:bottom w:val="single" w:sz="4" w:space="0" w:color="000000"/>
              <w:right w:val="single" w:sz="4" w:space="0" w:color="000000"/>
            </w:tcBorders>
            <w:shd w:val="clear" w:color="000000" w:fill="FFFFFF"/>
            <w:vAlign w:val="center"/>
            <w:hideMark/>
          </w:tcPr>
          <w:p w14:paraId="61170FE5"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3.26%</w:t>
            </w:r>
          </w:p>
        </w:tc>
        <w:tc>
          <w:tcPr>
            <w:tcW w:w="2220" w:type="dxa"/>
            <w:tcBorders>
              <w:top w:val="nil"/>
              <w:left w:val="nil"/>
              <w:bottom w:val="nil"/>
              <w:right w:val="nil"/>
            </w:tcBorders>
            <w:shd w:val="clear" w:color="000000" w:fill="FFFFFF"/>
            <w:noWrap/>
            <w:vAlign w:val="center"/>
            <w:hideMark/>
          </w:tcPr>
          <w:p w14:paraId="4CC9ADD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B7C32C9" w14:textId="77777777" w:rsidTr="00941CB8">
        <w:trPr>
          <w:trHeight w:val="300"/>
        </w:trPr>
        <w:tc>
          <w:tcPr>
            <w:tcW w:w="960" w:type="dxa"/>
            <w:tcBorders>
              <w:top w:val="nil"/>
              <w:left w:val="nil"/>
              <w:bottom w:val="nil"/>
              <w:right w:val="nil"/>
            </w:tcBorders>
            <w:shd w:val="clear" w:color="000000" w:fill="FFFFFF"/>
            <w:noWrap/>
            <w:vAlign w:val="center"/>
            <w:hideMark/>
          </w:tcPr>
          <w:p w14:paraId="6DCED01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00" w:type="dxa"/>
            <w:tcBorders>
              <w:top w:val="nil"/>
              <w:left w:val="nil"/>
              <w:bottom w:val="nil"/>
              <w:right w:val="nil"/>
            </w:tcBorders>
            <w:shd w:val="clear" w:color="000000" w:fill="FFFFFF"/>
            <w:noWrap/>
            <w:vAlign w:val="center"/>
            <w:hideMark/>
          </w:tcPr>
          <w:p w14:paraId="3211AC8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520" w:type="dxa"/>
            <w:tcBorders>
              <w:top w:val="nil"/>
              <w:left w:val="nil"/>
              <w:bottom w:val="nil"/>
              <w:right w:val="nil"/>
            </w:tcBorders>
            <w:shd w:val="clear" w:color="000000" w:fill="FFFFFF"/>
            <w:noWrap/>
            <w:vAlign w:val="center"/>
            <w:hideMark/>
          </w:tcPr>
          <w:p w14:paraId="6B150E2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20" w:type="dxa"/>
            <w:tcBorders>
              <w:top w:val="nil"/>
              <w:left w:val="nil"/>
              <w:bottom w:val="nil"/>
              <w:right w:val="nil"/>
            </w:tcBorders>
            <w:shd w:val="clear" w:color="000000" w:fill="FFFFFF"/>
            <w:noWrap/>
            <w:vAlign w:val="center"/>
            <w:hideMark/>
          </w:tcPr>
          <w:p w14:paraId="21CD278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220" w:type="dxa"/>
            <w:tcBorders>
              <w:top w:val="nil"/>
              <w:left w:val="nil"/>
              <w:bottom w:val="nil"/>
              <w:right w:val="nil"/>
            </w:tcBorders>
            <w:shd w:val="clear" w:color="000000" w:fill="FFFFFF"/>
            <w:noWrap/>
            <w:vAlign w:val="center"/>
            <w:hideMark/>
          </w:tcPr>
          <w:p w14:paraId="5672C1A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C1417D6" w14:textId="77777777" w:rsidTr="00941CB8">
        <w:trPr>
          <w:trHeight w:val="300"/>
        </w:trPr>
        <w:tc>
          <w:tcPr>
            <w:tcW w:w="960" w:type="dxa"/>
            <w:tcBorders>
              <w:top w:val="nil"/>
              <w:left w:val="nil"/>
              <w:bottom w:val="nil"/>
              <w:right w:val="nil"/>
            </w:tcBorders>
            <w:shd w:val="clear" w:color="000000" w:fill="FFFFFF"/>
            <w:noWrap/>
            <w:vAlign w:val="center"/>
            <w:hideMark/>
          </w:tcPr>
          <w:p w14:paraId="36B4F9F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100" w:type="dxa"/>
            <w:tcBorders>
              <w:top w:val="nil"/>
              <w:left w:val="nil"/>
              <w:bottom w:val="nil"/>
              <w:right w:val="nil"/>
            </w:tcBorders>
            <w:shd w:val="clear" w:color="000000" w:fill="FFFFFF"/>
            <w:noWrap/>
            <w:vAlign w:val="center"/>
            <w:hideMark/>
          </w:tcPr>
          <w:p w14:paraId="57E5AA34"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520" w:type="dxa"/>
            <w:tcBorders>
              <w:top w:val="nil"/>
              <w:left w:val="nil"/>
              <w:bottom w:val="nil"/>
              <w:right w:val="nil"/>
            </w:tcBorders>
            <w:shd w:val="clear" w:color="000000" w:fill="FFFFFF"/>
            <w:noWrap/>
            <w:vAlign w:val="center"/>
            <w:hideMark/>
          </w:tcPr>
          <w:p w14:paraId="20BF7F4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20" w:type="dxa"/>
            <w:tcBorders>
              <w:top w:val="nil"/>
              <w:left w:val="nil"/>
              <w:bottom w:val="nil"/>
              <w:right w:val="nil"/>
            </w:tcBorders>
            <w:shd w:val="clear" w:color="000000" w:fill="FFFFFF"/>
            <w:noWrap/>
            <w:vAlign w:val="center"/>
            <w:hideMark/>
          </w:tcPr>
          <w:p w14:paraId="6D83BB2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220" w:type="dxa"/>
            <w:tcBorders>
              <w:top w:val="nil"/>
              <w:left w:val="nil"/>
              <w:bottom w:val="nil"/>
              <w:right w:val="nil"/>
            </w:tcBorders>
            <w:shd w:val="clear" w:color="000000" w:fill="FFFFFF"/>
            <w:noWrap/>
            <w:vAlign w:val="center"/>
            <w:hideMark/>
          </w:tcPr>
          <w:p w14:paraId="71B0F0D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EF484FB" w14:textId="77777777" w:rsidTr="00941CB8">
        <w:trPr>
          <w:trHeight w:val="624"/>
        </w:trPr>
        <w:tc>
          <w:tcPr>
            <w:tcW w:w="960"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19E33B5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2100" w:type="dxa"/>
            <w:tcBorders>
              <w:top w:val="single" w:sz="4" w:space="0" w:color="auto"/>
              <w:left w:val="nil"/>
              <w:bottom w:val="single" w:sz="4" w:space="0" w:color="auto"/>
              <w:right w:val="single" w:sz="4" w:space="0" w:color="auto"/>
            </w:tcBorders>
            <w:shd w:val="clear" w:color="000000" w:fill="FFFFFF"/>
            <w:vAlign w:val="center"/>
            <w:hideMark/>
          </w:tcPr>
          <w:p w14:paraId="3D68673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520" w:type="dxa"/>
            <w:tcBorders>
              <w:top w:val="single" w:sz="4" w:space="0" w:color="auto"/>
              <w:left w:val="nil"/>
              <w:bottom w:val="single" w:sz="4" w:space="0" w:color="auto"/>
              <w:right w:val="single" w:sz="4" w:space="0" w:color="auto"/>
            </w:tcBorders>
            <w:shd w:val="clear" w:color="000000" w:fill="FFFFFF"/>
            <w:vAlign w:val="center"/>
            <w:hideMark/>
          </w:tcPr>
          <w:p w14:paraId="694BED4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 xml:space="preserve">"Depreciation" </w:t>
            </w:r>
          </w:p>
        </w:tc>
        <w:tc>
          <w:tcPr>
            <w:tcW w:w="1820" w:type="dxa"/>
            <w:tcBorders>
              <w:top w:val="single" w:sz="4" w:space="0" w:color="auto"/>
              <w:left w:val="nil"/>
              <w:bottom w:val="single" w:sz="4" w:space="0" w:color="auto"/>
              <w:right w:val="single" w:sz="4" w:space="0" w:color="auto"/>
            </w:tcBorders>
            <w:shd w:val="clear" w:color="000000" w:fill="FFFFFF"/>
            <w:vAlign w:val="center"/>
            <w:hideMark/>
          </w:tcPr>
          <w:p w14:paraId="20DA0619"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2220" w:type="dxa"/>
            <w:tcBorders>
              <w:top w:val="nil"/>
              <w:left w:val="nil"/>
              <w:bottom w:val="nil"/>
              <w:right w:val="nil"/>
            </w:tcBorders>
            <w:shd w:val="clear" w:color="000000" w:fill="FFFFFF"/>
            <w:noWrap/>
            <w:vAlign w:val="center"/>
            <w:hideMark/>
          </w:tcPr>
          <w:p w14:paraId="6728AFF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EEEA04B" w14:textId="77777777" w:rsidTr="00941CB8">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center"/>
            <w:hideMark/>
          </w:tcPr>
          <w:p w14:paraId="259E65A1"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2100" w:type="dxa"/>
            <w:tcBorders>
              <w:top w:val="nil"/>
              <w:left w:val="nil"/>
              <w:bottom w:val="single" w:sz="4" w:space="0" w:color="auto"/>
              <w:right w:val="single" w:sz="4" w:space="0" w:color="auto"/>
            </w:tcBorders>
            <w:shd w:val="clear" w:color="000000" w:fill="FFFFFF"/>
            <w:noWrap/>
            <w:vAlign w:val="center"/>
            <w:hideMark/>
          </w:tcPr>
          <w:p w14:paraId="48ADA02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520" w:type="dxa"/>
            <w:tcBorders>
              <w:top w:val="nil"/>
              <w:left w:val="nil"/>
              <w:bottom w:val="single" w:sz="4" w:space="0" w:color="auto"/>
              <w:right w:val="single" w:sz="4" w:space="0" w:color="auto"/>
            </w:tcBorders>
            <w:shd w:val="clear" w:color="000000" w:fill="FFFFFF"/>
            <w:noWrap/>
            <w:vAlign w:val="center"/>
            <w:hideMark/>
          </w:tcPr>
          <w:p w14:paraId="47E63A75" w14:textId="77777777" w:rsidR="00941CB8" w:rsidRPr="00F61D2F" w:rsidRDefault="00941CB8" w:rsidP="00941CB8">
            <w:pPr>
              <w:spacing w:before="0" w:after="0" w:line="240" w:lineRule="auto"/>
              <w:jc w:val="center"/>
              <w:rPr>
                <w:color w:val="000000"/>
                <w:lang w:val="en-IN"/>
              </w:rPr>
            </w:pPr>
            <w:r w:rsidRPr="00F61D2F">
              <w:rPr>
                <w:color w:val="000000"/>
                <w:lang w:val="en-IN"/>
              </w:rPr>
              <w:t>0.00</w:t>
            </w:r>
          </w:p>
        </w:tc>
        <w:tc>
          <w:tcPr>
            <w:tcW w:w="1820" w:type="dxa"/>
            <w:tcBorders>
              <w:top w:val="nil"/>
              <w:left w:val="nil"/>
              <w:bottom w:val="single" w:sz="4" w:space="0" w:color="auto"/>
              <w:right w:val="single" w:sz="4" w:space="0" w:color="auto"/>
            </w:tcBorders>
            <w:shd w:val="clear" w:color="000000" w:fill="FFFFFF"/>
            <w:noWrap/>
            <w:vAlign w:val="center"/>
            <w:hideMark/>
          </w:tcPr>
          <w:p w14:paraId="665D741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220" w:type="dxa"/>
            <w:tcBorders>
              <w:top w:val="nil"/>
              <w:left w:val="nil"/>
              <w:bottom w:val="nil"/>
              <w:right w:val="nil"/>
            </w:tcBorders>
            <w:shd w:val="clear" w:color="000000" w:fill="FFFFFF"/>
            <w:noWrap/>
            <w:vAlign w:val="center"/>
            <w:hideMark/>
          </w:tcPr>
          <w:p w14:paraId="2A3C860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11D55BF" w14:textId="77777777" w:rsidTr="00941CB8">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center"/>
            <w:hideMark/>
          </w:tcPr>
          <w:p w14:paraId="538850B6"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2100" w:type="dxa"/>
            <w:tcBorders>
              <w:top w:val="nil"/>
              <w:left w:val="nil"/>
              <w:bottom w:val="single" w:sz="4" w:space="0" w:color="auto"/>
              <w:right w:val="single" w:sz="4" w:space="0" w:color="auto"/>
            </w:tcBorders>
            <w:shd w:val="clear" w:color="000000" w:fill="FFFFFF"/>
            <w:noWrap/>
            <w:vAlign w:val="center"/>
            <w:hideMark/>
          </w:tcPr>
          <w:p w14:paraId="2F8D2C8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auto"/>
              <w:right w:val="single" w:sz="4" w:space="0" w:color="auto"/>
            </w:tcBorders>
            <w:shd w:val="clear" w:color="000000" w:fill="FFFFFF"/>
            <w:noWrap/>
            <w:vAlign w:val="center"/>
            <w:hideMark/>
          </w:tcPr>
          <w:p w14:paraId="55F161A0"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auto"/>
              <w:right w:val="single" w:sz="4" w:space="0" w:color="auto"/>
            </w:tcBorders>
            <w:shd w:val="clear" w:color="000000" w:fill="FFFFFF"/>
            <w:noWrap/>
            <w:vAlign w:val="center"/>
            <w:hideMark/>
          </w:tcPr>
          <w:p w14:paraId="283B0E4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 </w:t>
            </w:r>
          </w:p>
        </w:tc>
        <w:tc>
          <w:tcPr>
            <w:tcW w:w="2220" w:type="dxa"/>
            <w:tcBorders>
              <w:top w:val="nil"/>
              <w:left w:val="nil"/>
              <w:bottom w:val="nil"/>
              <w:right w:val="nil"/>
            </w:tcBorders>
            <w:shd w:val="clear" w:color="000000" w:fill="FFFFFF"/>
            <w:noWrap/>
            <w:vAlign w:val="center"/>
            <w:hideMark/>
          </w:tcPr>
          <w:p w14:paraId="7C9F2A0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45498EB" w14:textId="77777777" w:rsidTr="00941CB8">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center"/>
            <w:hideMark/>
          </w:tcPr>
          <w:p w14:paraId="5D6F4133"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2100" w:type="dxa"/>
            <w:tcBorders>
              <w:top w:val="nil"/>
              <w:left w:val="nil"/>
              <w:bottom w:val="single" w:sz="4" w:space="0" w:color="auto"/>
              <w:right w:val="single" w:sz="4" w:space="0" w:color="auto"/>
            </w:tcBorders>
            <w:shd w:val="clear" w:color="000000" w:fill="FFFFFF"/>
            <w:noWrap/>
            <w:vAlign w:val="center"/>
            <w:hideMark/>
          </w:tcPr>
          <w:p w14:paraId="10251FF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auto"/>
              <w:right w:val="single" w:sz="4" w:space="0" w:color="auto"/>
            </w:tcBorders>
            <w:shd w:val="clear" w:color="000000" w:fill="FFFFFF"/>
            <w:noWrap/>
            <w:vAlign w:val="center"/>
            <w:hideMark/>
          </w:tcPr>
          <w:p w14:paraId="7B471A64"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auto"/>
              <w:right w:val="single" w:sz="4" w:space="0" w:color="auto"/>
            </w:tcBorders>
            <w:shd w:val="clear" w:color="000000" w:fill="FFFFFF"/>
            <w:noWrap/>
            <w:vAlign w:val="center"/>
            <w:hideMark/>
          </w:tcPr>
          <w:p w14:paraId="71CC773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 </w:t>
            </w:r>
          </w:p>
        </w:tc>
        <w:tc>
          <w:tcPr>
            <w:tcW w:w="2220" w:type="dxa"/>
            <w:tcBorders>
              <w:top w:val="nil"/>
              <w:left w:val="nil"/>
              <w:bottom w:val="nil"/>
              <w:right w:val="nil"/>
            </w:tcBorders>
            <w:shd w:val="clear" w:color="000000" w:fill="FFFFFF"/>
            <w:noWrap/>
            <w:vAlign w:val="center"/>
            <w:hideMark/>
          </w:tcPr>
          <w:p w14:paraId="4C069A2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2639595" w14:textId="77777777" w:rsidTr="00941CB8">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center"/>
            <w:hideMark/>
          </w:tcPr>
          <w:p w14:paraId="2C7B458A"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2100" w:type="dxa"/>
            <w:tcBorders>
              <w:top w:val="nil"/>
              <w:left w:val="nil"/>
              <w:bottom w:val="single" w:sz="4" w:space="0" w:color="auto"/>
              <w:right w:val="single" w:sz="4" w:space="0" w:color="auto"/>
            </w:tcBorders>
            <w:shd w:val="clear" w:color="000000" w:fill="FFFFFF"/>
            <w:noWrap/>
            <w:vAlign w:val="center"/>
            <w:hideMark/>
          </w:tcPr>
          <w:p w14:paraId="102794A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auto"/>
              <w:right w:val="single" w:sz="4" w:space="0" w:color="auto"/>
            </w:tcBorders>
            <w:shd w:val="clear" w:color="000000" w:fill="FFFFFF"/>
            <w:noWrap/>
            <w:vAlign w:val="center"/>
            <w:hideMark/>
          </w:tcPr>
          <w:p w14:paraId="597DA1A1"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auto"/>
              <w:right w:val="single" w:sz="4" w:space="0" w:color="auto"/>
            </w:tcBorders>
            <w:shd w:val="clear" w:color="000000" w:fill="FFFFFF"/>
            <w:noWrap/>
            <w:vAlign w:val="center"/>
            <w:hideMark/>
          </w:tcPr>
          <w:p w14:paraId="43AE7FB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 </w:t>
            </w:r>
          </w:p>
        </w:tc>
        <w:tc>
          <w:tcPr>
            <w:tcW w:w="2220" w:type="dxa"/>
            <w:tcBorders>
              <w:top w:val="nil"/>
              <w:left w:val="nil"/>
              <w:bottom w:val="nil"/>
              <w:right w:val="nil"/>
            </w:tcBorders>
            <w:shd w:val="clear" w:color="000000" w:fill="FFFFFF"/>
            <w:noWrap/>
            <w:vAlign w:val="center"/>
            <w:hideMark/>
          </w:tcPr>
          <w:p w14:paraId="186694B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0D80D64" w14:textId="77777777" w:rsidTr="00941CB8">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center"/>
            <w:hideMark/>
          </w:tcPr>
          <w:p w14:paraId="316E46F4"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2100" w:type="dxa"/>
            <w:tcBorders>
              <w:top w:val="nil"/>
              <w:left w:val="nil"/>
              <w:bottom w:val="single" w:sz="4" w:space="0" w:color="auto"/>
              <w:right w:val="single" w:sz="4" w:space="0" w:color="auto"/>
            </w:tcBorders>
            <w:shd w:val="clear" w:color="000000" w:fill="FFFFFF"/>
            <w:noWrap/>
            <w:vAlign w:val="center"/>
            <w:hideMark/>
          </w:tcPr>
          <w:p w14:paraId="6EA4BF9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auto"/>
              <w:right w:val="single" w:sz="4" w:space="0" w:color="auto"/>
            </w:tcBorders>
            <w:shd w:val="clear" w:color="000000" w:fill="FFFFFF"/>
            <w:noWrap/>
            <w:vAlign w:val="center"/>
            <w:hideMark/>
          </w:tcPr>
          <w:p w14:paraId="4157634B"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auto"/>
              <w:right w:val="single" w:sz="4" w:space="0" w:color="auto"/>
            </w:tcBorders>
            <w:shd w:val="clear" w:color="000000" w:fill="FFFFFF"/>
            <w:noWrap/>
            <w:vAlign w:val="center"/>
            <w:hideMark/>
          </w:tcPr>
          <w:p w14:paraId="508900E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 </w:t>
            </w:r>
          </w:p>
        </w:tc>
        <w:tc>
          <w:tcPr>
            <w:tcW w:w="2220" w:type="dxa"/>
            <w:tcBorders>
              <w:top w:val="nil"/>
              <w:left w:val="nil"/>
              <w:bottom w:val="nil"/>
              <w:right w:val="nil"/>
            </w:tcBorders>
            <w:shd w:val="clear" w:color="000000" w:fill="FFFFFF"/>
            <w:noWrap/>
            <w:vAlign w:val="center"/>
            <w:hideMark/>
          </w:tcPr>
          <w:p w14:paraId="32F44A6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7EA13B8" w14:textId="77777777" w:rsidTr="00941CB8">
        <w:trPr>
          <w:trHeight w:val="300"/>
        </w:trPr>
        <w:tc>
          <w:tcPr>
            <w:tcW w:w="960" w:type="dxa"/>
            <w:tcBorders>
              <w:top w:val="nil"/>
              <w:left w:val="single" w:sz="4" w:space="0" w:color="auto"/>
              <w:bottom w:val="single" w:sz="4" w:space="0" w:color="auto"/>
              <w:right w:val="single" w:sz="4" w:space="0" w:color="auto"/>
            </w:tcBorders>
            <w:shd w:val="clear" w:color="000000" w:fill="FFFFFF"/>
            <w:noWrap/>
            <w:vAlign w:val="center"/>
            <w:hideMark/>
          </w:tcPr>
          <w:p w14:paraId="5B868E57"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2100" w:type="dxa"/>
            <w:tcBorders>
              <w:top w:val="nil"/>
              <w:left w:val="nil"/>
              <w:bottom w:val="single" w:sz="4" w:space="0" w:color="auto"/>
              <w:right w:val="single" w:sz="4" w:space="0" w:color="auto"/>
            </w:tcBorders>
            <w:shd w:val="clear" w:color="000000" w:fill="FFFFFF"/>
            <w:noWrap/>
            <w:vAlign w:val="center"/>
            <w:hideMark/>
          </w:tcPr>
          <w:p w14:paraId="540F97B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11.00 </w:t>
            </w:r>
          </w:p>
        </w:tc>
        <w:tc>
          <w:tcPr>
            <w:tcW w:w="2520" w:type="dxa"/>
            <w:tcBorders>
              <w:top w:val="nil"/>
              <w:left w:val="nil"/>
              <w:bottom w:val="single" w:sz="4" w:space="0" w:color="auto"/>
              <w:right w:val="single" w:sz="4" w:space="0" w:color="auto"/>
            </w:tcBorders>
            <w:shd w:val="clear" w:color="000000" w:fill="FFFFFF"/>
            <w:noWrap/>
            <w:vAlign w:val="center"/>
            <w:hideMark/>
          </w:tcPr>
          <w:p w14:paraId="753C27D6"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820" w:type="dxa"/>
            <w:tcBorders>
              <w:top w:val="nil"/>
              <w:left w:val="nil"/>
              <w:bottom w:val="single" w:sz="4" w:space="0" w:color="auto"/>
              <w:right w:val="single" w:sz="4" w:space="0" w:color="auto"/>
            </w:tcBorders>
            <w:shd w:val="clear" w:color="000000" w:fill="FFFFFF"/>
            <w:noWrap/>
            <w:vAlign w:val="center"/>
            <w:hideMark/>
          </w:tcPr>
          <w:p w14:paraId="1FD12D3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 </w:t>
            </w:r>
          </w:p>
        </w:tc>
        <w:tc>
          <w:tcPr>
            <w:tcW w:w="2220" w:type="dxa"/>
            <w:tcBorders>
              <w:top w:val="nil"/>
              <w:left w:val="nil"/>
              <w:bottom w:val="nil"/>
              <w:right w:val="nil"/>
            </w:tcBorders>
            <w:shd w:val="clear" w:color="000000" w:fill="FFFFFF"/>
            <w:noWrap/>
            <w:vAlign w:val="center"/>
            <w:hideMark/>
          </w:tcPr>
          <w:p w14:paraId="36C03CD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BE13E5A" w14:textId="77777777" w:rsidTr="00941CB8">
        <w:trPr>
          <w:trHeight w:val="312"/>
        </w:trPr>
        <w:tc>
          <w:tcPr>
            <w:tcW w:w="5580" w:type="dxa"/>
            <w:gridSpan w:val="3"/>
            <w:tcBorders>
              <w:top w:val="single" w:sz="4" w:space="0" w:color="auto"/>
              <w:left w:val="single" w:sz="4" w:space="0" w:color="auto"/>
              <w:bottom w:val="single" w:sz="4" w:space="0" w:color="auto"/>
              <w:right w:val="single" w:sz="4" w:space="0" w:color="000000"/>
            </w:tcBorders>
            <w:shd w:val="clear" w:color="000000" w:fill="FFFFFF"/>
            <w:vAlign w:val="center"/>
            <w:hideMark/>
          </w:tcPr>
          <w:p w14:paraId="3A031BA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 xml:space="preserve">"Accounting Rate of Return (ARR) of Project B" </w:t>
            </w:r>
          </w:p>
        </w:tc>
        <w:tc>
          <w:tcPr>
            <w:tcW w:w="1820" w:type="dxa"/>
            <w:tcBorders>
              <w:top w:val="nil"/>
              <w:left w:val="nil"/>
              <w:bottom w:val="single" w:sz="4" w:space="0" w:color="auto"/>
              <w:right w:val="single" w:sz="4" w:space="0" w:color="auto"/>
            </w:tcBorders>
            <w:shd w:val="clear" w:color="000000" w:fill="FFFFFF"/>
            <w:vAlign w:val="center"/>
            <w:hideMark/>
          </w:tcPr>
          <w:p w14:paraId="244812FC"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2.00%</w:t>
            </w:r>
          </w:p>
        </w:tc>
        <w:tc>
          <w:tcPr>
            <w:tcW w:w="2220" w:type="dxa"/>
            <w:tcBorders>
              <w:top w:val="nil"/>
              <w:left w:val="nil"/>
              <w:bottom w:val="nil"/>
              <w:right w:val="nil"/>
            </w:tcBorders>
            <w:shd w:val="clear" w:color="000000" w:fill="FFFFFF"/>
            <w:noWrap/>
            <w:vAlign w:val="center"/>
            <w:hideMark/>
          </w:tcPr>
          <w:p w14:paraId="7C0D0E0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bl>
    <w:p w14:paraId="10C87BF6" w14:textId="77777777" w:rsidR="00941CB8" w:rsidRPr="00F61D2F" w:rsidRDefault="00941CB8"/>
    <w:tbl>
      <w:tblPr>
        <w:tblW w:w="8840" w:type="dxa"/>
        <w:tblLook w:val="04A0" w:firstRow="1" w:lastRow="0" w:firstColumn="1" w:lastColumn="0" w:noHBand="0" w:noVBand="1"/>
      </w:tblPr>
      <w:tblGrid>
        <w:gridCol w:w="989"/>
        <w:gridCol w:w="1520"/>
        <w:gridCol w:w="2760"/>
        <w:gridCol w:w="1920"/>
        <w:gridCol w:w="1800"/>
      </w:tblGrid>
      <w:tr w:rsidR="00941CB8" w:rsidRPr="00F61D2F" w14:paraId="67EFE72C" w14:textId="77777777" w:rsidTr="00941CB8">
        <w:trPr>
          <w:trHeight w:val="1008"/>
        </w:trPr>
        <w:tc>
          <w:tcPr>
            <w:tcW w:w="8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AB71DF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520" w:type="dxa"/>
            <w:tcBorders>
              <w:top w:val="single" w:sz="4" w:space="0" w:color="000000"/>
              <w:left w:val="nil"/>
              <w:bottom w:val="single" w:sz="4" w:space="0" w:color="000000"/>
              <w:right w:val="single" w:sz="4" w:space="0" w:color="000000"/>
            </w:tcBorders>
            <w:shd w:val="clear" w:color="000000" w:fill="FFFFFF"/>
            <w:vAlign w:val="center"/>
            <w:hideMark/>
          </w:tcPr>
          <w:p w14:paraId="4E065FC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760" w:type="dxa"/>
            <w:tcBorders>
              <w:top w:val="single" w:sz="4" w:space="0" w:color="000000"/>
              <w:left w:val="nil"/>
              <w:bottom w:val="single" w:sz="4" w:space="0" w:color="000000"/>
              <w:right w:val="single" w:sz="4" w:space="0" w:color="000000"/>
            </w:tcBorders>
            <w:shd w:val="clear" w:color="000000" w:fill="FFFFFF"/>
            <w:vAlign w:val="center"/>
            <w:hideMark/>
          </w:tcPr>
          <w:p w14:paraId="6595529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1920" w:type="dxa"/>
            <w:tcBorders>
              <w:top w:val="single" w:sz="4" w:space="0" w:color="000000"/>
              <w:left w:val="nil"/>
              <w:bottom w:val="single" w:sz="4" w:space="0" w:color="000000"/>
              <w:right w:val="single" w:sz="4" w:space="0" w:color="000000"/>
            </w:tcBorders>
            <w:shd w:val="clear" w:color="000000" w:fill="FFFFFF"/>
            <w:vAlign w:val="center"/>
            <w:hideMark/>
          </w:tcPr>
          <w:p w14:paraId="2C8D9FD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1800" w:type="dxa"/>
            <w:tcBorders>
              <w:top w:val="nil"/>
              <w:left w:val="nil"/>
              <w:bottom w:val="nil"/>
              <w:right w:val="nil"/>
            </w:tcBorders>
            <w:shd w:val="clear" w:color="000000" w:fill="FFFFFF"/>
            <w:noWrap/>
            <w:vAlign w:val="center"/>
            <w:hideMark/>
          </w:tcPr>
          <w:p w14:paraId="503A4EDA"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251A56D"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98464FD"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520" w:type="dxa"/>
            <w:tcBorders>
              <w:top w:val="nil"/>
              <w:left w:val="nil"/>
              <w:bottom w:val="single" w:sz="4" w:space="0" w:color="000000"/>
              <w:right w:val="single" w:sz="4" w:space="0" w:color="000000"/>
            </w:tcBorders>
            <w:shd w:val="clear" w:color="000000" w:fill="FFFFFF"/>
            <w:noWrap/>
            <w:vAlign w:val="center"/>
            <w:hideMark/>
          </w:tcPr>
          <w:p w14:paraId="67232E3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4BB14BB3"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000000"/>
              <w:right w:val="single" w:sz="4" w:space="0" w:color="000000"/>
            </w:tcBorders>
            <w:shd w:val="clear" w:color="000000" w:fill="FFFFFF"/>
            <w:noWrap/>
            <w:vAlign w:val="center"/>
            <w:hideMark/>
          </w:tcPr>
          <w:p w14:paraId="6BB1E9B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1800" w:type="dxa"/>
            <w:tcBorders>
              <w:top w:val="nil"/>
              <w:left w:val="nil"/>
              <w:bottom w:val="nil"/>
              <w:right w:val="nil"/>
            </w:tcBorders>
            <w:shd w:val="clear" w:color="000000" w:fill="FFFFFF"/>
            <w:noWrap/>
            <w:vAlign w:val="center"/>
            <w:hideMark/>
          </w:tcPr>
          <w:p w14:paraId="235F191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2B0230F"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614410ED"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520" w:type="dxa"/>
            <w:tcBorders>
              <w:top w:val="nil"/>
              <w:left w:val="nil"/>
              <w:bottom w:val="single" w:sz="4" w:space="0" w:color="000000"/>
              <w:right w:val="single" w:sz="4" w:space="0" w:color="000000"/>
            </w:tcBorders>
            <w:shd w:val="clear" w:color="000000" w:fill="FFFFFF"/>
            <w:noWrap/>
            <w:vAlign w:val="center"/>
            <w:hideMark/>
          </w:tcPr>
          <w:p w14:paraId="0B4A352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38E51572"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1920" w:type="dxa"/>
            <w:tcBorders>
              <w:top w:val="nil"/>
              <w:left w:val="nil"/>
              <w:bottom w:val="single" w:sz="4" w:space="0" w:color="000000"/>
              <w:right w:val="single" w:sz="4" w:space="0" w:color="000000"/>
            </w:tcBorders>
            <w:shd w:val="clear" w:color="000000" w:fill="FFFFFF"/>
            <w:noWrap/>
            <w:vAlign w:val="center"/>
            <w:hideMark/>
          </w:tcPr>
          <w:p w14:paraId="477483D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4.63 </w:t>
            </w:r>
          </w:p>
        </w:tc>
        <w:tc>
          <w:tcPr>
            <w:tcW w:w="1800" w:type="dxa"/>
            <w:tcBorders>
              <w:top w:val="nil"/>
              <w:left w:val="nil"/>
              <w:bottom w:val="nil"/>
              <w:right w:val="nil"/>
            </w:tcBorders>
            <w:shd w:val="clear" w:color="000000" w:fill="FFFFFF"/>
            <w:noWrap/>
            <w:vAlign w:val="center"/>
            <w:hideMark/>
          </w:tcPr>
          <w:p w14:paraId="5BF1B4C0"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16C52DC"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1A3DD337"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520" w:type="dxa"/>
            <w:tcBorders>
              <w:top w:val="nil"/>
              <w:left w:val="nil"/>
              <w:bottom w:val="single" w:sz="4" w:space="0" w:color="000000"/>
              <w:right w:val="single" w:sz="4" w:space="0" w:color="000000"/>
            </w:tcBorders>
            <w:shd w:val="clear" w:color="000000" w:fill="FFFFFF"/>
            <w:noWrap/>
            <w:vAlign w:val="center"/>
            <w:hideMark/>
          </w:tcPr>
          <w:p w14:paraId="50DC938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3913DAB6"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1920" w:type="dxa"/>
            <w:tcBorders>
              <w:top w:val="nil"/>
              <w:left w:val="nil"/>
              <w:bottom w:val="single" w:sz="4" w:space="0" w:color="000000"/>
              <w:right w:val="single" w:sz="4" w:space="0" w:color="000000"/>
            </w:tcBorders>
            <w:shd w:val="clear" w:color="000000" w:fill="FFFFFF"/>
            <w:noWrap/>
            <w:vAlign w:val="center"/>
            <w:hideMark/>
          </w:tcPr>
          <w:p w14:paraId="49BA54F4"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8.57 </w:t>
            </w:r>
          </w:p>
        </w:tc>
        <w:tc>
          <w:tcPr>
            <w:tcW w:w="1800" w:type="dxa"/>
            <w:tcBorders>
              <w:top w:val="nil"/>
              <w:left w:val="nil"/>
              <w:bottom w:val="nil"/>
              <w:right w:val="nil"/>
            </w:tcBorders>
            <w:shd w:val="clear" w:color="000000" w:fill="FFFFFF"/>
            <w:noWrap/>
            <w:vAlign w:val="center"/>
            <w:hideMark/>
          </w:tcPr>
          <w:p w14:paraId="0C59F08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C8267B7"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63B3C57E"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520" w:type="dxa"/>
            <w:tcBorders>
              <w:top w:val="nil"/>
              <w:left w:val="nil"/>
              <w:bottom w:val="single" w:sz="4" w:space="0" w:color="000000"/>
              <w:right w:val="single" w:sz="4" w:space="0" w:color="000000"/>
            </w:tcBorders>
            <w:shd w:val="clear" w:color="000000" w:fill="FFFFFF"/>
            <w:noWrap/>
            <w:vAlign w:val="center"/>
            <w:hideMark/>
          </w:tcPr>
          <w:p w14:paraId="02AC717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2C8A3515"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1920" w:type="dxa"/>
            <w:tcBorders>
              <w:top w:val="nil"/>
              <w:left w:val="nil"/>
              <w:bottom w:val="single" w:sz="4" w:space="0" w:color="000000"/>
              <w:right w:val="single" w:sz="4" w:space="0" w:color="000000"/>
            </w:tcBorders>
            <w:shd w:val="clear" w:color="000000" w:fill="FFFFFF"/>
            <w:noWrap/>
            <w:vAlign w:val="center"/>
            <w:hideMark/>
          </w:tcPr>
          <w:p w14:paraId="4D231F5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15.88 </w:t>
            </w:r>
          </w:p>
        </w:tc>
        <w:tc>
          <w:tcPr>
            <w:tcW w:w="1800" w:type="dxa"/>
            <w:tcBorders>
              <w:top w:val="nil"/>
              <w:left w:val="nil"/>
              <w:bottom w:val="nil"/>
              <w:right w:val="nil"/>
            </w:tcBorders>
            <w:shd w:val="clear" w:color="000000" w:fill="FFFFFF"/>
            <w:noWrap/>
            <w:vAlign w:val="center"/>
            <w:hideMark/>
          </w:tcPr>
          <w:p w14:paraId="57769D6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1B5C0404"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31D1C0C2"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520" w:type="dxa"/>
            <w:tcBorders>
              <w:top w:val="nil"/>
              <w:left w:val="nil"/>
              <w:bottom w:val="single" w:sz="4" w:space="0" w:color="000000"/>
              <w:right w:val="single" w:sz="4" w:space="0" w:color="000000"/>
            </w:tcBorders>
            <w:shd w:val="clear" w:color="000000" w:fill="FFFFFF"/>
            <w:noWrap/>
            <w:vAlign w:val="center"/>
            <w:hideMark/>
          </w:tcPr>
          <w:p w14:paraId="56DC8DE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663C659A"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1920" w:type="dxa"/>
            <w:tcBorders>
              <w:top w:val="nil"/>
              <w:left w:val="nil"/>
              <w:bottom w:val="single" w:sz="4" w:space="0" w:color="000000"/>
              <w:right w:val="single" w:sz="4" w:space="0" w:color="000000"/>
            </w:tcBorders>
            <w:shd w:val="clear" w:color="000000" w:fill="FFFFFF"/>
            <w:noWrap/>
            <w:vAlign w:val="center"/>
            <w:hideMark/>
          </w:tcPr>
          <w:p w14:paraId="3612B5D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18.38 </w:t>
            </w:r>
          </w:p>
        </w:tc>
        <w:tc>
          <w:tcPr>
            <w:tcW w:w="1800" w:type="dxa"/>
            <w:tcBorders>
              <w:top w:val="nil"/>
              <w:left w:val="nil"/>
              <w:bottom w:val="nil"/>
              <w:right w:val="nil"/>
            </w:tcBorders>
            <w:shd w:val="clear" w:color="000000" w:fill="FFFFFF"/>
            <w:noWrap/>
            <w:vAlign w:val="center"/>
            <w:hideMark/>
          </w:tcPr>
          <w:p w14:paraId="06D7AED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05FB292"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3412DBFB"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520" w:type="dxa"/>
            <w:tcBorders>
              <w:top w:val="nil"/>
              <w:left w:val="nil"/>
              <w:bottom w:val="single" w:sz="4" w:space="0" w:color="000000"/>
              <w:right w:val="single" w:sz="4" w:space="0" w:color="000000"/>
            </w:tcBorders>
            <w:shd w:val="clear" w:color="000000" w:fill="FFFFFF"/>
            <w:noWrap/>
            <w:vAlign w:val="center"/>
            <w:hideMark/>
          </w:tcPr>
          <w:p w14:paraId="528DED7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29DB1046"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1920" w:type="dxa"/>
            <w:tcBorders>
              <w:top w:val="nil"/>
              <w:left w:val="nil"/>
              <w:bottom w:val="single" w:sz="4" w:space="0" w:color="000000"/>
              <w:right w:val="single" w:sz="4" w:space="0" w:color="000000"/>
            </w:tcBorders>
            <w:shd w:val="clear" w:color="000000" w:fill="FFFFFF"/>
            <w:noWrap/>
            <w:vAlign w:val="center"/>
            <w:hideMark/>
          </w:tcPr>
          <w:p w14:paraId="540C097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3.40 </w:t>
            </w:r>
          </w:p>
        </w:tc>
        <w:tc>
          <w:tcPr>
            <w:tcW w:w="1800" w:type="dxa"/>
            <w:tcBorders>
              <w:top w:val="nil"/>
              <w:left w:val="nil"/>
              <w:bottom w:val="nil"/>
              <w:right w:val="nil"/>
            </w:tcBorders>
            <w:shd w:val="clear" w:color="000000" w:fill="FFFFFF"/>
            <w:noWrap/>
            <w:vAlign w:val="center"/>
            <w:hideMark/>
          </w:tcPr>
          <w:p w14:paraId="6CD3473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EF567E2" w14:textId="77777777" w:rsidTr="00941CB8">
        <w:trPr>
          <w:trHeight w:val="300"/>
        </w:trPr>
        <w:tc>
          <w:tcPr>
            <w:tcW w:w="5120" w:type="dxa"/>
            <w:gridSpan w:val="3"/>
            <w:tcBorders>
              <w:top w:val="single" w:sz="4" w:space="0" w:color="000000"/>
              <w:left w:val="single" w:sz="4" w:space="0" w:color="000000"/>
              <w:bottom w:val="single" w:sz="4" w:space="0" w:color="auto"/>
              <w:right w:val="single" w:sz="4" w:space="0" w:color="000000"/>
            </w:tcBorders>
            <w:shd w:val="clear" w:color="000000" w:fill="FFFFFF"/>
            <w:vAlign w:val="center"/>
            <w:hideMark/>
          </w:tcPr>
          <w:p w14:paraId="7252375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"Net Present Value (NPV) of Project C"</w:t>
            </w:r>
          </w:p>
        </w:tc>
        <w:tc>
          <w:tcPr>
            <w:tcW w:w="1920" w:type="dxa"/>
            <w:tcBorders>
              <w:top w:val="nil"/>
              <w:left w:val="nil"/>
              <w:bottom w:val="nil"/>
              <w:right w:val="single" w:sz="4" w:space="0" w:color="000000"/>
            </w:tcBorders>
            <w:shd w:val="clear" w:color="000000" w:fill="FFFFFF"/>
            <w:vAlign w:val="center"/>
            <w:hideMark/>
          </w:tcPr>
          <w:p w14:paraId="57212C0A" w14:textId="77777777" w:rsidR="00941CB8" w:rsidRPr="00F61D2F" w:rsidRDefault="00941CB8" w:rsidP="00941CB8">
            <w:pPr>
              <w:spacing w:before="0" w:after="0" w:line="240" w:lineRule="auto"/>
              <w:jc w:val="left"/>
              <w:rPr>
                <w:b/>
                <w:bCs/>
                <w:color w:val="000000"/>
                <w:lang w:val="en-IN"/>
              </w:rPr>
            </w:pPr>
            <w:r w:rsidRPr="00F61D2F">
              <w:rPr>
                <w:b/>
                <w:bCs/>
                <w:color w:val="000000"/>
                <w:lang w:val="en-IN"/>
              </w:rPr>
              <w:t xml:space="preserve"> £               0.86 </w:t>
            </w:r>
          </w:p>
        </w:tc>
        <w:tc>
          <w:tcPr>
            <w:tcW w:w="1800" w:type="dxa"/>
            <w:tcBorders>
              <w:top w:val="nil"/>
              <w:left w:val="nil"/>
              <w:bottom w:val="nil"/>
              <w:right w:val="nil"/>
            </w:tcBorders>
            <w:shd w:val="clear" w:color="000000" w:fill="FFFFFF"/>
            <w:noWrap/>
            <w:vAlign w:val="center"/>
            <w:hideMark/>
          </w:tcPr>
          <w:p w14:paraId="2EA36F66"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8CB5FBB" w14:textId="77777777" w:rsidTr="00941CB8">
        <w:trPr>
          <w:trHeight w:val="300"/>
        </w:trPr>
        <w:tc>
          <w:tcPr>
            <w:tcW w:w="5120" w:type="dxa"/>
            <w:gridSpan w:val="3"/>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379F1C0C"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"Profitability Index (PI) of Project C"</w:t>
            </w:r>
          </w:p>
        </w:tc>
        <w:tc>
          <w:tcPr>
            <w:tcW w:w="1920" w:type="dxa"/>
            <w:tcBorders>
              <w:top w:val="single" w:sz="4" w:space="0" w:color="auto"/>
              <w:left w:val="nil"/>
              <w:bottom w:val="single" w:sz="4" w:space="0" w:color="auto"/>
              <w:right w:val="single" w:sz="4" w:space="0" w:color="auto"/>
            </w:tcBorders>
            <w:shd w:val="clear" w:color="000000" w:fill="FFFFFF"/>
            <w:noWrap/>
            <w:vAlign w:val="center"/>
            <w:hideMark/>
          </w:tcPr>
          <w:p w14:paraId="6E03D51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0.98</w:t>
            </w:r>
          </w:p>
        </w:tc>
        <w:tc>
          <w:tcPr>
            <w:tcW w:w="1800" w:type="dxa"/>
            <w:tcBorders>
              <w:top w:val="nil"/>
              <w:left w:val="nil"/>
              <w:bottom w:val="nil"/>
              <w:right w:val="nil"/>
            </w:tcBorders>
            <w:shd w:val="clear" w:color="000000" w:fill="FFFFFF"/>
            <w:noWrap/>
            <w:vAlign w:val="center"/>
            <w:hideMark/>
          </w:tcPr>
          <w:p w14:paraId="2413DB28"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9C3C0C5" w14:textId="77777777" w:rsidTr="00941CB8">
        <w:trPr>
          <w:trHeight w:val="300"/>
        </w:trPr>
        <w:tc>
          <w:tcPr>
            <w:tcW w:w="840" w:type="dxa"/>
            <w:tcBorders>
              <w:top w:val="nil"/>
              <w:left w:val="nil"/>
              <w:bottom w:val="nil"/>
              <w:right w:val="nil"/>
            </w:tcBorders>
            <w:shd w:val="clear" w:color="000000" w:fill="FFFFFF"/>
            <w:noWrap/>
            <w:vAlign w:val="center"/>
            <w:hideMark/>
          </w:tcPr>
          <w:p w14:paraId="1D244661"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520" w:type="dxa"/>
            <w:tcBorders>
              <w:top w:val="nil"/>
              <w:left w:val="nil"/>
              <w:bottom w:val="nil"/>
              <w:right w:val="nil"/>
            </w:tcBorders>
            <w:shd w:val="clear" w:color="000000" w:fill="FFFFFF"/>
            <w:noWrap/>
            <w:vAlign w:val="center"/>
            <w:hideMark/>
          </w:tcPr>
          <w:p w14:paraId="13ACA89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760" w:type="dxa"/>
            <w:tcBorders>
              <w:top w:val="nil"/>
              <w:left w:val="nil"/>
              <w:bottom w:val="nil"/>
              <w:right w:val="nil"/>
            </w:tcBorders>
            <w:shd w:val="clear" w:color="000000" w:fill="FFFFFF"/>
            <w:noWrap/>
            <w:vAlign w:val="center"/>
            <w:hideMark/>
          </w:tcPr>
          <w:p w14:paraId="61CD83C6"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920" w:type="dxa"/>
            <w:tcBorders>
              <w:top w:val="nil"/>
              <w:left w:val="nil"/>
              <w:bottom w:val="nil"/>
              <w:right w:val="nil"/>
            </w:tcBorders>
            <w:shd w:val="clear" w:color="000000" w:fill="FFFFFF"/>
            <w:noWrap/>
            <w:vAlign w:val="center"/>
            <w:hideMark/>
          </w:tcPr>
          <w:p w14:paraId="24451C9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00" w:type="dxa"/>
            <w:tcBorders>
              <w:top w:val="nil"/>
              <w:left w:val="nil"/>
              <w:bottom w:val="nil"/>
              <w:right w:val="nil"/>
            </w:tcBorders>
            <w:shd w:val="clear" w:color="000000" w:fill="FFFFFF"/>
            <w:noWrap/>
            <w:vAlign w:val="center"/>
            <w:hideMark/>
          </w:tcPr>
          <w:p w14:paraId="0A67C380"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A1E02D1" w14:textId="77777777" w:rsidTr="00941CB8">
        <w:trPr>
          <w:trHeight w:val="1080"/>
        </w:trPr>
        <w:tc>
          <w:tcPr>
            <w:tcW w:w="8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5C7130A"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520" w:type="dxa"/>
            <w:tcBorders>
              <w:top w:val="single" w:sz="4" w:space="0" w:color="000000"/>
              <w:left w:val="nil"/>
              <w:bottom w:val="single" w:sz="4" w:space="0" w:color="000000"/>
              <w:right w:val="single" w:sz="4" w:space="0" w:color="000000"/>
            </w:tcBorders>
            <w:shd w:val="clear" w:color="000000" w:fill="FFFFFF"/>
            <w:vAlign w:val="center"/>
            <w:hideMark/>
          </w:tcPr>
          <w:p w14:paraId="71325FCA"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760" w:type="dxa"/>
            <w:tcBorders>
              <w:top w:val="single" w:sz="4" w:space="0" w:color="000000"/>
              <w:left w:val="nil"/>
              <w:bottom w:val="single" w:sz="4" w:space="0" w:color="000000"/>
              <w:right w:val="single" w:sz="4" w:space="0" w:color="000000"/>
            </w:tcBorders>
            <w:shd w:val="clear" w:color="000000" w:fill="FFFFFF"/>
            <w:vAlign w:val="center"/>
            <w:hideMark/>
          </w:tcPr>
          <w:p w14:paraId="3491BDA6"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1920" w:type="dxa"/>
            <w:tcBorders>
              <w:top w:val="single" w:sz="4" w:space="0" w:color="000000"/>
              <w:left w:val="nil"/>
              <w:bottom w:val="single" w:sz="4" w:space="0" w:color="000000"/>
              <w:right w:val="single" w:sz="4" w:space="0" w:color="000000"/>
            </w:tcBorders>
            <w:shd w:val="clear" w:color="000000" w:fill="FFFFFF"/>
            <w:vAlign w:val="center"/>
            <w:hideMark/>
          </w:tcPr>
          <w:p w14:paraId="5625471F"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1800" w:type="dxa"/>
            <w:tcBorders>
              <w:top w:val="single" w:sz="4" w:space="0" w:color="000000"/>
              <w:left w:val="nil"/>
              <w:bottom w:val="single" w:sz="4" w:space="0" w:color="000000"/>
              <w:right w:val="single" w:sz="4" w:space="0" w:color="000000"/>
            </w:tcBorders>
            <w:shd w:val="clear" w:color="000000" w:fill="FFFFFF"/>
            <w:vAlign w:val="center"/>
            <w:hideMark/>
          </w:tcPr>
          <w:p w14:paraId="6F26447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Cumulative</w:t>
            </w:r>
          </w:p>
        </w:tc>
      </w:tr>
      <w:tr w:rsidR="00941CB8" w:rsidRPr="00F61D2F" w14:paraId="4AC0E136"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5C5EE790"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520" w:type="dxa"/>
            <w:tcBorders>
              <w:top w:val="nil"/>
              <w:left w:val="nil"/>
              <w:bottom w:val="single" w:sz="4" w:space="0" w:color="000000"/>
              <w:right w:val="single" w:sz="4" w:space="0" w:color="000000"/>
            </w:tcBorders>
            <w:shd w:val="clear" w:color="000000" w:fill="FFFFFF"/>
            <w:noWrap/>
            <w:vAlign w:val="center"/>
            <w:hideMark/>
          </w:tcPr>
          <w:p w14:paraId="3FE65EC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03CE9525"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000000"/>
              <w:right w:val="single" w:sz="4" w:space="0" w:color="000000"/>
            </w:tcBorders>
            <w:shd w:val="clear" w:color="000000" w:fill="FFFFFF"/>
            <w:noWrap/>
            <w:vAlign w:val="center"/>
            <w:hideMark/>
          </w:tcPr>
          <w:p w14:paraId="273C5D4C"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1800" w:type="dxa"/>
            <w:tcBorders>
              <w:top w:val="nil"/>
              <w:left w:val="nil"/>
              <w:bottom w:val="single" w:sz="4" w:space="0" w:color="000000"/>
              <w:right w:val="single" w:sz="4" w:space="0" w:color="000000"/>
            </w:tcBorders>
            <w:shd w:val="clear" w:color="000000" w:fill="FFFFFF"/>
            <w:noWrap/>
            <w:vAlign w:val="center"/>
            <w:hideMark/>
          </w:tcPr>
          <w:p w14:paraId="51D3F09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r>
      <w:tr w:rsidR="00941CB8" w:rsidRPr="00F61D2F" w14:paraId="04F6B40A"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648CBC17"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520" w:type="dxa"/>
            <w:tcBorders>
              <w:top w:val="nil"/>
              <w:left w:val="nil"/>
              <w:bottom w:val="single" w:sz="4" w:space="0" w:color="000000"/>
              <w:right w:val="single" w:sz="4" w:space="0" w:color="000000"/>
            </w:tcBorders>
            <w:shd w:val="clear" w:color="000000" w:fill="FFFFFF"/>
            <w:noWrap/>
            <w:vAlign w:val="center"/>
            <w:hideMark/>
          </w:tcPr>
          <w:p w14:paraId="0618B8A4"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7D702FD6"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1920" w:type="dxa"/>
            <w:tcBorders>
              <w:top w:val="nil"/>
              <w:left w:val="nil"/>
              <w:bottom w:val="single" w:sz="4" w:space="0" w:color="000000"/>
              <w:right w:val="single" w:sz="4" w:space="0" w:color="000000"/>
            </w:tcBorders>
            <w:shd w:val="clear" w:color="000000" w:fill="FFFFFF"/>
            <w:noWrap/>
            <w:vAlign w:val="center"/>
            <w:hideMark/>
          </w:tcPr>
          <w:p w14:paraId="53E810C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4.63 </w:t>
            </w:r>
          </w:p>
        </w:tc>
        <w:tc>
          <w:tcPr>
            <w:tcW w:w="1800" w:type="dxa"/>
            <w:tcBorders>
              <w:top w:val="nil"/>
              <w:left w:val="nil"/>
              <w:bottom w:val="single" w:sz="4" w:space="0" w:color="000000"/>
              <w:right w:val="single" w:sz="4" w:space="0" w:color="000000"/>
            </w:tcBorders>
            <w:shd w:val="clear" w:color="000000" w:fill="FFFFFF"/>
            <w:noWrap/>
            <w:vAlign w:val="center"/>
            <w:hideMark/>
          </w:tcPr>
          <w:p w14:paraId="08D8EC8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45.37 </w:t>
            </w:r>
          </w:p>
        </w:tc>
      </w:tr>
      <w:tr w:rsidR="00941CB8" w:rsidRPr="00F61D2F" w14:paraId="34DA12DA"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07659191"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520" w:type="dxa"/>
            <w:tcBorders>
              <w:top w:val="nil"/>
              <w:left w:val="nil"/>
              <w:bottom w:val="single" w:sz="4" w:space="0" w:color="000000"/>
              <w:right w:val="single" w:sz="4" w:space="0" w:color="000000"/>
            </w:tcBorders>
            <w:shd w:val="clear" w:color="000000" w:fill="FFFFFF"/>
            <w:noWrap/>
            <w:vAlign w:val="center"/>
            <w:hideMark/>
          </w:tcPr>
          <w:p w14:paraId="5E8E286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0EB141F4"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1920" w:type="dxa"/>
            <w:tcBorders>
              <w:top w:val="nil"/>
              <w:left w:val="nil"/>
              <w:bottom w:val="single" w:sz="4" w:space="0" w:color="000000"/>
              <w:right w:val="single" w:sz="4" w:space="0" w:color="000000"/>
            </w:tcBorders>
            <w:shd w:val="clear" w:color="000000" w:fill="FFFFFF"/>
            <w:noWrap/>
            <w:vAlign w:val="center"/>
            <w:hideMark/>
          </w:tcPr>
          <w:p w14:paraId="413BE024"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8.57 </w:t>
            </w:r>
          </w:p>
        </w:tc>
        <w:tc>
          <w:tcPr>
            <w:tcW w:w="1800" w:type="dxa"/>
            <w:tcBorders>
              <w:top w:val="nil"/>
              <w:left w:val="nil"/>
              <w:bottom w:val="single" w:sz="4" w:space="0" w:color="000000"/>
              <w:right w:val="single" w:sz="4" w:space="0" w:color="000000"/>
            </w:tcBorders>
            <w:shd w:val="clear" w:color="000000" w:fill="FFFFFF"/>
            <w:noWrap/>
            <w:vAlign w:val="center"/>
            <w:hideMark/>
          </w:tcPr>
          <w:p w14:paraId="3112AF4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36.80 </w:t>
            </w:r>
          </w:p>
        </w:tc>
      </w:tr>
      <w:tr w:rsidR="00941CB8" w:rsidRPr="00F61D2F" w14:paraId="235AFCEC"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2D11FE8D"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520" w:type="dxa"/>
            <w:tcBorders>
              <w:top w:val="nil"/>
              <w:left w:val="nil"/>
              <w:bottom w:val="single" w:sz="4" w:space="0" w:color="000000"/>
              <w:right w:val="single" w:sz="4" w:space="0" w:color="000000"/>
            </w:tcBorders>
            <w:shd w:val="clear" w:color="000000" w:fill="FFFFFF"/>
            <w:noWrap/>
            <w:vAlign w:val="center"/>
            <w:hideMark/>
          </w:tcPr>
          <w:p w14:paraId="265F3A6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2E4FFFFF"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1920" w:type="dxa"/>
            <w:tcBorders>
              <w:top w:val="nil"/>
              <w:left w:val="nil"/>
              <w:bottom w:val="single" w:sz="4" w:space="0" w:color="000000"/>
              <w:right w:val="single" w:sz="4" w:space="0" w:color="000000"/>
            </w:tcBorders>
            <w:shd w:val="clear" w:color="000000" w:fill="FFFFFF"/>
            <w:noWrap/>
            <w:vAlign w:val="center"/>
            <w:hideMark/>
          </w:tcPr>
          <w:p w14:paraId="4E1CA22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15.88 </w:t>
            </w:r>
          </w:p>
        </w:tc>
        <w:tc>
          <w:tcPr>
            <w:tcW w:w="1800" w:type="dxa"/>
            <w:tcBorders>
              <w:top w:val="nil"/>
              <w:left w:val="nil"/>
              <w:bottom w:val="single" w:sz="4" w:space="0" w:color="000000"/>
              <w:right w:val="single" w:sz="4" w:space="0" w:color="000000"/>
            </w:tcBorders>
            <w:shd w:val="clear" w:color="000000" w:fill="FFFFFF"/>
            <w:noWrap/>
            <w:vAlign w:val="center"/>
            <w:hideMark/>
          </w:tcPr>
          <w:p w14:paraId="3B861ED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20.92 </w:t>
            </w:r>
          </w:p>
        </w:tc>
      </w:tr>
      <w:tr w:rsidR="00941CB8" w:rsidRPr="00F61D2F" w14:paraId="751D38D9"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4A5AE24"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520" w:type="dxa"/>
            <w:tcBorders>
              <w:top w:val="nil"/>
              <w:left w:val="nil"/>
              <w:bottom w:val="single" w:sz="4" w:space="0" w:color="000000"/>
              <w:right w:val="single" w:sz="4" w:space="0" w:color="000000"/>
            </w:tcBorders>
            <w:shd w:val="clear" w:color="000000" w:fill="FFFFFF"/>
            <w:noWrap/>
            <w:vAlign w:val="center"/>
            <w:hideMark/>
          </w:tcPr>
          <w:p w14:paraId="13169510"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6461558F"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1920" w:type="dxa"/>
            <w:tcBorders>
              <w:top w:val="nil"/>
              <w:left w:val="nil"/>
              <w:bottom w:val="single" w:sz="4" w:space="0" w:color="000000"/>
              <w:right w:val="single" w:sz="4" w:space="0" w:color="000000"/>
            </w:tcBorders>
            <w:shd w:val="clear" w:color="000000" w:fill="FFFFFF"/>
            <w:noWrap/>
            <w:vAlign w:val="center"/>
            <w:hideMark/>
          </w:tcPr>
          <w:p w14:paraId="051C4B7C"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18.38 </w:t>
            </w:r>
          </w:p>
        </w:tc>
        <w:tc>
          <w:tcPr>
            <w:tcW w:w="1800" w:type="dxa"/>
            <w:tcBorders>
              <w:top w:val="nil"/>
              <w:left w:val="nil"/>
              <w:bottom w:val="single" w:sz="4" w:space="0" w:color="000000"/>
              <w:right w:val="single" w:sz="4" w:space="0" w:color="000000"/>
            </w:tcBorders>
            <w:shd w:val="clear" w:color="000000" w:fill="FFFFFF"/>
            <w:noWrap/>
            <w:vAlign w:val="center"/>
            <w:hideMark/>
          </w:tcPr>
          <w:p w14:paraId="2988832E"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2.54 </w:t>
            </w:r>
          </w:p>
        </w:tc>
      </w:tr>
      <w:tr w:rsidR="00941CB8" w:rsidRPr="00F61D2F" w14:paraId="25559F6F"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D1AE56C"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520" w:type="dxa"/>
            <w:tcBorders>
              <w:top w:val="nil"/>
              <w:left w:val="nil"/>
              <w:bottom w:val="single" w:sz="4" w:space="0" w:color="000000"/>
              <w:right w:val="single" w:sz="4" w:space="0" w:color="000000"/>
            </w:tcBorders>
            <w:shd w:val="clear" w:color="000000" w:fill="FFFFFF"/>
            <w:noWrap/>
            <w:vAlign w:val="center"/>
            <w:hideMark/>
          </w:tcPr>
          <w:p w14:paraId="0BE06589"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3AA3F1A4"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1920" w:type="dxa"/>
            <w:tcBorders>
              <w:top w:val="nil"/>
              <w:left w:val="nil"/>
              <w:bottom w:val="single" w:sz="4" w:space="0" w:color="000000"/>
              <w:right w:val="single" w:sz="4" w:space="0" w:color="000000"/>
            </w:tcBorders>
            <w:shd w:val="clear" w:color="000000" w:fill="FFFFFF"/>
            <w:noWrap/>
            <w:vAlign w:val="center"/>
            <w:hideMark/>
          </w:tcPr>
          <w:p w14:paraId="3E79F53F"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3.40 </w:t>
            </w:r>
          </w:p>
        </w:tc>
        <w:tc>
          <w:tcPr>
            <w:tcW w:w="1800" w:type="dxa"/>
            <w:tcBorders>
              <w:top w:val="nil"/>
              <w:left w:val="nil"/>
              <w:bottom w:val="single" w:sz="4" w:space="0" w:color="000000"/>
              <w:right w:val="single" w:sz="4" w:space="0" w:color="000000"/>
            </w:tcBorders>
            <w:shd w:val="clear" w:color="000000" w:fill="FFFFFF"/>
            <w:noWrap/>
            <w:vAlign w:val="center"/>
            <w:hideMark/>
          </w:tcPr>
          <w:p w14:paraId="67C2557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0.86 </w:t>
            </w:r>
          </w:p>
        </w:tc>
      </w:tr>
      <w:tr w:rsidR="00941CB8" w:rsidRPr="00F61D2F" w14:paraId="24595585" w14:textId="77777777" w:rsidTr="00941CB8">
        <w:trPr>
          <w:trHeight w:val="300"/>
        </w:trPr>
        <w:tc>
          <w:tcPr>
            <w:tcW w:w="7040" w:type="dxa"/>
            <w:gridSpan w:val="4"/>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60D219B3"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"Payback Period (PBP) of Project C"</w:t>
            </w:r>
          </w:p>
        </w:tc>
        <w:tc>
          <w:tcPr>
            <w:tcW w:w="1800" w:type="dxa"/>
            <w:tcBorders>
              <w:top w:val="nil"/>
              <w:left w:val="nil"/>
              <w:bottom w:val="single" w:sz="4" w:space="0" w:color="000000"/>
              <w:right w:val="single" w:sz="4" w:space="0" w:color="000000"/>
            </w:tcBorders>
            <w:shd w:val="clear" w:color="000000" w:fill="FFFFFF"/>
            <w:vAlign w:val="center"/>
            <w:hideMark/>
          </w:tcPr>
          <w:p w14:paraId="7730C097"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Not Recovered</w:t>
            </w:r>
          </w:p>
        </w:tc>
      </w:tr>
      <w:tr w:rsidR="00941CB8" w:rsidRPr="00F61D2F" w14:paraId="761F5DD4" w14:textId="77777777" w:rsidTr="00941CB8">
        <w:trPr>
          <w:trHeight w:val="300"/>
        </w:trPr>
        <w:tc>
          <w:tcPr>
            <w:tcW w:w="840" w:type="dxa"/>
            <w:tcBorders>
              <w:top w:val="nil"/>
              <w:left w:val="nil"/>
              <w:bottom w:val="nil"/>
              <w:right w:val="nil"/>
            </w:tcBorders>
            <w:shd w:val="clear" w:color="000000" w:fill="FFFFFF"/>
            <w:noWrap/>
            <w:vAlign w:val="center"/>
            <w:hideMark/>
          </w:tcPr>
          <w:p w14:paraId="1232A21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520" w:type="dxa"/>
            <w:tcBorders>
              <w:top w:val="nil"/>
              <w:left w:val="nil"/>
              <w:bottom w:val="nil"/>
              <w:right w:val="nil"/>
            </w:tcBorders>
            <w:shd w:val="clear" w:color="000000" w:fill="FFFFFF"/>
            <w:noWrap/>
            <w:vAlign w:val="center"/>
            <w:hideMark/>
          </w:tcPr>
          <w:p w14:paraId="3B82015C"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760" w:type="dxa"/>
            <w:tcBorders>
              <w:top w:val="nil"/>
              <w:left w:val="nil"/>
              <w:bottom w:val="nil"/>
              <w:right w:val="nil"/>
            </w:tcBorders>
            <w:shd w:val="clear" w:color="000000" w:fill="FFFFFF"/>
            <w:noWrap/>
            <w:vAlign w:val="center"/>
            <w:hideMark/>
          </w:tcPr>
          <w:p w14:paraId="057B0390"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920" w:type="dxa"/>
            <w:tcBorders>
              <w:top w:val="nil"/>
              <w:left w:val="nil"/>
              <w:bottom w:val="nil"/>
              <w:right w:val="nil"/>
            </w:tcBorders>
            <w:shd w:val="clear" w:color="000000" w:fill="FFFFFF"/>
            <w:noWrap/>
            <w:vAlign w:val="center"/>
            <w:hideMark/>
          </w:tcPr>
          <w:p w14:paraId="5B44565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00" w:type="dxa"/>
            <w:tcBorders>
              <w:top w:val="nil"/>
              <w:left w:val="nil"/>
              <w:bottom w:val="nil"/>
              <w:right w:val="nil"/>
            </w:tcBorders>
            <w:shd w:val="clear" w:color="000000" w:fill="FFFFFF"/>
            <w:noWrap/>
            <w:vAlign w:val="center"/>
            <w:hideMark/>
          </w:tcPr>
          <w:p w14:paraId="67B06BA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3DE39AE" w14:textId="77777777" w:rsidTr="00941CB8">
        <w:trPr>
          <w:trHeight w:val="852"/>
        </w:trPr>
        <w:tc>
          <w:tcPr>
            <w:tcW w:w="8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C5F7EA2"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520" w:type="dxa"/>
            <w:tcBorders>
              <w:top w:val="single" w:sz="4" w:space="0" w:color="000000"/>
              <w:left w:val="nil"/>
              <w:bottom w:val="single" w:sz="4" w:space="0" w:color="000000"/>
              <w:right w:val="single" w:sz="4" w:space="0" w:color="000000"/>
            </w:tcBorders>
            <w:shd w:val="clear" w:color="000000" w:fill="FFFFFF"/>
            <w:vAlign w:val="center"/>
            <w:hideMark/>
          </w:tcPr>
          <w:p w14:paraId="6689E6FD"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Cashflow</w:t>
            </w:r>
          </w:p>
        </w:tc>
        <w:tc>
          <w:tcPr>
            <w:tcW w:w="2760" w:type="dxa"/>
            <w:tcBorders>
              <w:top w:val="single" w:sz="4" w:space="0" w:color="000000"/>
              <w:left w:val="nil"/>
              <w:bottom w:val="single" w:sz="4" w:space="0" w:color="000000"/>
              <w:right w:val="single" w:sz="4" w:space="0" w:color="000000"/>
            </w:tcBorders>
            <w:shd w:val="clear" w:color="000000" w:fill="FFFFFF"/>
            <w:vAlign w:val="center"/>
            <w:hideMark/>
          </w:tcPr>
          <w:p w14:paraId="536F6574"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"Discounting Factor @8%"</w:t>
            </w:r>
          </w:p>
        </w:tc>
        <w:tc>
          <w:tcPr>
            <w:tcW w:w="1920" w:type="dxa"/>
            <w:tcBorders>
              <w:top w:val="single" w:sz="4" w:space="0" w:color="000000"/>
              <w:left w:val="nil"/>
              <w:bottom w:val="single" w:sz="4" w:space="0" w:color="000000"/>
              <w:right w:val="single" w:sz="4" w:space="0" w:color="000000"/>
            </w:tcBorders>
            <w:shd w:val="clear" w:color="000000" w:fill="FFFFFF"/>
            <w:vAlign w:val="center"/>
            <w:hideMark/>
          </w:tcPr>
          <w:p w14:paraId="73940268"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1800" w:type="dxa"/>
            <w:tcBorders>
              <w:top w:val="nil"/>
              <w:left w:val="nil"/>
              <w:bottom w:val="nil"/>
              <w:right w:val="nil"/>
            </w:tcBorders>
            <w:shd w:val="clear" w:color="000000" w:fill="FFFFFF"/>
            <w:noWrap/>
            <w:vAlign w:val="center"/>
            <w:hideMark/>
          </w:tcPr>
          <w:p w14:paraId="102D45D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15EA0A9"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6F578E7E"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520" w:type="dxa"/>
            <w:tcBorders>
              <w:top w:val="nil"/>
              <w:left w:val="nil"/>
              <w:bottom w:val="single" w:sz="4" w:space="0" w:color="000000"/>
              <w:right w:val="single" w:sz="4" w:space="0" w:color="000000"/>
            </w:tcBorders>
            <w:shd w:val="clear" w:color="000000" w:fill="FFFFFF"/>
            <w:noWrap/>
            <w:vAlign w:val="center"/>
            <w:hideMark/>
          </w:tcPr>
          <w:p w14:paraId="0D02602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2F2F6CB2"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000000"/>
              <w:right w:val="single" w:sz="4" w:space="0" w:color="000000"/>
            </w:tcBorders>
            <w:shd w:val="clear" w:color="000000" w:fill="FFFFFF"/>
            <w:noWrap/>
            <w:vAlign w:val="center"/>
            <w:hideMark/>
          </w:tcPr>
          <w:p w14:paraId="4969A8C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1800" w:type="dxa"/>
            <w:tcBorders>
              <w:top w:val="nil"/>
              <w:left w:val="nil"/>
              <w:bottom w:val="nil"/>
              <w:right w:val="nil"/>
            </w:tcBorders>
            <w:shd w:val="clear" w:color="000000" w:fill="FFFFFF"/>
            <w:noWrap/>
            <w:vAlign w:val="center"/>
            <w:hideMark/>
          </w:tcPr>
          <w:p w14:paraId="757DACE4"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6796815"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56465AB8"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520" w:type="dxa"/>
            <w:tcBorders>
              <w:top w:val="nil"/>
              <w:left w:val="nil"/>
              <w:bottom w:val="single" w:sz="4" w:space="0" w:color="000000"/>
              <w:right w:val="single" w:sz="4" w:space="0" w:color="000000"/>
            </w:tcBorders>
            <w:shd w:val="clear" w:color="000000" w:fill="FFFFFF"/>
            <w:noWrap/>
            <w:vAlign w:val="center"/>
            <w:hideMark/>
          </w:tcPr>
          <w:p w14:paraId="64133143"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4F55D12C" w14:textId="77777777" w:rsidR="00941CB8" w:rsidRPr="00F61D2F" w:rsidRDefault="00941CB8" w:rsidP="00941CB8">
            <w:pPr>
              <w:spacing w:before="0" w:after="0" w:line="240" w:lineRule="auto"/>
              <w:jc w:val="center"/>
              <w:rPr>
                <w:color w:val="000000"/>
                <w:lang w:val="en-IN"/>
              </w:rPr>
            </w:pPr>
            <w:r w:rsidRPr="00F61D2F">
              <w:rPr>
                <w:color w:val="000000"/>
                <w:lang w:val="en-IN"/>
              </w:rPr>
              <w:t>0.926</w:t>
            </w:r>
          </w:p>
        </w:tc>
        <w:tc>
          <w:tcPr>
            <w:tcW w:w="1920" w:type="dxa"/>
            <w:tcBorders>
              <w:top w:val="nil"/>
              <w:left w:val="nil"/>
              <w:bottom w:val="single" w:sz="4" w:space="0" w:color="000000"/>
              <w:right w:val="single" w:sz="4" w:space="0" w:color="000000"/>
            </w:tcBorders>
            <w:shd w:val="clear" w:color="000000" w:fill="FFFFFF"/>
            <w:noWrap/>
            <w:vAlign w:val="center"/>
            <w:hideMark/>
          </w:tcPr>
          <w:p w14:paraId="2A466C2A"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4.63 </w:t>
            </w:r>
          </w:p>
        </w:tc>
        <w:tc>
          <w:tcPr>
            <w:tcW w:w="1800" w:type="dxa"/>
            <w:tcBorders>
              <w:top w:val="nil"/>
              <w:left w:val="nil"/>
              <w:bottom w:val="nil"/>
              <w:right w:val="nil"/>
            </w:tcBorders>
            <w:shd w:val="clear" w:color="000000" w:fill="FFFFFF"/>
            <w:noWrap/>
            <w:vAlign w:val="center"/>
            <w:hideMark/>
          </w:tcPr>
          <w:p w14:paraId="6AB03F4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C8D876A"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A9AB1CF"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520" w:type="dxa"/>
            <w:tcBorders>
              <w:top w:val="nil"/>
              <w:left w:val="nil"/>
              <w:bottom w:val="single" w:sz="4" w:space="0" w:color="000000"/>
              <w:right w:val="single" w:sz="4" w:space="0" w:color="000000"/>
            </w:tcBorders>
            <w:shd w:val="clear" w:color="000000" w:fill="FFFFFF"/>
            <w:noWrap/>
            <w:vAlign w:val="center"/>
            <w:hideMark/>
          </w:tcPr>
          <w:p w14:paraId="1BA45DA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0BA937C5" w14:textId="77777777" w:rsidR="00941CB8" w:rsidRPr="00F61D2F" w:rsidRDefault="00941CB8" w:rsidP="00941CB8">
            <w:pPr>
              <w:spacing w:before="0" w:after="0" w:line="240" w:lineRule="auto"/>
              <w:jc w:val="center"/>
              <w:rPr>
                <w:color w:val="000000"/>
                <w:lang w:val="en-IN"/>
              </w:rPr>
            </w:pPr>
            <w:r w:rsidRPr="00F61D2F">
              <w:rPr>
                <w:color w:val="000000"/>
                <w:lang w:val="en-IN"/>
              </w:rPr>
              <w:t>0.857</w:t>
            </w:r>
          </w:p>
        </w:tc>
        <w:tc>
          <w:tcPr>
            <w:tcW w:w="1920" w:type="dxa"/>
            <w:tcBorders>
              <w:top w:val="nil"/>
              <w:left w:val="nil"/>
              <w:bottom w:val="single" w:sz="4" w:space="0" w:color="000000"/>
              <w:right w:val="single" w:sz="4" w:space="0" w:color="000000"/>
            </w:tcBorders>
            <w:shd w:val="clear" w:color="000000" w:fill="FFFFFF"/>
            <w:noWrap/>
            <w:vAlign w:val="center"/>
            <w:hideMark/>
          </w:tcPr>
          <w:p w14:paraId="75CD363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8.57 </w:t>
            </w:r>
          </w:p>
        </w:tc>
        <w:tc>
          <w:tcPr>
            <w:tcW w:w="1800" w:type="dxa"/>
            <w:tcBorders>
              <w:top w:val="nil"/>
              <w:left w:val="nil"/>
              <w:bottom w:val="nil"/>
              <w:right w:val="nil"/>
            </w:tcBorders>
            <w:shd w:val="clear" w:color="000000" w:fill="FFFFFF"/>
            <w:noWrap/>
            <w:vAlign w:val="center"/>
            <w:hideMark/>
          </w:tcPr>
          <w:p w14:paraId="5CA5B7EB"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2726F81"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3C90CD91"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520" w:type="dxa"/>
            <w:tcBorders>
              <w:top w:val="nil"/>
              <w:left w:val="nil"/>
              <w:bottom w:val="single" w:sz="4" w:space="0" w:color="000000"/>
              <w:right w:val="single" w:sz="4" w:space="0" w:color="000000"/>
            </w:tcBorders>
            <w:shd w:val="clear" w:color="000000" w:fill="FFFFFF"/>
            <w:noWrap/>
            <w:vAlign w:val="center"/>
            <w:hideMark/>
          </w:tcPr>
          <w:p w14:paraId="1A2B084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20.00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7FE91BAD" w14:textId="77777777" w:rsidR="00941CB8" w:rsidRPr="00F61D2F" w:rsidRDefault="00941CB8" w:rsidP="00941CB8">
            <w:pPr>
              <w:spacing w:before="0" w:after="0" w:line="240" w:lineRule="auto"/>
              <w:jc w:val="center"/>
              <w:rPr>
                <w:color w:val="000000"/>
                <w:lang w:val="en-IN"/>
              </w:rPr>
            </w:pPr>
            <w:r w:rsidRPr="00F61D2F">
              <w:rPr>
                <w:color w:val="000000"/>
                <w:lang w:val="en-IN"/>
              </w:rPr>
              <w:t>0.794</w:t>
            </w:r>
          </w:p>
        </w:tc>
        <w:tc>
          <w:tcPr>
            <w:tcW w:w="1920" w:type="dxa"/>
            <w:tcBorders>
              <w:top w:val="nil"/>
              <w:left w:val="nil"/>
              <w:bottom w:val="single" w:sz="4" w:space="0" w:color="000000"/>
              <w:right w:val="single" w:sz="4" w:space="0" w:color="000000"/>
            </w:tcBorders>
            <w:shd w:val="clear" w:color="000000" w:fill="FFFFFF"/>
            <w:noWrap/>
            <w:vAlign w:val="center"/>
            <w:hideMark/>
          </w:tcPr>
          <w:p w14:paraId="2CD7A92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15.88 </w:t>
            </w:r>
          </w:p>
        </w:tc>
        <w:tc>
          <w:tcPr>
            <w:tcW w:w="1800" w:type="dxa"/>
            <w:tcBorders>
              <w:top w:val="nil"/>
              <w:left w:val="nil"/>
              <w:bottom w:val="nil"/>
              <w:right w:val="nil"/>
            </w:tcBorders>
            <w:shd w:val="clear" w:color="000000" w:fill="FFFFFF"/>
            <w:noWrap/>
            <w:vAlign w:val="center"/>
            <w:hideMark/>
          </w:tcPr>
          <w:p w14:paraId="6881B10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B857878"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0B2C86A7"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520" w:type="dxa"/>
            <w:tcBorders>
              <w:top w:val="nil"/>
              <w:left w:val="nil"/>
              <w:bottom w:val="single" w:sz="4" w:space="0" w:color="000000"/>
              <w:right w:val="single" w:sz="4" w:space="0" w:color="000000"/>
            </w:tcBorders>
            <w:shd w:val="clear" w:color="000000" w:fill="FFFFFF"/>
            <w:noWrap/>
            <w:vAlign w:val="center"/>
            <w:hideMark/>
          </w:tcPr>
          <w:p w14:paraId="46365F87"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2EFB93FD" w14:textId="77777777" w:rsidR="00941CB8" w:rsidRPr="00F61D2F" w:rsidRDefault="00941CB8" w:rsidP="00941CB8">
            <w:pPr>
              <w:spacing w:before="0" w:after="0" w:line="240" w:lineRule="auto"/>
              <w:jc w:val="center"/>
              <w:rPr>
                <w:color w:val="000000"/>
                <w:lang w:val="en-IN"/>
              </w:rPr>
            </w:pPr>
            <w:r w:rsidRPr="00F61D2F">
              <w:rPr>
                <w:color w:val="000000"/>
                <w:lang w:val="en-IN"/>
              </w:rPr>
              <w:t>0.735</w:t>
            </w:r>
          </w:p>
        </w:tc>
        <w:tc>
          <w:tcPr>
            <w:tcW w:w="1920" w:type="dxa"/>
            <w:tcBorders>
              <w:top w:val="nil"/>
              <w:left w:val="nil"/>
              <w:bottom w:val="single" w:sz="4" w:space="0" w:color="000000"/>
              <w:right w:val="single" w:sz="4" w:space="0" w:color="000000"/>
            </w:tcBorders>
            <w:shd w:val="clear" w:color="000000" w:fill="FFFFFF"/>
            <w:noWrap/>
            <w:vAlign w:val="center"/>
            <w:hideMark/>
          </w:tcPr>
          <w:p w14:paraId="04691181"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18.38 </w:t>
            </w:r>
          </w:p>
        </w:tc>
        <w:tc>
          <w:tcPr>
            <w:tcW w:w="1800" w:type="dxa"/>
            <w:tcBorders>
              <w:top w:val="nil"/>
              <w:left w:val="nil"/>
              <w:bottom w:val="nil"/>
              <w:right w:val="nil"/>
            </w:tcBorders>
            <w:shd w:val="clear" w:color="000000" w:fill="FFFFFF"/>
            <w:noWrap/>
            <w:vAlign w:val="center"/>
            <w:hideMark/>
          </w:tcPr>
          <w:p w14:paraId="4DD12501"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4A34CE2" w14:textId="77777777" w:rsidTr="00941CB8">
        <w:trPr>
          <w:trHeight w:val="300"/>
        </w:trPr>
        <w:tc>
          <w:tcPr>
            <w:tcW w:w="840" w:type="dxa"/>
            <w:tcBorders>
              <w:top w:val="nil"/>
              <w:left w:val="single" w:sz="4" w:space="0" w:color="000000"/>
              <w:bottom w:val="single" w:sz="4" w:space="0" w:color="000000"/>
              <w:right w:val="single" w:sz="4" w:space="0" w:color="000000"/>
            </w:tcBorders>
            <w:shd w:val="clear" w:color="000000" w:fill="FFFFFF"/>
            <w:noWrap/>
            <w:vAlign w:val="center"/>
            <w:hideMark/>
          </w:tcPr>
          <w:p w14:paraId="7A6B7D04"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520" w:type="dxa"/>
            <w:tcBorders>
              <w:top w:val="nil"/>
              <w:left w:val="nil"/>
              <w:bottom w:val="single" w:sz="4" w:space="0" w:color="000000"/>
              <w:right w:val="single" w:sz="4" w:space="0" w:color="000000"/>
            </w:tcBorders>
            <w:shd w:val="clear" w:color="000000" w:fill="FFFFFF"/>
            <w:noWrap/>
            <w:vAlign w:val="center"/>
            <w:hideMark/>
          </w:tcPr>
          <w:p w14:paraId="08A7F22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000000"/>
              <w:right w:val="single" w:sz="4" w:space="0" w:color="000000"/>
            </w:tcBorders>
            <w:shd w:val="clear" w:color="000000" w:fill="FFFFFF"/>
            <w:noWrap/>
            <w:vAlign w:val="center"/>
            <w:hideMark/>
          </w:tcPr>
          <w:p w14:paraId="2E02553B" w14:textId="77777777" w:rsidR="00941CB8" w:rsidRPr="00F61D2F" w:rsidRDefault="00941CB8" w:rsidP="00941CB8">
            <w:pPr>
              <w:spacing w:before="0" w:after="0" w:line="240" w:lineRule="auto"/>
              <w:jc w:val="center"/>
              <w:rPr>
                <w:color w:val="000000"/>
                <w:lang w:val="en-IN"/>
              </w:rPr>
            </w:pPr>
            <w:r w:rsidRPr="00F61D2F">
              <w:rPr>
                <w:color w:val="000000"/>
                <w:lang w:val="en-IN"/>
              </w:rPr>
              <w:t>0.681</w:t>
            </w:r>
          </w:p>
        </w:tc>
        <w:tc>
          <w:tcPr>
            <w:tcW w:w="1920" w:type="dxa"/>
            <w:tcBorders>
              <w:top w:val="nil"/>
              <w:left w:val="nil"/>
              <w:bottom w:val="single" w:sz="4" w:space="0" w:color="000000"/>
              <w:right w:val="single" w:sz="4" w:space="0" w:color="000000"/>
            </w:tcBorders>
            <w:shd w:val="clear" w:color="000000" w:fill="FFFFFF"/>
            <w:noWrap/>
            <w:vAlign w:val="center"/>
            <w:hideMark/>
          </w:tcPr>
          <w:p w14:paraId="2A8C8AB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3.40 </w:t>
            </w:r>
          </w:p>
        </w:tc>
        <w:tc>
          <w:tcPr>
            <w:tcW w:w="1800" w:type="dxa"/>
            <w:tcBorders>
              <w:top w:val="nil"/>
              <w:left w:val="nil"/>
              <w:bottom w:val="nil"/>
              <w:right w:val="nil"/>
            </w:tcBorders>
            <w:shd w:val="clear" w:color="000000" w:fill="FFFFFF"/>
            <w:noWrap/>
            <w:vAlign w:val="center"/>
            <w:hideMark/>
          </w:tcPr>
          <w:p w14:paraId="6CB2062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194617B" w14:textId="77777777" w:rsidTr="00941CB8">
        <w:trPr>
          <w:trHeight w:val="300"/>
        </w:trPr>
        <w:tc>
          <w:tcPr>
            <w:tcW w:w="5120" w:type="dxa"/>
            <w:gridSpan w:val="3"/>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7C9227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"Internal Rate of Return (IRR) of Project C"</w:t>
            </w:r>
          </w:p>
        </w:tc>
        <w:tc>
          <w:tcPr>
            <w:tcW w:w="1920" w:type="dxa"/>
            <w:tcBorders>
              <w:top w:val="nil"/>
              <w:left w:val="nil"/>
              <w:bottom w:val="single" w:sz="4" w:space="0" w:color="000000"/>
              <w:right w:val="single" w:sz="4" w:space="0" w:color="000000"/>
            </w:tcBorders>
            <w:shd w:val="clear" w:color="000000" w:fill="FFFFFF"/>
            <w:vAlign w:val="center"/>
            <w:hideMark/>
          </w:tcPr>
          <w:p w14:paraId="4A3CEB94"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8.59%</w:t>
            </w:r>
          </w:p>
        </w:tc>
        <w:tc>
          <w:tcPr>
            <w:tcW w:w="1800" w:type="dxa"/>
            <w:tcBorders>
              <w:top w:val="nil"/>
              <w:left w:val="nil"/>
              <w:bottom w:val="nil"/>
              <w:right w:val="nil"/>
            </w:tcBorders>
            <w:shd w:val="clear" w:color="000000" w:fill="FFFFFF"/>
            <w:noWrap/>
            <w:vAlign w:val="center"/>
            <w:hideMark/>
          </w:tcPr>
          <w:p w14:paraId="1E26624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24BDFFC" w14:textId="77777777" w:rsidTr="00941CB8">
        <w:trPr>
          <w:trHeight w:val="300"/>
        </w:trPr>
        <w:tc>
          <w:tcPr>
            <w:tcW w:w="840" w:type="dxa"/>
            <w:tcBorders>
              <w:top w:val="nil"/>
              <w:left w:val="nil"/>
              <w:bottom w:val="nil"/>
              <w:right w:val="nil"/>
            </w:tcBorders>
            <w:shd w:val="clear" w:color="000000" w:fill="FFFFFF"/>
            <w:noWrap/>
            <w:vAlign w:val="center"/>
            <w:hideMark/>
          </w:tcPr>
          <w:p w14:paraId="746C8DE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520" w:type="dxa"/>
            <w:tcBorders>
              <w:top w:val="nil"/>
              <w:left w:val="nil"/>
              <w:bottom w:val="nil"/>
              <w:right w:val="nil"/>
            </w:tcBorders>
            <w:shd w:val="clear" w:color="000000" w:fill="FFFFFF"/>
            <w:noWrap/>
            <w:vAlign w:val="center"/>
            <w:hideMark/>
          </w:tcPr>
          <w:p w14:paraId="038D28D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760" w:type="dxa"/>
            <w:tcBorders>
              <w:top w:val="nil"/>
              <w:left w:val="nil"/>
              <w:bottom w:val="nil"/>
              <w:right w:val="nil"/>
            </w:tcBorders>
            <w:shd w:val="clear" w:color="000000" w:fill="FFFFFF"/>
            <w:noWrap/>
            <w:vAlign w:val="center"/>
            <w:hideMark/>
          </w:tcPr>
          <w:p w14:paraId="5965A4F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920" w:type="dxa"/>
            <w:tcBorders>
              <w:top w:val="nil"/>
              <w:left w:val="nil"/>
              <w:bottom w:val="nil"/>
              <w:right w:val="nil"/>
            </w:tcBorders>
            <w:shd w:val="clear" w:color="000000" w:fill="FFFFFF"/>
            <w:noWrap/>
            <w:vAlign w:val="center"/>
            <w:hideMark/>
          </w:tcPr>
          <w:p w14:paraId="2B775DAC"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00" w:type="dxa"/>
            <w:tcBorders>
              <w:top w:val="nil"/>
              <w:left w:val="nil"/>
              <w:bottom w:val="nil"/>
              <w:right w:val="nil"/>
            </w:tcBorders>
            <w:shd w:val="clear" w:color="000000" w:fill="FFFFFF"/>
            <w:noWrap/>
            <w:vAlign w:val="center"/>
            <w:hideMark/>
          </w:tcPr>
          <w:p w14:paraId="1D51483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C8DDE47" w14:textId="77777777" w:rsidTr="00941CB8">
        <w:trPr>
          <w:trHeight w:val="300"/>
        </w:trPr>
        <w:tc>
          <w:tcPr>
            <w:tcW w:w="840" w:type="dxa"/>
            <w:tcBorders>
              <w:top w:val="nil"/>
              <w:left w:val="nil"/>
              <w:bottom w:val="nil"/>
              <w:right w:val="nil"/>
            </w:tcBorders>
            <w:shd w:val="clear" w:color="000000" w:fill="FFFFFF"/>
            <w:noWrap/>
            <w:vAlign w:val="center"/>
            <w:hideMark/>
          </w:tcPr>
          <w:p w14:paraId="43DCB25E"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520" w:type="dxa"/>
            <w:tcBorders>
              <w:top w:val="nil"/>
              <w:left w:val="nil"/>
              <w:bottom w:val="nil"/>
              <w:right w:val="nil"/>
            </w:tcBorders>
            <w:shd w:val="clear" w:color="000000" w:fill="FFFFFF"/>
            <w:noWrap/>
            <w:vAlign w:val="center"/>
            <w:hideMark/>
          </w:tcPr>
          <w:p w14:paraId="04B3A89A"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2760" w:type="dxa"/>
            <w:tcBorders>
              <w:top w:val="nil"/>
              <w:left w:val="nil"/>
              <w:bottom w:val="nil"/>
              <w:right w:val="nil"/>
            </w:tcBorders>
            <w:shd w:val="clear" w:color="000000" w:fill="FFFFFF"/>
            <w:noWrap/>
            <w:vAlign w:val="center"/>
            <w:hideMark/>
          </w:tcPr>
          <w:p w14:paraId="7B57D75C"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920" w:type="dxa"/>
            <w:tcBorders>
              <w:top w:val="nil"/>
              <w:left w:val="nil"/>
              <w:bottom w:val="nil"/>
              <w:right w:val="nil"/>
            </w:tcBorders>
            <w:shd w:val="clear" w:color="000000" w:fill="FFFFFF"/>
            <w:noWrap/>
            <w:vAlign w:val="center"/>
            <w:hideMark/>
          </w:tcPr>
          <w:p w14:paraId="73EDE63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c>
          <w:tcPr>
            <w:tcW w:w="1800" w:type="dxa"/>
            <w:tcBorders>
              <w:top w:val="nil"/>
              <w:left w:val="nil"/>
              <w:bottom w:val="nil"/>
              <w:right w:val="nil"/>
            </w:tcBorders>
            <w:shd w:val="clear" w:color="000000" w:fill="FFFFFF"/>
            <w:noWrap/>
            <w:vAlign w:val="center"/>
            <w:hideMark/>
          </w:tcPr>
          <w:p w14:paraId="08A4FD16"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5E226F5" w14:textId="77777777" w:rsidTr="00941CB8">
        <w:trPr>
          <w:trHeight w:val="300"/>
        </w:trPr>
        <w:tc>
          <w:tcPr>
            <w:tcW w:w="840"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299526D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"Year"</w:t>
            </w:r>
          </w:p>
        </w:tc>
        <w:tc>
          <w:tcPr>
            <w:tcW w:w="1520" w:type="dxa"/>
            <w:tcBorders>
              <w:top w:val="single" w:sz="4" w:space="0" w:color="auto"/>
              <w:left w:val="nil"/>
              <w:bottom w:val="single" w:sz="4" w:space="0" w:color="auto"/>
              <w:right w:val="single" w:sz="4" w:space="0" w:color="auto"/>
            </w:tcBorders>
            <w:shd w:val="clear" w:color="000000" w:fill="FFFFFF"/>
            <w:vAlign w:val="center"/>
            <w:hideMark/>
          </w:tcPr>
          <w:p w14:paraId="5A0069F6"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"Cash Flow"</w:t>
            </w:r>
          </w:p>
        </w:tc>
        <w:tc>
          <w:tcPr>
            <w:tcW w:w="2760" w:type="dxa"/>
            <w:tcBorders>
              <w:top w:val="single" w:sz="4" w:space="0" w:color="auto"/>
              <w:left w:val="nil"/>
              <w:bottom w:val="single" w:sz="4" w:space="0" w:color="auto"/>
              <w:right w:val="single" w:sz="4" w:space="0" w:color="auto"/>
            </w:tcBorders>
            <w:shd w:val="clear" w:color="000000" w:fill="FFFFFF"/>
            <w:vAlign w:val="center"/>
            <w:hideMark/>
          </w:tcPr>
          <w:p w14:paraId="5CEDEA5E"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 xml:space="preserve">"Depreciation" </w:t>
            </w:r>
          </w:p>
        </w:tc>
        <w:tc>
          <w:tcPr>
            <w:tcW w:w="1920" w:type="dxa"/>
            <w:tcBorders>
              <w:top w:val="single" w:sz="4" w:space="0" w:color="auto"/>
              <w:left w:val="nil"/>
              <w:bottom w:val="single" w:sz="4" w:space="0" w:color="auto"/>
              <w:right w:val="single" w:sz="4" w:space="0" w:color="auto"/>
            </w:tcBorders>
            <w:shd w:val="clear" w:color="000000" w:fill="FFFFFF"/>
            <w:vAlign w:val="center"/>
            <w:hideMark/>
          </w:tcPr>
          <w:p w14:paraId="2E44F67C"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"Present Value"</w:t>
            </w:r>
          </w:p>
        </w:tc>
        <w:tc>
          <w:tcPr>
            <w:tcW w:w="1800" w:type="dxa"/>
            <w:tcBorders>
              <w:top w:val="nil"/>
              <w:left w:val="nil"/>
              <w:bottom w:val="nil"/>
              <w:right w:val="nil"/>
            </w:tcBorders>
            <w:shd w:val="clear" w:color="000000" w:fill="FFFFFF"/>
            <w:noWrap/>
            <w:vAlign w:val="center"/>
            <w:hideMark/>
          </w:tcPr>
          <w:p w14:paraId="26B0C0D3"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2D4F4869"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2FFD69B5" w14:textId="77777777" w:rsidR="00941CB8" w:rsidRPr="00F61D2F" w:rsidRDefault="00941CB8" w:rsidP="00941CB8">
            <w:pPr>
              <w:spacing w:before="0" w:after="0" w:line="240" w:lineRule="auto"/>
              <w:jc w:val="center"/>
              <w:rPr>
                <w:color w:val="000000"/>
                <w:lang w:val="en-IN"/>
              </w:rPr>
            </w:pPr>
            <w:r w:rsidRPr="00F61D2F">
              <w:rPr>
                <w:color w:val="000000"/>
                <w:lang w:val="en-IN"/>
              </w:rPr>
              <w:t>0</w:t>
            </w:r>
          </w:p>
        </w:tc>
        <w:tc>
          <w:tcPr>
            <w:tcW w:w="1520" w:type="dxa"/>
            <w:tcBorders>
              <w:top w:val="nil"/>
              <w:left w:val="nil"/>
              <w:bottom w:val="single" w:sz="4" w:space="0" w:color="auto"/>
              <w:right w:val="single" w:sz="4" w:space="0" w:color="auto"/>
            </w:tcBorders>
            <w:shd w:val="clear" w:color="000000" w:fill="FFFFFF"/>
            <w:noWrap/>
            <w:vAlign w:val="center"/>
            <w:hideMark/>
          </w:tcPr>
          <w:p w14:paraId="27CD2364"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2760" w:type="dxa"/>
            <w:tcBorders>
              <w:top w:val="nil"/>
              <w:left w:val="nil"/>
              <w:bottom w:val="single" w:sz="4" w:space="0" w:color="auto"/>
              <w:right w:val="single" w:sz="4" w:space="0" w:color="auto"/>
            </w:tcBorders>
            <w:shd w:val="clear" w:color="000000" w:fill="FFFFFF"/>
            <w:noWrap/>
            <w:vAlign w:val="center"/>
            <w:hideMark/>
          </w:tcPr>
          <w:p w14:paraId="03D3769E" w14:textId="77777777" w:rsidR="00941CB8" w:rsidRPr="00F61D2F" w:rsidRDefault="00941CB8" w:rsidP="00941CB8">
            <w:pPr>
              <w:spacing w:before="0" w:after="0" w:line="240" w:lineRule="auto"/>
              <w:jc w:val="center"/>
              <w:rPr>
                <w:color w:val="000000"/>
                <w:lang w:val="en-IN"/>
              </w:rPr>
            </w:pPr>
            <w:r w:rsidRPr="00F61D2F">
              <w:rPr>
                <w:color w:val="000000"/>
                <w:lang w:val="en-IN"/>
              </w:rPr>
              <w:t>0.00</w:t>
            </w:r>
          </w:p>
        </w:tc>
        <w:tc>
          <w:tcPr>
            <w:tcW w:w="1920" w:type="dxa"/>
            <w:tcBorders>
              <w:top w:val="nil"/>
              <w:left w:val="nil"/>
              <w:bottom w:val="single" w:sz="4" w:space="0" w:color="auto"/>
              <w:right w:val="single" w:sz="4" w:space="0" w:color="auto"/>
            </w:tcBorders>
            <w:shd w:val="clear" w:color="000000" w:fill="FFFFFF"/>
            <w:noWrap/>
            <w:vAlign w:val="center"/>
            <w:hideMark/>
          </w:tcPr>
          <w:p w14:paraId="627A4338"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50.00 </w:t>
            </w:r>
          </w:p>
        </w:tc>
        <w:tc>
          <w:tcPr>
            <w:tcW w:w="1800" w:type="dxa"/>
            <w:tcBorders>
              <w:top w:val="nil"/>
              <w:left w:val="nil"/>
              <w:bottom w:val="nil"/>
              <w:right w:val="nil"/>
            </w:tcBorders>
            <w:shd w:val="clear" w:color="000000" w:fill="FFFFFF"/>
            <w:noWrap/>
            <w:vAlign w:val="center"/>
            <w:hideMark/>
          </w:tcPr>
          <w:p w14:paraId="0771A18D"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0657D7E0"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5599A1BC" w14:textId="77777777" w:rsidR="00941CB8" w:rsidRPr="00F61D2F" w:rsidRDefault="00941CB8" w:rsidP="00941CB8">
            <w:pPr>
              <w:spacing w:before="0" w:after="0" w:line="240" w:lineRule="auto"/>
              <w:jc w:val="center"/>
              <w:rPr>
                <w:color w:val="000000"/>
                <w:lang w:val="en-IN"/>
              </w:rPr>
            </w:pPr>
            <w:r w:rsidRPr="00F61D2F">
              <w:rPr>
                <w:color w:val="000000"/>
                <w:lang w:val="en-IN"/>
              </w:rPr>
              <w:t>1</w:t>
            </w:r>
          </w:p>
        </w:tc>
        <w:tc>
          <w:tcPr>
            <w:tcW w:w="1520" w:type="dxa"/>
            <w:tcBorders>
              <w:top w:val="nil"/>
              <w:left w:val="nil"/>
              <w:bottom w:val="single" w:sz="4" w:space="0" w:color="auto"/>
              <w:right w:val="single" w:sz="4" w:space="0" w:color="auto"/>
            </w:tcBorders>
            <w:shd w:val="clear" w:color="000000" w:fill="FFFFFF"/>
            <w:noWrap/>
            <w:vAlign w:val="center"/>
            <w:hideMark/>
          </w:tcPr>
          <w:p w14:paraId="01DE8EF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auto"/>
              <w:right w:val="single" w:sz="4" w:space="0" w:color="auto"/>
            </w:tcBorders>
            <w:shd w:val="clear" w:color="000000" w:fill="FFFFFF"/>
            <w:noWrap/>
            <w:vAlign w:val="center"/>
            <w:hideMark/>
          </w:tcPr>
          <w:p w14:paraId="521FD2F4"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auto"/>
              <w:right w:val="single" w:sz="4" w:space="0" w:color="auto"/>
            </w:tcBorders>
            <w:shd w:val="clear" w:color="000000" w:fill="FFFFFF"/>
            <w:noWrap/>
            <w:vAlign w:val="center"/>
            <w:hideMark/>
          </w:tcPr>
          <w:p w14:paraId="29ECB515"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 </w:t>
            </w:r>
          </w:p>
        </w:tc>
        <w:tc>
          <w:tcPr>
            <w:tcW w:w="1800" w:type="dxa"/>
            <w:tcBorders>
              <w:top w:val="nil"/>
              <w:left w:val="nil"/>
              <w:bottom w:val="nil"/>
              <w:right w:val="nil"/>
            </w:tcBorders>
            <w:shd w:val="clear" w:color="000000" w:fill="FFFFFF"/>
            <w:noWrap/>
            <w:vAlign w:val="center"/>
            <w:hideMark/>
          </w:tcPr>
          <w:p w14:paraId="78EBBA52"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753F3BF5"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7301580E" w14:textId="77777777" w:rsidR="00941CB8" w:rsidRPr="00F61D2F" w:rsidRDefault="00941CB8" w:rsidP="00941CB8">
            <w:pPr>
              <w:spacing w:before="0" w:after="0" w:line="240" w:lineRule="auto"/>
              <w:jc w:val="center"/>
              <w:rPr>
                <w:color w:val="000000"/>
                <w:lang w:val="en-IN"/>
              </w:rPr>
            </w:pPr>
            <w:r w:rsidRPr="00F61D2F">
              <w:rPr>
                <w:color w:val="000000"/>
                <w:lang w:val="en-IN"/>
              </w:rPr>
              <w:t>2</w:t>
            </w:r>
          </w:p>
        </w:tc>
        <w:tc>
          <w:tcPr>
            <w:tcW w:w="1520" w:type="dxa"/>
            <w:tcBorders>
              <w:top w:val="nil"/>
              <w:left w:val="nil"/>
              <w:bottom w:val="single" w:sz="4" w:space="0" w:color="auto"/>
              <w:right w:val="single" w:sz="4" w:space="0" w:color="auto"/>
            </w:tcBorders>
            <w:shd w:val="clear" w:color="000000" w:fill="FFFFFF"/>
            <w:noWrap/>
            <w:vAlign w:val="center"/>
            <w:hideMark/>
          </w:tcPr>
          <w:p w14:paraId="159C0D52"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2760" w:type="dxa"/>
            <w:tcBorders>
              <w:top w:val="nil"/>
              <w:left w:val="nil"/>
              <w:bottom w:val="single" w:sz="4" w:space="0" w:color="auto"/>
              <w:right w:val="single" w:sz="4" w:space="0" w:color="auto"/>
            </w:tcBorders>
            <w:shd w:val="clear" w:color="000000" w:fill="FFFFFF"/>
            <w:noWrap/>
            <w:vAlign w:val="center"/>
            <w:hideMark/>
          </w:tcPr>
          <w:p w14:paraId="1EB7BC90"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auto"/>
              <w:right w:val="single" w:sz="4" w:space="0" w:color="auto"/>
            </w:tcBorders>
            <w:shd w:val="clear" w:color="000000" w:fill="FFFFFF"/>
            <w:noWrap/>
            <w:vAlign w:val="center"/>
            <w:hideMark/>
          </w:tcPr>
          <w:p w14:paraId="09C99584"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   </w:t>
            </w:r>
          </w:p>
        </w:tc>
        <w:tc>
          <w:tcPr>
            <w:tcW w:w="1800" w:type="dxa"/>
            <w:tcBorders>
              <w:top w:val="nil"/>
              <w:left w:val="nil"/>
              <w:bottom w:val="nil"/>
              <w:right w:val="nil"/>
            </w:tcBorders>
            <w:shd w:val="clear" w:color="000000" w:fill="FFFFFF"/>
            <w:noWrap/>
            <w:vAlign w:val="center"/>
            <w:hideMark/>
          </w:tcPr>
          <w:p w14:paraId="15799B15"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38B6A32F"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15EC2336" w14:textId="77777777" w:rsidR="00941CB8" w:rsidRPr="00F61D2F" w:rsidRDefault="00941CB8" w:rsidP="00941CB8">
            <w:pPr>
              <w:spacing w:before="0" w:after="0" w:line="240" w:lineRule="auto"/>
              <w:jc w:val="center"/>
              <w:rPr>
                <w:color w:val="000000"/>
                <w:lang w:val="en-IN"/>
              </w:rPr>
            </w:pPr>
            <w:r w:rsidRPr="00F61D2F">
              <w:rPr>
                <w:color w:val="000000"/>
                <w:lang w:val="en-IN"/>
              </w:rPr>
              <w:t>3</w:t>
            </w:r>
          </w:p>
        </w:tc>
        <w:tc>
          <w:tcPr>
            <w:tcW w:w="1520" w:type="dxa"/>
            <w:tcBorders>
              <w:top w:val="nil"/>
              <w:left w:val="nil"/>
              <w:bottom w:val="single" w:sz="4" w:space="0" w:color="auto"/>
              <w:right w:val="single" w:sz="4" w:space="0" w:color="auto"/>
            </w:tcBorders>
            <w:shd w:val="clear" w:color="000000" w:fill="FFFFFF"/>
            <w:noWrap/>
            <w:vAlign w:val="center"/>
            <w:hideMark/>
          </w:tcPr>
          <w:p w14:paraId="1F0F962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20.00 </w:t>
            </w:r>
          </w:p>
        </w:tc>
        <w:tc>
          <w:tcPr>
            <w:tcW w:w="2760" w:type="dxa"/>
            <w:tcBorders>
              <w:top w:val="nil"/>
              <w:left w:val="nil"/>
              <w:bottom w:val="single" w:sz="4" w:space="0" w:color="auto"/>
              <w:right w:val="single" w:sz="4" w:space="0" w:color="auto"/>
            </w:tcBorders>
            <w:shd w:val="clear" w:color="000000" w:fill="FFFFFF"/>
            <w:noWrap/>
            <w:vAlign w:val="center"/>
            <w:hideMark/>
          </w:tcPr>
          <w:p w14:paraId="340101BB"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auto"/>
              <w:right w:val="single" w:sz="4" w:space="0" w:color="auto"/>
            </w:tcBorders>
            <w:shd w:val="clear" w:color="000000" w:fill="FFFFFF"/>
            <w:noWrap/>
            <w:vAlign w:val="center"/>
            <w:hideMark/>
          </w:tcPr>
          <w:p w14:paraId="25AC446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10.00 </w:t>
            </w:r>
          </w:p>
        </w:tc>
        <w:tc>
          <w:tcPr>
            <w:tcW w:w="1800" w:type="dxa"/>
            <w:tcBorders>
              <w:top w:val="nil"/>
              <w:left w:val="nil"/>
              <w:bottom w:val="nil"/>
              <w:right w:val="nil"/>
            </w:tcBorders>
            <w:shd w:val="clear" w:color="000000" w:fill="FFFFFF"/>
            <w:noWrap/>
            <w:vAlign w:val="center"/>
            <w:hideMark/>
          </w:tcPr>
          <w:p w14:paraId="5CC97C69"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427D9C54"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519F1026" w14:textId="77777777" w:rsidR="00941CB8" w:rsidRPr="00F61D2F" w:rsidRDefault="00941CB8" w:rsidP="00941CB8">
            <w:pPr>
              <w:spacing w:before="0" w:after="0" w:line="240" w:lineRule="auto"/>
              <w:jc w:val="center"/>
              <w:rPr>
                <w:color w:val="000000"/>
                <w:lang w:val="en-IN"/>
              </w:rPr>
            </w:pPr>
            <w:r w:rsidRPr="00F61D2F">
              <w:rPr>
                <w:color w:val="000000"/>
                <w:lang w:val="en-IN"/>
              </w:rPr>
              <w:t>4</w:t>
            </w:r>
          </w:p>
        </w:tc>
        <w:tc>
          <w:tcPr>
            <w:tcW w:w="1520" w:type="dxa"/>
            <w:tcBorders>
              <w:top w:val="nil"/>
              <w:left w:val="nil"/>
              <w:bottom w:val="single" w:sz="4" w:space="0" w:color="auto"/>
              <w:right w:val="single" w:sz="4" w:space="0" w:color="auto"/>
            </w:tcBorders>
            <w:shd w:val="clear" w:color="000000" w:fill="FFFFFF"/>
            <w:noWrap/>
            <w:vAlign w:val="center"/>
            <w:hideMark/>
          </w:tcPr>
          <w:p w14:paraId="5E3B65F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25.00 </w:t>
            </w:r>
          </w:p>
        </w:tc>
        <w:tc>
          <w:tcPr>
            <w:tcW w:w="2760" w:type="dxa"/>
            <w:tcBorders>
              <w:top w:val="nil"/>
              <w:left w:val="nil"/>
              <w:bottom w:val="single" w:sz="4" w:space="0" w:color="auto"/>
              <w:right w:val="single" w:sz="4" w:space="0" w:color="auto"/>
            </w:tcBorders>
            <w:shd w:val="clear" w:color="000000" w:fill="FFFFFF"/>
            <w:noWrap/>
            <w:vAlign w:val="center"/>
            <w:hideMark/>
          </w:tcPr>
          <w:p w14:paraId="27C448C5"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auto"/>
              <w:right w:val="single" w:sz="4" w:space="0" w:color="auto"/>
            </w:tcBorders>
            <w:shd w:val="clear" w:color="000000" w:fill="FFFFFF"/>
            <w:noWrap/>
            <w:vAlign w:val="center"/>
            <w:hideMark/>
          </w:tcPr>
          <w:p w14:paraId="30286756"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15.00 </w:t>
            </w:r>
          </w:p>
        </w:tc>
        <w:tc>
          <w:tcPr>
            <w:tcW w:w="1800" w:type="dxa"/>
            <w:tcBorders>
              <w:top w:val="nil"/>
              <w:left w:val="nil"/>
              <w:bottom w:val="nil"/>
              <w:right w:val="nil"/>
            </w:tcBorders>
            <w:shd w:val="clear" w:color="000000" w:fill="FFFFFF"/>
            <w:noWrap/>
            <w:vAlign w:val="center"/>
            <w:hideMark/>
          </w:tcPr>
          <w:p w14:paraId="191129CF"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599F7B5C" w14:textId="77777777" w:rsidTr="00941CB8">
        <w:trPr>
          <w:trHeight w:val="300"/>
        </w:trPr>
        <w:tc>
          <w:tcPr>
            <w:tcW w:w="840" w:type="dxa"/>
            <w:tcBorders>
              <w:top w:val="nil"/>
              <w:left w:val="single" w:sz="4" w:space="0" w:color="auto"/>
              <w:bottom w:val="single" w:sz="4" w:space="0" w:color="auto"/>
              <w:right w:val="single" w:sz="4" w:space="0" w:color="auto"/>
            </w:tcBorders>
            <w:shd w:val="clear" w:color="000000" w:fill="FFFFFF"/>
            <w:noWrap/>
            <w:vAlign w:val="center"/>
            <w:hideMark/>
          </w:tcPr>
          <w:p w14:paraId="67E309D8" w14:textId="77777777" w:rsidR="00941CB8" w:rsidRPr="00F61D2F" w:rsidRDefault="00941CB8" w:rsidP="00941CB8">
            <w:pPr>
              <w:spacing w:before="0" w:after="0" w:line="240" w:lineRule="auto"/>
              <w:jc w:val="center"/>
              <w:rPr>
                <w:color w:val="000000"/>
                <w:lang w:val="en-IN"/>
              </w:rPr>
            </w:pPr>
            <w:r w:rsidRPr="00F61D2F">
              <w:rPr>
                <w:color w:val="000000"/>
                <w:lang w:val="en-IN"/>
              </w:rPr>
              <w:t>5</w:t>
            </w:r>
          </w:p>
        </w:tc>
        <w:tc>
          <w:tcPr>
            <w:tcW w:w="1520" w:type="dxa"/>
            <w:tcBorders>
              <w:top w:val="nil"/>
              <w:left w:val="nil"/>
              <w:bottom w:val="single" w:sz="4" w:space="0" w:color="auto"/>
              <w:right w:val="single" w:sz="4" w:space="0" w:color="auto"/>
            </w:tcBorders>
            <w:shd w:val="clear" w:color="000000" w:fill="FFFFFF"/>
            <w:noWrap/>
            <w:vAlign w:val="center"/>
            <w:hideMark/>
          </w:tcPr>
          <w:p w14:paraId="0BFDA0AD"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         5.00 </w:t>
            </w:r>
          </w:p>
        </w:tc>
        <w:tc>
          <w:tcPr>
            <w:tcW w:w="2760" w:type="dxa"/>
            <w:tcBorders>
              <w:top w:val="nil"/>
              <w:left w:val="nil"/>
              <w:bottom w:val="single" w:sz="4" w:space="0" w:color="auto"/>
              <w:right w:val="single" w:sz="4" w:space="0" w:color="auto"/>
            </w:tcBorders>
            <w:shd w:val="clear" w:color="000000" w:fill="FFFFFF"/>
            <w:noWrap/>
            <w:vAlign w:val="center"/>
            <w:hideMark/>
          </w:tcPr>
          <w:p w14:paraId="1C09D455" w14:textId="77777777" w:rsidR="00941CB8" w:rsidRPr="00F61D2F" w:rsidRDefault="00941CB8" w:rsidP="00941CB8">
            <w:pPr>
              <w:spacing w:before="0" w:after="0" w:line="240" w:lineRule="auto"/>
              <w:jc w:val="center"/>
              <w:rPr>
                <w:color w:val="000000"/>
                <w:lang w:val="en-IN"/>
              </w:rPr>
            </w:pPr>
            <w:r w:rsidRPr="00F61D2F">
              <w:rPr>
                <w:color w:val="000000"/>
                <w:lang w:val="en-IN"/>
              </w:rPr>
              <w:t>10.00</w:t>
            </w:r>
          </w:p>
        </w:tc>
        <w:tc>
          <w:tcPr>
            <w:tcW w:w="1920" w:type="dxa"/>
            <w:tcBorders>
              <w:top w:val="nil"/>
              <w:left w:val="nil"/>
              <w:bottom w:val="single" w:sz="4" w:space="0" w:color="auto"/>
              <w:right w:val="single" w:sz="4" w:space="0" w:color="auto"/>
            </w:tcBorders>
            <w:shd w:val="clear" w:color="000000" w:fill="FFFFFF"/>
            <w:noWrap/>
            <w:vAlign w:val="center"/>
            <w:hideMark/>
          </w:tcPr>
          <w:p w14:paraId="40237F4B" w14:textId="77777777" w:rsidR="00941CB8" w:rsidRPr="00F61D2F" w:rsidRDefault="00941CB8" w:rsidP="00941CB8">
            <w:pPr>
              <w:spacing w:before="0" w:after="0" w:line="240" w:lineRule="auto"/>
              <w:jc w:val="center"/>
              <w:rPr>
                <w:color w:val="000000"/>
                <w:lang w:val="en-IN"/>
              </w:rPr>
            </w:pPr>
            <w:r w:rsidRPr="00F61D2F">
              <w:rPr>
                <w:color w:val="000000"/>
                <w:lang w:val="en-IN"/>
              </w:rPr>
              <w:t xml:space="preserve">-£               5.00 </w:t>
            </w:r>
          </w:p>
        </w:tc>
        <w:tc>
          <w:tcPr>
            <w:tcW w:w="1800" w:type="dxa"/>
            <w:tcBorders>
              <w:top w:val="nil"/>
              <w:left w:val="nil"/>
              <w:bottom w:val="nil"/>
              <w:right w:val="nil"/>
            </w:tcBorders>
            <w:shd w:val="clear" w:color="000000" w:fill="FFFFFF"/>
            <w:noWrap/>
            <w:vAlign w:val="center"/>
            <w:hideMark/>
          </w:tcPr>
          <w:p w14:paraId="2CD745DA"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r w:rsidR="00941CB8" w:rsidRPr="00F61D2F" w14:paraId="66EFEBAE" w14:textId="77777777" w:rsidTr="00941CB8">
        <w:trPr>
          <w:trHeight w:val="300"/>
        </w:trPr>
        <w:tc>
          <w:tcPr>
            <w:tcW w:w="5120" w:type="dxa"/>
            <w:gridSpan w:val="3"/>
            <w:tcBorders>
              <w:top w:val="single" w:sz="4" w:space="0" w:color="auto"/>
              <w:left w:val="single" w:sz="4" w:space="0" w:color="auto"/>
              <w:bottom w:val="single" w:sz="4" w:space="0" w:color="auto"/>
              <w:right w:val="single" w:sz="4" w:space="0" w:color="000000"/>
            </w:tcBorders>
            <w:shd w:val="clear" w:color="000000" w:fill="FFFFFF"/>
            <w:vAlign w:val="center"/>
            <w:hideMark/>
          </w:tcPr>
          <w:p w14:paraId="564C56FB"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 xml:space="preserve">"Accounting Rate of Return (ARR) of Project C" </w:t>
            </w:r>
          </w:p>
        </w:tc>
        <w:tc>
          <w:tcPr>
            <w:tcW w:w="1920" w:type="dxa"/>
            <w:tcBorders>
              <w:top w:val="nil"/>
              <w:left w:val="nil"/>
              <w:bottom w:val="single" w:sz="4" w:space="0" w:color="auto"/>
              <w:right w:val="single" w:sz="4" w:space="0" w:color="auto"/>
            </w:tcBorders>
            <w:shd w:val="clear" w:color="000000" w:fill="FFFFFF"/>
            <w:vAlign w:val="center"/>
            <w:hideMark/>
          </w:tcPr>
          <w:p w14:paraId="49B1BDDD" w14:textId="77777777" w:rsidR="00941CB8" w:rsidRPr="00F61D2F" w:rsidRDefault="00941CB8" w:rsidP="00941CB8">
            <w:pPr>
              <w:spacing w:before="0" w:after="0" w:line="240" w:lineRule="auto"/>
              <w:jc w:val="center"/>
              <w:rPr>
                <w:b/>
                <w:bCs/>
                <w:color w:val="000000"/>
                <w:lang w:val="en-IN"/>
              </w:rPr>
            </w:pPr>
            <w:r w:rsidRPr="00F61D2F">
              <w:rPr>
                <w:b/>
                <w:bCs/>
                <w:color w:val="000000"/>
                <w:lang w:val="en-IN"/>
              </w:rPr>
              <w:t>6.00%</w:t>
            </w:r>
          </w:p>
        </w:tc>
        <w:tc>
          <w:tcPr>
            <w:tcW w:w="1800" w:type="dxa"/>
            <w:tcBorders>
              <w:top w:val="nil"/>
              <w:left w:val="nil"/>
              <w:bottom w:val="nil"/>
              <w:right w:val="nil"/>
            </w:tcBorders>
            <w:shd w:val="clear" w:color="000000" w:fill="FFFFFF"/>
            <w:noWrap/>
            <w:vAlign w:val="center"/>
            <w:hideMark/>
          </w:tcPr>
          <w:p w14:paraId="42CDA997" w14:textId="77777777" w:rsidR="00941CB8" w:rsidRPr="00F61D2F" w:rsidRDefault="00941CB8" w:rsidP="00941CB8">
            <w:pPr>
              <w:spacing w:before="0" w:after="0" w:line="240" w:lineRule="auto"/>
              <w:jc w:val="center"/>
              <w:rPr>
                <w:color w:val="000000"/>
                <w:lang w:val="en-IN"/>
              </w:rPr>
            </w:pPr>
            <w:r w:rsidRPr="00F61D2F">
              <w:rPr>
                <w:color w:val="000000"/>
                <w:lang w:val="en-IN"/>
              </w:rPr>
              <w:t> </w:t>
            </w:r>
          </w:p>
        </w:tc>
      </w:tr>
    </w:tbl>
    <w:p w14:paraId="7E3A5F53" w14:textId="77777777" w:rsidR="00941CB8" w:rsidRPr="00F61D2F" w:rsidRDefault="00941CB8"/>
    <w:sectPr w:rsidR="00941CB8" w:rsidRPr="00F61D2F" w:rsidSect="00941CB8">
      <w:footerReference w:type="default" r:id="rId36"/>
      <w:footerReference w:type="first" r:id="rId3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722F3" w14:textId="77777777" w:rsidR="002E1A9E" w:rsidRDefault="002E1A9E">
      <w:pPr>
        <w:spacing w:before="0" w:after="0" w:line="240" w:lineRule="auto"/>
      </w:pPr>
      <w:r>
        <w:separator/>
      </w:r>
    </w:p>
  </w:endnote>
  <w:endnote w:type="continuationSeparator" w:id="0">
    <w:p w14:paraId="03590793" w14:textId="77777777" w:rsidR="002E1A9E" w:rsidRDefault="002E1A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8BA052FC-6396-4E26-BC33-46DA2D539A47}"/>
  </w:font>
  <w:font w:name="Cambria">
    <w:panose1 w:val="02040503050406030204"/>
    <w:charset w:val="00"/>
    <w:family w:val="roman"/>
    <w:pitch w:val="variable"/>
    <w:sig w:usb0="E00006FF" w:usb1="420024FF" w:usb2="02000000" w:usb3="00000000" w:csb0="0000019F" w:csb1="00000000"/>
    <w:embedRegular r:id="rId2" w:fontKey="{7CAA72DA-20CB-445D-9AA9-A907D219F0A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C6678" w14:textId="77777777" w:rsidR="00AD2731" w:rsidRDefault="0000313C">
    <w:pPr>
      <w:jc w:val="right"/>
      <w:rPr>
        <w:sz w:val="20"/>
        <w:szCs w:val="20"/>
      </w:rPr>
    </w:pPr>
    <w:r>
      <w:rPr>
        <w:sz w:val="20"/>
        <w:szCs w:val="20"/>
      </w:rPr>
      <w:fldChar w:fldCharType="begin"/>
    </w:r>
    <w:r>
      <w:rPr>
        <w:sz w:val="20"/>
        <w:szCs w:val="20"/>
      </w:rPr>
      <w:instrText>PAGE</w:instrText>
    </w:r>
    <w:r>
      <w:rPr>
        <w:sz w:val="20"/>
        <w:szCs w:val="20"/>
      </w:rPr>
      <w:fldChar w:fldCharType="separate"/>
    </w:r>
    <w:r w:rsidR="00941CB8">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724760" w14:textId="77777777" w:rsidR="00AD2731" w:rsidRDefault="00AD273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7EB7D" w14:textId="77777777" w:rsidR="002E1A9E" w:rsidRDefault="002E1A9E">
      <w:pPr>
        <w:spacing w:before="0" w:after="0" w:line="240" w:lineRule="auto"/>
      </w:pPr>
      <w:r>
        <w:separator/>
      </w:r>
    </w:p>
  </w:footnote>
  <w:footnote w:type="continuationSeparator" w:id="0">
    <w:p w14:paraId="0BBD22C4" w14:textId="77777777" w:rsidR="002E1A9E" w:rsidRDefault="002E1A9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731"/>
    <w:rsid w:val="0000313C"/>
    <w:rsid w:val="0003711A"/>
    <w:rsid w:val="000A71F5"/>
    <w:rsid w:val="000C3D66"/>
    <w:rsid w:val="000E6C04"/>
    <w:rsid w:val="00107E72"/>
    <w:rsid w:val="002561DD"/>
    <w:rsid w:val="00256916"/>
    <w:rsid w:val="00294DBA"/>
    <w:rsid w:val="002A5687"/>
    <w:rsid w:val="002E1A9E"/>
    <w:rsid w:val="003362D3"/>
    <w:rsid w:val="00370441"/>
    <w:rsid w:val="0043255E"/>
    <w:rsid w:val="00654E89"/>
    <w:rsid w:val="006F3D1B"/>
    <w:rsid w:val="00743B54"/>
    <w:rsid w:val="00816904"/>
    <w:rsid w:val="00941CB8"/>
    <w:rsid w:val="00984323"/>
    <w:rsid w:val="009C2692"/>
    <w:rsid w:val="00AD2731"/>
    <w:rsid w:val="00AE1C49"/>
    <w:rsid w:val="00B03ADE"/>
    <w:rsid w:val="00C10573"/>
    <w:rsid w:val="00C40CA5"/>
    <w:rsid w:val="00D06F46"/>
    <w:rsid w:val="00DA1B6F"/>
    <w:rsid w:val="00EC26C8"/>
    <w:rsid w:val="00F61D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D43F"/>
  <w15:docId w15:val="{1915255F-8704-4BBD-BA30-1358B0B7A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941CB8"/>
    <w:pPr>
      <w:spacing w:after="100"/>
    </w:pPr>
  </w:style>
  <w:style w:type="paragraph" w:styleId="TOC2">
    <w:name w:val="toc 2"/>
    <w:basedOn w:val="Normal"/>
    <w:next w:val="Normal"/>
    <w:autoRedefine/>
    <w:uiPriority w:val="39"/>
    <w:unhideWhenUsed/>
    <w:rsid w:val="00941CB8"/>
    <w:pPr>
      <w:spacing w:after="100"/>
      <w:ind w:left="240"/>
    </w:pPr>
  </w:style>
  <w:style w:type="character" w:styleId="Hyperlink">
    <w:name w:val="Hyperlink"/>
    <w:basedOn w:val="DefaultParagraphFont"/>
    <w:uiPriority w:val="99"/>
    <w:unhideWhenUsed/>
    <w:rsid w:val="00941CB8"/>
    <w:rPr>
      <w:color w:val="0000FF" w:themeColor="hyperlink"/>
      <w:u w:val="single"/>
    </w:rPr>
  </w:style>
  <w:style w:type="table" w:styleId="TableGrid">
    <w:name w:val="Table Grid"/>
    <w:basedOn w:val="TableNormal"/>
    <w:uiPriority w:val="39"/>
    <w:rsid w:val="0003711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nnualreports.com/HostedData/AnnualReportArchive/w/LSE_WTB_2022.pdf" TargetMode="External" /><Relationship Id="rId13" Type="http://schemas.openxmlformats.org/officeDocument/2006/relationships/hyperlink" Target="https://thuvienso.hoasen.edu.vn/server/api/core/bitstreams/3e0b2046-b671-4156-9ca0-c8353e537d51/content" TargetMode="External" /><Relationship Id="rId18" Type="http://schemas.openxmlformats.org/officeDocument/2006/relationships/hyperlink" Target="https://www.sciencedirect.com/science/article/pii/S244488342500004X" TargetMode="External" /><Relationship Id="rId26" Type="http://schemas.openxmlformats.org/officeDocument/2006/relationships/hyperlink" Target="https://www.mdpi.com/1911-8074/18/6/297" TargetMode="External" /><Relationship Id="rId39"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hyperlink" Target="https://d-nb.info/133081567X/34" TargetMode="External" /><Relationship Id="rId34" Type="http://schemas.openxmlformats.org/officeDocument/2006/relationships/image" Target="media/image6.png" /><Relationship Id="rId7" Type="http://schemas.openxmlformats.org/officeDocument/2006/relationships/hyperlink" Target="https://www.annualreports.com/HostedData/AnnualReportArchive/w/LSE_WTB_2024.pdf" TargetMode="External" /><Relationship Id="rId12" Type="http://schemas.openxmlformats.org/officeDocument/2006/relationships/hyperlink" Target="https://pmc.ncbi.nlm.nih.gov/articles/PMC9683742/pdf/main.pdf" TargetMode="External" /><Relationship Id="rId17" Type="http://schemas.openxmlformats.org/officeDocument/2006/relationships/hyperlink" Target="https://www.sciencedirect.com/science/article/pii/S2666957924000351" TargetMode="External" /><Relationship Id="rId25" Type="http://schemas.openxmlformats.org/officeDocument/2006/relationships/hyperlink" Target="https://arxiv.org/pdf/2302.02875" TargetMode="External" /><Relationship Id="rId33" Type="http://schemas.openxmlformats.org/officeDocument/2006/relationships/image" Target="media/image5.png" /><Relationship Id="rId38"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sciencedirect.com/science/article/pii/S0278431924001786" TargetMode="External" /><Relationship Id="rId20" Type="http://schemas.openxmlformats.org/officeDocument/2006/relationships/hyperlink" Target="https://link.springer.com/content/pdf/10.1007/s00181-022-02295-5.pdf" TargetMode="External" /><Relationship Id="rId29" Type="http://schemas.openxmlformats.org/officeDocument/2006/relationships/image" Target="media/image1.png" /><Relationship Id="rId1" Type="http://schemas.openxmlformats.org/officeDocument/2006/relationships/styles" Target="styles.xml" /><Relationship Id="rId6" Type="http://schemas.openxmlformats.org/officeDocument/2006/relationships/hyperlink" Target="https://www.annualreports.com/HostedData/AnnualReportArchive/w/LSE_WTB_2021.pdf" TargetMode="External" /><Relationship Id="rId11" Type="http://schemas.openxmlformats.org/officeDocument/2006/relationships/hyperlink" Target="https://pmc.ncbi.nlm.nih.gov/articles/PMC9754751/pdf/main.pdf" TargetMode="External" /><Relationship Id="rId24" Type="http://schemas.openxmlformats.org/officeDocument/2006/relationships/hyperlink" Target="https://www.sciencedirect.com/science/article/pii/S0275531921002300" TargetMode="External" /><Relationship Id="rId32" Type="http://schemas.openxmlformats.org/officeDocument/2006/relationships/image" Target="media/image4.png" /><Relationship Id="rId37" Type="http://schemas.openxmlformats.org/officeDocument/2006/relationships/footer" Target="footer2.xml" /><Relationship Id="rId5" Type="http://schemas.openxmlformats.org/officeDocument/2006/relationships/endnotes" Target="endnotes.xml" /><Relationship Id="rId15" Type="http://schemas.openxmlformats.org/officeDocument/2006/relationships/hyperlink" Target="https://arodes.hes-so.ch/record/14936/files/Poretti_2024_Plural_form_business_strategy.pdf" TargetMode="External" /><Relationship Id="rId23" Type="http://schemas.openxmlformats.org/officeDocument/2006/relationships/hyperlink" Target="https://link.springer.com/content/pdf/10.1007/s10690-026-09597-z.pdf" TargetMode="External" /><Relationship Id="rId28" Type="http://schemas.openxmlformats.org/officeDocument/2006/relationships/hyperlink" Target="https://www.mdpi.com/2674-1032/3/3/25" TargetMode="External" /><Relationship Id="rId36" Type="http://schemas.openxmlformats.org/officeDocument/2006/relationships/footer" Target="footer1.xml" /><Relationship Id="rId10" Type="http://schemas.openxmlformats.org/officeDocument/2006/relationships/hyperlink" Target="https://www.annualreports.com/HostedData/AnnualReports/PDF/LSE_WTB_2025.pdf" TargetMode="External" /><Relationship Id="rId19" Type="http://schemas.openxmlformats.org/officeDocument/2006/relationships/hyperlink" Target="https://link.springer.com/content/pdf/10.1007/s43069-023-00217-4.pdf" TargetMode="External" /><Relationship Id="rId31" Type="http://schemas.openxmlformats.org/officeDocument/2006/relationships/image" Target="media/image3.png" /><Relationship Id="rId4" Type="http://schemas.openxmlformats.org/officeDocument/2006/relationships/footnotes" Target="footnotes.xml" /><Relationship Id="rId9" Type="http://schemas.openxmlformats.org/officeDocument/2006/relationships/hyperlink" Target="https://www.annualreports.com/HostedData/AnnualReportArchive/w/LSE_WTB_2023.pdf" TargetMode="External" /><Relationship Id="rId14" Type="http://schemas.openxmlformats.org/officeDocument/2006/relationships/hyperlink" Target="https://www.sciencedirect.com/science/article/pii/S0261517723000511" TargetMode="External" /><Relationship Id="rId22" Type="http://schemas.openxmlformats.org/officeDocument/2006/relationships/hyperlink" Target="https://link.springer.com/content/pdf/10.1186/s43093-024-00412-7.pdf" TargetMode="External" /><Relationship Id="rId27" Type="http://schemas.openxmlformats.org/officeDocument/2006/relationships/hyperlink" Target="https://www.mdpi.com/2078-2489/15/8/432" TargetMode="External" /><Relationship Id="rId30" Type="http://schemas.openxmlformats.org/officeDocument/2006/relationships/image" Target="media/image2.png" /><Relationship Id="rId35" Type="http://schemas.openxmlformats.org/officeDocument/2006/relationships/image" Target="media/image7.png"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8467</Words>
  <Characters>48264</Characters>
  <Application>Microsoft Office Word</Application>
  <DocSecurity>0</DocSecurity>
  <Lines>402</Lines>
  <Paragraphs>113</Paragraphs>
  <ScaleCrop>false</ScaleCrop>
  <Company/>
  <LinksUpToDate>false</LinksUpToDate>
  <CharactersWithSpaces>56618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Nitin Surela</cp:lastModifiedBy>
  <cp:revision>2</cp:revision>
  <dcterms:created xsi:type="dcterms:W3CDTF">2026-08-13T05:20:00Z</dcterms:created>
  <dcterms:modified xsi:type="dcterms:W3CDTF">2026-08-13T05:20:00Z</dcterms:modified>
</cp:coreProperties>
</file>