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1AECD3" w14:textId="2E867A1B" w:rsidR="006F40CC" w:rsidRDefault="007D69A7"/>
    <w:p w14:paraId="78071840" w14:textId="433A432A" w:rsidR="001B799B" w:rsidRDefault="001B799B"/>
    <w:p w14:paraId="2D2F7C19" w14:textId="178BAB0E" w:rsidR="001B799B" w:rsidRPr="001B799B" w:rsidRDefault="001B799B" w:rsidP="001B799B">
      <w:pPr>
        <w:jc w:val="center"/>
        <w:rPr>
          <w:b/>
          <w:u w:val="single"/>
        </w:rPr>
      </w:pPr>
      <w:r w:rsidRPr="001B799B">
        <w:rPr>
          <w:b/>
          <w:u w:val="single"/>
        </w:rPr>
        <w:t>Lysimachus Character Dossier</w:t>
      </w:r>
    </w:p>
    <w:p w14:paraId="642DEA5C" w14:textId="5E06522B" w:rsidR="001B799B" w:rsidRDefault="001B799B" w:rsidP="001B799B">
      <w:pPr>
        <w:jc w:val="center"/>
        <w:rPr>
          <w:u w:val="single"/>
        </w:rPr>
      </w:pPr>
    </w:p>
    <w:p w14:paraId="3201939A" w14:textId="6DF86614" w:rsidR="00542D75" w:rsidRDefault="00E92E5E" w:rsidP="001B799B">
      <w:r>
        <w:t>For</w:t>
      </w:r>
      <w:r w:rsidR="00A17F38">
        <w:t xml:space="preserve"> this </w:t>
      </w:r>
      <w:r w:rsidRPr="009A3634">
        <w:rPr>
          <w:noProof/>
        </w:rPr>
        <w:t>Module</w:t>
      </w:r>
      <w:r w:rsidR="009A3634">
        <w:rPr>
          <w:noProof/>
        </w:rPr>
        <w:t>,</w:t>
      </w:r>
      <w:r w:rsidR="00A17F38">
        <w:t xml:space="preserve"> I will be assuming the identity and personality of Lysimachus, </w:t>
      </w:r>
      <w:r>
        <w:t>one of the six bodyguards of Alexander the Great</w:t>
      </w:r>
      <w:r w:rsidR="004E6D27">
        <w:rPr>
          <w:rStyle w:val="FootnoteReference"/>
        </w:rPr>
        <w:footnoteReference w:id="1"/>
      </w:r>
      <w:r>
        <w:t xml:space="preserve">. Concerning his family, it is known that Lysimachus was the son of </w:t>
      </w:r>
      <w:r w:rsidRPr="009A3634">
        <w:rPr>
          <w:noProof/>
        </w:rPr>
        <w:t>Agathokles</w:t>
      </w:r>
      <w:r>
        <w:t>, a member of the court of Phillip II of Macedon</w:t>
      </w:r>
      <w:r w:rsidR="00885457">
        <w:rPr>
          <w:rStyle w:val="FootnoteReference"/>
        </w:rPr>
        <w:footnoteReference w:id="2"/>
      </w:r>
      <w:r>
        <w:t>. He had two brothers, Phillopos and Autodikos. There is evidence to suggest that he had a third brother but not confirmed</w:t>
      </w:r>
      <w:r w:rsidR="00885457">
        <w:rPr>
          <w:rStyle w:val="FootnoteReference"/>
        </w:rPr>
        <w:footnoteReference w:id="3"/>
      </w:r>
      <w:r>
        <w:t xml:space="preserve">. </w:t>
      </w:r>
      <w:r w:rsidR="003469EB">
        <w:t>Due to the position of his father in the Argead court in Pella Lysimachus was brought up as a Macedonian with all the training and education that came with the honour of Macedonian court life</w:t>
      </w:r>
      <w:r w:rsidR="00885457">
        <w:rPr>
          <w:rStyle w:val="FootnoteReference"/>
        </w:rPr>
        <w:footnoteReference w:id="4"/>
      </w:r>
      <w:r w:rsidR="003469EB">
        <w:t xml:space="preserve">. His family was in the favour of Phillip II who appointed Lysimachus as </w:t>
      </w:r>
      <w:r w:rsidR="003469EB" w:rsidRPr="005C4060">
        <w:rPr>
          <w:i/>
        </w:rPr>
        <w:t>Somatophylax</w:t>
      </w:r>
      <w:r w:rsidR="003469EB" w:rsidRPr="003469EB">
        <w:t xml:space="preserve"> </w:t>
      </w:r>
      <w:r w:rsidR="003469EB">
        <w:t>at some point in his later reign</w:t>
      </w:r>
      <w:r w:rsidR="009A3634">
        <w:t>, therefore,</w:t>
      </w:r>
      <w:r w:rsidR="003469EB">
        <w:t xml:space="preserve"> the appointment predated the ascension of Alexander the Great to the throne in </w:t>
      </w:r>
      <w:r w:rsidR="005C4060">
        <w:t>336 BC</w:t>
      </w:r>
      <w:r w:rsidR="00885457">
        <w:rPr>
          <w:rStyle w:val="FootnoteReference"/>
        </w:rPr>
        <w:footnoteReference w:id="5"/>
      </w:r>
      <w:r w:rsidR="005C4060">
        <w:t xml:space="preserve">. </w:t>
      </w:r>
    </w:p>
    <w:p w14:paraId="338B195C" w14:textId="4A117E97" w:rsidR="001B799B" w:rsidRPr="001B799B" w:rsidRDefault="005C4060" w:rsidP="001B799B">
      <w:r>
        <w:t xml:space="preserve">It must be stressed that there is little information on how Lysimachus reached the title, but it is known that his Father was </w:t>
      </w:r>
      <w:r w:rsidRPr="009A3634">
        <w:rPr>
          <w:noProof/>
        </w:rPr>
        <w:t>confident</w:t>
      </w:r>
      <w:r>
        <w:t xml:space="preserve"> of Phillip II</w:t>
      </w:r>
      <w:r w:rsidR="000D1D7A">
        <w:rPr>
          <w:rStyle w:val="FootnoteReference"/>
        </w:rPr>
        <w:footnoteReference w:id="6"/>
      </w:r>
      <w:r>
        <w:t>. Grainger makes the distinction that in ancient monarchies officials used their own influence to gain positions for their own families to maintain power</w:t>
      </w:r>
      <w:r w:rsidR="0044007E">
        <w:rPr>
          <w:rStyle w:val="FootnoteReference"/>
        </w:rPr>
        <w:footnoteReference w:id="7"/>
      </w:r>
      <w:r>
        <w:t>.  As his father was a confidante of Phillip II, it wouldn’t be a surprise if h</w:t>
      </w:r>
      <w:r w:rsidR="000D1D7A">
        <w:t>e</w:t>
      </w:r>
      <w:r>
        <w:t xml:space="preserve"> used influence to get Lysimachus this position</w:t>
      </w:r>
      <w:r w:rsidR="0044007E">
        <w:rPr>
          <w:rStyle w:val="FootnoteReference"/>
        </w:rPr>
        <w:footnoteReference w:id="8"/>
      </w:r>
      <w:r>
        <w:t xml:space="preserve">. </w:t>
      </w:r>
    </w:p>
    <w:p w14:paraId="63C8101B" w14:textId="78FAE861" w:rsidR="00542D75" w:rsidRDefault="005C4060" w:rsidP="001B799B">
      <w:r>
        <w:t xml:space="preserve">But what is the position of </w:t>
      </w:r>
      <w:r w:rsidRPr="005C4060">
        <w:rPr>
          <w:i/>
        </w:rPr>
        <w:t>Somatophylax</w:t>
      </w:r>
      <w:r>
        <w:t>? The basic principle of the position was that of a bodyguard</w:t>
      </w:r>
      <w:r w:rsidR="0044007E">
        <w:rPr>
          <w:rStyle w:val="FootnoteReference"/>
        </w:rPr>
        <w:footnoteReference w:id="9"/>
      </w:r>
      <w:r>
        <w:t>. To ride with the King and the companion cavalry to protect the royal body</w:t>
      </w:r>
      <w:r w:rsidR="0044007E">
        <w:rPr>
          <w:rStyle w:val="FootnoteReference"/>
        </w:rPr>
        <w:footnoteReference w:id="10"/>
      </w:r>
      <w:r>
        <w:t>. Such a position was not necessarily just to appoint a bodyguard, but also a position honour for those who distinguished themselves</w:t>
      </w:r>
      <w:r w:rsidR="0044007E">
        <w:rPr>
          <w:rStyle w:val="FootnoteReference"/>
        </w:rPr>
        <w:footnoteReference w:id="11"/>
      </w:r>
      <w:r>
        <w:t xml:space="preserve">. It is noted by Heckel that at Sousa when the bodyguard was crowned by Alexander, Lysimachus stood beside men who had </w:t>
      </w:r>
      <w:r w:rsidRPr="009A3634">
        <w:rPr>
          <w:noProof/>
        </w:rPr>
        <w:t>cove</w:t>
      </w:r>
      <w:r w:rsidR="009A3634">
        <w:rPr>
          <w:noProof/>
        </w:rPr>
        <w:t>r</w:t>
      </w:r>
      <w:r w:rsidRPr="009A3634">
        <w:rPr>
          <w:noProof/>
        </w:rPr>
        <w:t>ed</w:t>
      </w:r>
      <w:r>
        <w:t xml:space="preserve"> themselves in glory whilst he had not</w:t>
      </w:r>
      <w:r w:rsidR="007948A2">
        <w:rPr>
          <w:rStyle w:val="FootnoteReference"/>
        </w:rPr>
        <w:footnoteReference w:id="12"/>
      </w:r>
      <w:r>
        <w:t xml:space="preserve">. </w:t>
      </w:r>
      <w:r w:rsidR="00895FCE">
        <w:t xml:space="preserve">It is </w:t>
      </w:r>
      <w:r w:rsidR="00895FCE" w:rsidRPr="009A3634">
        <w:rPr>
          <w:noProof/>
        </w:rPr>
        <w:t>known</w:t>
      </w:r>
      <w:r w:rsidR="009A3634">
        <w:rPr>
          <w:noProof/>
        </w:rPr>
        <w:t xml:space="preserve"> </w:t>
      </w:r>
      <w:r w:rsidR="00895FCE" w:rsidRPr="009A3634">
        <w:rPr>
          <w:noProof/>
        </w:rPr>
        <w:t>f</w:t>
      </w:r>
      <w:r w:rsidR="009A3634">
        <w:rPr>
          <w:noProof/>
        </w:rPr>
        <w:t>ro</w:t>
      </w:r>
      <w:r w:rsidR="00895FCE" w:rsidRPr="009A3634">
        <w:rPr>
          <w:noProof/>
        </w:rPr>
        <w:t>m</w:t>
      </w:r>
      <w:r w:rsidR="00895FCE">
        <w:t xml:space="preserve"> ancient sources </w:t>
      </w:r>
      <w:r w:rsidR="00895FCE" w:rsidRPr="009A3634">
        <w:rPr>
          <w:noProof/>
        </w:rPr>
        <w:t>that he</w:t>
      </w:r>
      <w:r w:rsidR="00895FCE">
        <w:t xml:space="preserve"> could be reckless</w:t>
      </w:r>
      <w:r w:rsidR="007948A2">
        <w:rPr>
          <w:rStyle w:val="FootnoteReference"/>
        </w:rPr>
        <w:footnoteReference w:id="13"/>
      </w:r>
      <w:r w:rsidR="00895FCE">
        <w:t xml:space="preserve">. </w:t>
      </w:r>
    </w:p>
    <w:p w14:paraId="10D532B0" w14:textId="04F160CF" w:rsidR="001B799B" w:rsidRDefault="00895FCE" w:rsidP="001B799B">
      <w:pPr>
        <w:rPr>
          <w:rStyle w:val="Title1"/>
          <w:bCs/>
          <w:iCs/>
          <w:color w:val="000000"/>
        </w:rPr>
      </w:pPr>
      <w:r>
        <w:t xml:space="preserve">Curtius in </w:t>
      </w:r>
      <w:proofErr w:type="spellStart"/>
      <w:r w:rsidRPr="00895FCE">
        <w:rPr>
          <w:rStyle w:val="Title1"/>
          <w:bCs/>
          <w:i/>
          <w:iCs/>
          <w:color w:val="000000"/>
        </w:rPr>
        <w:t>Historiae</w:t>
      </w:r>
      <w:proofErr w:type="spellEnd"/>
      <w:r w:rsidRPr="00895FCE">
        <w:rPr>
          <w:rStyle w:val="Title1"/>
          <w:bCs/>
          <w:i/>
          <w:iCs/>
          <w:color w:val="000000"/>
        </w:rPr>
        <w:t xml:space="preserve"> </w:t>
      </w:r>
      <w:proofErr w:type="spellStart"/>
      <w:r w:rsidRPr="00895FCE">
        <w:rPr>
          <w:rStyle w:val="Title1"/>
          <w:bCs/>
          <w:i/>
          <w:iCs/>
          <w:color w:val="000000"/>
        </w:rPr>
        <w:t>Alexandri</w:t>
      </w:r>
      <w:proofErr w:type="spellEnd"/>
      <w:r w:rsidRPr="00895FCE">
        <w:rPr>
          <w:rStyle w:val="Title1"/>
          <w:bCs/>
          <w:i/>
          <w:iCs/>
          <w:color w:val="000000"/>
        </w:rPr>
        <w:t xml:space="preserve"> </w:t>
      </w:r>
      <w:proofErr w:type="spellStart"/>
      <w:r w:rsidRPr="00895FCE">
        <w:rPr>
          <w:rStyle w:val="Title1"/>
          <w:bCs/>
          <w:i/>
          <w:iCs/>
          <w:color w:val="000000"/>
        </w:rPr>
        <w:t>Magni</w:t>
      </w:r>
      <w:proofErr w:type="spellEnd"/>
      <w:r>
        <w:rPr>
          <w:rStyle w:val="Title1"/>
          <w:bCs/>
          <w:iCs/>
          <w:color w:val="000000"/>
        </w:rPr>
        <w:t xml:space="preserve"> refers to a lion hunt that occurred in Syria in which Lysimachus fought a lion but was greatly mauled</w:t>
      </w:r>
      <w:r w:rsidR="0027356B">
        <w:rPr>
          <w:rStyle w:val="FootnoteReference"/>
          <w:bCs/>
          <w:iCs/>
          <w:color w:val="000000"/>
        </w:rPr>
        <w:footnoteReference w:id="14"/>
      </w:r>
      <w:r>
        <w:rPr>
          <w:rStyle w:val="Title1"/>
          <w:bCs/>
          <w:iCs/>
          <w:color w:val="000000"/>
        </w:rPr>
        <w:t>. In another hunt in Sogdiana also involving a Lion, Alexander prevented Lysimachus form engaging to avoid his mistakes</w:t>
      </w:r>
      <w:r w:rsidR="00BC0BD9">
        <w:rPr>
          <w:rStyle w:val="FootnoteReference"/>
          <w:bCs/>
          <w:iCs/>
          <w:color w:val="000000"/>
        </w:rPr>
        <w:footnoteReference w:id="15"/>
      </w:r>
      <w:r>
        <w:rPr>
          <w:rStyle w:val="Title1"/>
          <w:bCs/>
          <w:iCs/>
          <w:color w:val="000000"/>
        </w:rPr>
        <w:t xml:space="preserve">. Perhaps it Is his reckless streak that prevented Lysimachus form holding any major commands before the death of Alexander? It would </w:t>
      </w:r>
      <w:r>
        <w:rPr>
          <w:rStyle w:val="Title1"/>
          <w:bCs/>
          <w:iCs/>
          <w:color w:val="000000"/>
        </w:rPr>
        <w:lastRenderedPageBreak/>
        <w:t xml:space="preserve">suggest then that Lysimachus held the position </w:t>
      </w:r>
      <w:r w:rsidR="00542D75">
        <w:rPr>
          <w:rStyle w:val="Title1"/>
          <w:bCs/>
          <w:iCs/>
          <w:color w:val="000000"/>
        </w:rPr>
        <w:t>by</w:t>
      </w:r>
      <w:r>
        <w:rPr>
          <w:rStyle w:val="Title1"/>
          <w:bCs/>
          <w:iCs/>
          <w:color w:val="000000"/>
        </w:rPr>
        <w:t xml:space="preserve"> his long service to the House of Argead rather than to Alexander personally</w:t>
      </w:r>
      <w:r w:rsidR="00BC0BD9">
        <w:rPr>
          <w:rStyle w:val="FootnoteReference"/>
          <w:bCs/>
          <w:iCs/>
          <w:color w:val="000000"/>
        </w:rPr>
        <w:footnoteReference w:id="16"/>
      </w:r>
      <w:r>
        <w:rPr>
          <w:rStyle w:val="Title1"/>
          <w:bCs/>
          <w:iCs/>
          <w:color w:val="000000"/>
        </w:rPr>
        <w:t xml:space="preserve">. </w:t>
      </w:r>
    </w:p>
    <w:p w14:paraId="2A8D7D28" w14:textId="305D74CA" w:rsidR="00AC168E" w:rsidRDefault="00542D75" w:rsidP="001B799B">
      <w:pPr>
        <w:rPr>
          <w:rStyle w:val="Title1"/>
          <w:bCs/>
          <w:iCs/>
          <w:color w:val="000000"/>
        </w:rPr>
      </w:pPr>
      <w:r>
        <w:rPr>
          <w:rStyle w:val="Title1"/>
          <w:bCs/>
          <w:iCs/>
          <w:color w:val="000000"/>
        </w:rPr>
        <w:t xml:space="preserve">Supposedly though Lysimachus did have </w:t>
      </w:r>
      <w:r w:rsidR="00AC168E">
        <w:rPr>
          <w:rStyle w:val="Title1"/>
          <w:bCs/>
          <w:iCs/>
          <w:color w:val="000000"/>
        </w:rPr>
        <w:t xml:space="preserve">a </w:t>
      </w:r>
      <w:r>
        <w:rPr>
          <w:rStyle w:val="Title1"/>
          <w:bCs/>
          <w:iCs/>
          <w:color w:val="000000"/>
        </w:rPr>
        <w:t>moral compass which is influenced by the story of the lions as it is portrayed by Curtius</w:t>
      </w:r>
      <w:r w:rsidR="009A5089">
        <w:rPr>
          <w:rStyle w:val="FootnoteReference"/>
          <w:bCs/>
          <w:iCs/>
          <w:color w:val="000000"/>
        </w:rPr>
        <w:footnoteReference w:id="17"/>
      </w:r>
      <w:r>
        <w:rPr>
          <w:rStyle w:val="Title1"/>
          <w:bCs/>
          <w:iCs/>
          <w:color w:val="000000"/>
        </w:rPr>
        <w:t>. Lysimachus according to Justin was a follower of the philosopher Kallisthenes, though not Callisthenes of Athens</w:t>
      </w:r>
      <w:r w:rsidR="00772E4B">
        <w:rPr>
          <w:rStyle w:val="FootnoteReference"/>
          <w:bCs/>
          <w:iCs/>
          <w:color w:val="000000"/>
        </w:rPr>
        <w:footnoteReference w:id="18"/>
      </w:r>
      <w:r>
        <w:rPr>
          <w:rStyle w:val="Title1"/>
          <w:bCs/>
          <w:iCs/>
          <w:color w:val="000000"/>
        </w:rPr>
        <w:t>. Kallisthenes had been the teacher of Lysimachus. Alexander had the philosopher caged with a lion, a possible death sentence</w:t>
      </w:r>
      <w:r w:rsidR="00046C51">
        <w:rPr>
          <w:rStyle w:val="FootnoteReference"/>
          <w:bCs/>
          <w:iCs/>
          <w:color w:val="000000"/>
        </w:rPr>
        <w:footnoteReference w:id="19"/>
      </w:r>
      <w:r>
        <w:rPr>
          <w:rStyle w:val="Title1"/>
          <w:bCs/>
          <w:iCs/>
          <w:color w:val="000000"/>
        </w:rPr>
        <w:t>. Yet Lysimachus pitied him and gave him poison to end his life quickly</w:t>
      </w:r>
      <w:r w:rsidR="00046C51">
        <w:rPr>
          <w:rStyle w:val="FootnoteReference"/>
          <w:bCs/>
          <w:iCs/>
          <w:color w:val="000000"/>
        </w:rPr>
        <w:footnoteReference w:id="20"/>
      </w:r>
      <w:r>
        <w:rPr>
          <w:rStyle w:val="Title1"/>
          <w:bCs/>
          <w:iCs/>
          <w:color w:val="000000"/>
        </w:rPr>
        <w:t>. For this Lysimachus was caged with a lion himself. It shows he had the capacity to disagree with Alexander and to defy to the will of the King</w:t>
      </w:r>
      <w:r w:rsidR="00810039">
        <w:rPr>
          <w:rStyle w:val="FootnoteReference"/>
          <w:bCs/>
          <w:iCs/>
          <w:color w:val="000000"/>
        </w:rPr>
        <w:footnoteReference w:id="21"/>
      </w:r>
      <w:r>
        <w:rPr>
          <w:rStyle w:val="Title1"/>
          <w:bCs/>
          <w:iCs/>
          <w:color w:val="000000"/>
        </w:rPr>
        <w:t xml:space="preserve">. </w:t>
      </w:r>
      <w:r w:rsidR="00AC168E">
        <w:rPr>
          <w:rStyle w:val="Title1"/>
          <w:bCs/>
          <w:iCs/>
          <w:color w:val="000000"/>
        </w:rPr>
        <w:t>However,</w:t>
      </w:r>
      <w:r>
        <w:rPr>
          <w:rStyle w:val="Title1"/>
          <w:bCs/>
          <w:iCs/>
          <w:color w:val="000000"/>
        </w:rPr>
        <w:t xml:space="preserve"> this is contradicted by Seneca who describes the same punishment used by </w:t>
      </w:r>
      <w:r w:rsidR="00AC168E">
        <w:rPr>
          <w:rStyle w:val="Title1"/>
          <w:bCs/>
          <w:iCs/>
          <w:color w:val="000000"/>
        </w:rPr>
        <w:t>L</w:t>
      </w:r>
      <w:r>
        <w:rPr>
          <w:rStyle w:val="Title1"/>
          <w:bCs/>
          <w:iCs/>
          <w:color w:val="000000"/>
        </w:rPr>
        <w:t xml:space="preserve">ysimachus in </w:t>
      </w:r>
      <w:r w:rsidR="00AC168E">
        <w:rPr>
          <w:rStyle w:val="Title1"/>
          <w:bCs/>
          <w:iCs/>
          <w:color w:val="000000"/>
        </w:rPr>
        <w:t>300 BC</w:t>
      </w:r>
      <w:r w:rsidR="00810039">
        <w:rPr>
          <w:rStyle w:val="FootnoteReference"/>
          <w:bCs/>
          <w:iCs/>
          <w:color w:val="000000"/>
        </w:rPr>
        <w:footnoteReference w:id="22"/>
      </w:r>
      <w:r w:rsidR="00AC168E">
        <w:rPr>
          <w:rStyle w:val="Title1"/>
          <w:bCs/>
          <w:iCs/>
          <w:color w:val="000000"/>
        </w:rPr>
        <w:t>. This time it was on a Rhodian who had insulted his queen, as Lysimachus was King of Thrace at this point</w:t>
      </w:r>
      <w:r w:rsidR="00810039">
        <w:rPr>
          <w:rStyle w:val="FootnoteReference"/>
          <w:bCs/>
          <w:iCs/>
          <w:color w:val="000000"/>
        </w:rPr>
        <w:footnoteReference w:id="23"/>
      </w:r>
      <w:r w:rsidR="00AC168E">
        <w:rPr>
          <w:rStyle w:val="Title1"/>
          <w:bCs/>
          <w:iCs/>
          <w:color w:val="000000"/>
        </w:rPr>
        <w:t xml:space="preserve">. </w:t>
      </w:r>
      <w:r>
        <w:rPr>
          <w:rStyle w:val="Title1"/>
          <w:bCs/>
          <w:iCs/>
          <w:color w:val="000000"/>
        </w:rPr>
        <w:t xml:space="preserve">  </w:t>
      </w:r>
      <w:r w:rsidR="00AC168E">
        <w:rPr>
          <w:rStyle w:val="Title1"/>
          <w:bCs/>
          <w:iCs/>
          <w:color w:val="000000"/>
        </w:rPr>
        <w:t>He would not tolerate insults on his family, yet he was a king</w:t>
      </w:r>
      <w:r w:rsidR="00810039">
        <w:rPr>
          <w:rStyle w:val="FootnoteReference"/>
          <w:bCs/>
          <w:iCs/>
          <w:color w:val="000000"/>
        </w:rPr>
        <w:footnoteReference w:id="24"/>
      </w:r>
      <w:r w:rsidR="00AC168E">
        <w:rPr>
          <w:rStyle w:val="Title1"/>
          <w:bCs/>
          <w:iCs/>
          <w:color w:val="000000"/>
        </w:rPr>
        <w:t xml:space="preserve">. Power in ancient monarchies tended to rest solely with the king, and </w:t>
      </w:r>
      <w:r w:rsidR="00AC168E" w:rsidRPr="009A3634">
        <w:rPr>
          <w:rStyle w:val="Title1"/>
          <w:bCs/>
          <w:iCs/>
          <w:noProof/>
          <w:color w:val="000000"/>
        </w:rPr>
        <w:t>an</w:t>
      </w:r>
      <w:r w:rsidR="00AC168E">
        <w:rPr>
          <w:rStyle w:val="Title1"/>
          <w:bCs/>
          <w:iCs/>
          <w:color w:val="000000"/>
        </w:rPr>
        <w:t xml:space="preserve"> insult on the king was also an insult on the government</w:t>
      </w:r>
      <w:r w:rsidR="00810039">
        <w:rPr>
          <w:rStyle w:val="FootnoteReference"/>
          <w:bCs/>
          <w:iCs/>
          <w:color w:val="000000"/>
        </w:rPr>
        <w:footnoteReference w:id="25"/>
      </w:r>
      <w:r w:rsidR="00AC168E">
        <w:rPr>
          <w:rStyle w:val="Title1"/>
          <w:bCs/>
          <w:iCs/>
          <w:color w:val="000000"/>
        </w:rPr>
        <w:t>. Such blasphemy tended to be dealt with by the death penalty</w:t>
      </w:r>
      <w:r w:rsidR="00A7717E">
        <w:rPr>
          <w:rStyle w:val="FootnoteReference"/>
          <w:bCs/>
          <w:iCs/>
          <w:color w:val="000000"/>
        </w:rPr>
        <w:footnoteReference w:id="26"/>
      </w:r>
      <w:r w:rsidR="00AC168E">
        <w:rPr>
          <w:rStyle w:val="Title1"/>
          <w:bCs/>
          <w:iCs/>
          <w:color w:val="000000"/>
        </w:rPr>
        <w:t xml:space="preserve">. </w:t>
      </w:r>
    </w:p>
    <w:p w14:paraId="73341157" w14:textId="6F8B370E" w:rsidR="00A32610" w:rsidRDefault="00A32610" w:rsidP="001B799B">
      <w:pPr>
        <w:rPr>
          <w:rStyle w:val="Title1"/>
          <w:bCs/>
          <w:iCs/>
          <w:color w:val="000000"/>
        </w:rPr>
      </w:pPr>
      <w:r>
        <w:rPr>
          <w:rStyle w:val="Title1"/>
          <w:bCs/>
          <w:iCs/>
          <w:color w:val="000000"/>
        </w:rPr>
        <w:t>My objective with Lysimachus is not to seize power outright</w:t>
      </w:r>
      <w:r w:rsidR="00AD6BE0">
        <w:rPr>
          <w:rStyle w:val="Title1"/>
          <w:bCs/>
          <w:iCs/>
          <w:color w:val="000000"/>
        </w:rPr>
        <w:t xml:space="preserve">, but rather to assume a position of authority under other characters. He has no political Gravitas in Babylon and so must </w:t>
      </w:r>
      <w:r w:rsidR="00AD6BE0" w:rsidRPr="009A3634">
        <w:rPr>
          <w:rStyle w:val="Title1"/>
          <w:bCs/>
          <w:iCs/>
          <w:noProof/>
          <w:color w:val="000000"/>
        </w:rPr>
        <w:t>b</w:t>
      </w:r>
      <w:r w:rsidR="009A3634">
        <w:rPr>
          <w:rStyle w:val="Title1"/>
          <w:bCs/>
          <w:iCs/>
          <w:noProof/>
          <w:color w:val="000000"/>
        </w:rPr>
        <w:t>u</w:t>
      </w:r>
      <w:r w:rsidR="00AD6BE0" w:rsidRPr="009A3634">
        <w:rPr>
          <w:rStyle w:val="Title1"/>
          <w:bCs/>
          <w:iCs/>
          <w:noProof/>
          <w:color w:val="000000"/>
        </w:rPr>
        <w:t>y</w:t>
      </w:r>
      <w:r w:rsidR="00AD6BE0">
        <w:rPr>
          <w:rStyle w:val="Title1"/>
          <w:bCs/>
          <w:iCs/>
          <w:color w:val="000000"/>
        </w:rPr>
        <w:t xml:space="preserve"> time. Eventually achieving a position to obtain a kingdom of his own. </w:t>
      </w:r>
    </w:p>
    <w:p w14:paraId="48FFD859" w14:textId="50ECE156" w:rsidR="00542D75" w:rsidRDefault="00AC168E" w:rsidP="001B799B">
      <w:pPr>
        <w:rPr>
          <w:rStyle w:val="Title1"/>
          <w:bCs/>
          <w:iCs/>
          <w:color w:val="000000"/>
        </w:rPr>
      </w:pPr>
      <w:r>
        <w:rPr>
          <w:rStyle w:val="Title1"/>
          <w:bCs/>
          <w:iCs/>
          <w:color w:val="000000"/>
        </w:rPr>
        <w:t xml:space="preserve"> </w:t>
      </w:r>
    </w:p>
    <w:p w14:paraId="7E9CF691" w14:textId="5A723294" w:rsidR="00A7717E" w:rsidRPr="00045782" w:rsidRDefault="00A7717E" w:rsidP="001B799B">
      <w:pPr>
        <w:rPr>
          <w:sz w:val="20"/>
          <w:szCs w:val="20"/>
          <w:u w:val="single"/>
        </w:rPr>
      </w:pPr>
      <w:r w:rsidRPr="00045782">
        <w:rPr>
          <w:sz w:val="20"/>
          <w:szCs w:val="20"/>
          <w:u w:val="single"/>
        </w:rPr>
        <w:t>Bibliography</w:t>
      </w:r>
    </w:p>
    <w:p w14:paraId="6A0B4A2E" w14:textId="28969B9A" w:rsidR="00A7717E" w:rsidRPr="00045782" w:rsidRDefault="00A7717E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Ancient Sources: </w:t>
      </w:r>
    </w:p>
    <w:p w14:paraId="34DC251C" w14:textId="63622EDF" w:rsidR="00B975F3" w:rsidRPr="00045782" w:rsidRDefault="00B975F3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Justin, </w:t>
      </w:r>
      <w:r w:rsidRPr="00045782">
        <w:rPr>
          <w:i/>
          <w:sz w:val="20"/>
          <w:szCs w:val="20"/>
        </w:rPr>
        <w:t xml:space="preserve">Epitomes of the </w:t>
      </w:r>
      <w:proofErr w:type="spellStart"/>
      <w:r w:rsidRPr="00045782">
        <w:rPr>
          <w:i/>
          <w:sz w:val="20"/>
          <w:szCs w:val="20"/>
        </w:rPr>
        <w:t>Phillipic</w:t>
      </w:r>
      <w:proofErr w:type="spellEnd"/>
      <w:r w:rsidRPr="00045782">
        <w:rPr>
          <w:i/>
          <w:sz w:val="20"/>
          <w:szCs w:val="20"/>
        </w:rPr>
        <w:t xml:space="preserve"> Histories of </w:t>
      </w:r>
      <w:proofErr w:type="spellStart"/>
      <w:r w:rsidRPr="00045782">
        <w:rPr>
          <w:i/>
          <w:sz w:val="20"/>
          <w:szCs w:val="20"/>
        </w:rPr>
        <w:t>Pompeius</w:t>
      </w:r>
      <w:proofErr w:type="spellEnd"/>
      <w:r w:rsidRPr="00045782">
        <w:rPr>
          <w:i/>
          <w:sz w:val="20"/>
          <w:szCs w:val="20"/>
        </w:rPr>
        <w:t xml:space="preserve"> </w:t>
      </w:r>
      <w:proofErr w:type="spellStart"/>
      <w:r w:rsidRPr="00045782">
        <w:rPr>
          <w:i/>
          <w:sz w:val="20"/>
          <w:szCs w:val="20"/>
        </w:rPr>
        <w:t>Trogus</w:t>
      </w:r>
      <w:proofErr w:type="spellEnd"/>
      <w:r w:rsidRPr="00045782">
        <w:rPr>
          <w:i/>
          <w:sz w:val="20"/>
          <w:szCs w:val="20"/>
        </w:rPr>
        <w:t xml:space="preserve">, </w:t>
      </w:r>
      <w:r w:rsidRPr="00045782">
        <w:rPr>
          <w:sz w:val="20"/>
          <w:szCs w:val="20"/>
        </w:rPr>
        <w:t xml:space="preserve">J. C. Yardley (trans). 1994. Boston: American Philological Society.  </w:t>
      </w:r>
    </w:p>
    <w:p w14:paraId="14D16ECD" w14:textId="77777777" w:rsidR="00B975F3" w:rsidRPr="00B975F3" w:rsidRDefault="00B975F3" w:rsidP="00B975F3">
      <w:pPr>
        <w:rPr>
          <w:i/>
          <w:sz w:val="20"/>
          <w:szCs w:val="20"/>
        </w:rPr>
      </w:pPr>
      <w:r w:rsidRPr="00B975F3">
        <w:rPr>
          <w:sz w:val="20"/>
          <w:szCs w:val="20"/>
        </w:rPr>
        <w:t xml:space="preserve">Quintus Curtius Rufus, </w:t>
      </w:r>
      <w:r w:rsidRPr="00B975F3">
        <w:rPr>
          <w:i/>
          <w:sz w:val="20"/>
          <w:szCs w:val="20"/>
        </w:rPr>
        <w:t>The History of Alexander</w:t>
      </w:r>
      <w:r w:rsidRPr="00B975F3">
        <w:rPr>
          <w:sz w:val="20"/>
          <w:szCs w:val="20"/>
        </w:rPr>
        <w:t xml:space="preserve">, Waldemar </w:t>
      </w:r>
      <w:proofErr w:type="spellStart"/>
      <w:r w:rsidRPr="00B975F3">
        <w:rPr>
          <w:sz w:val="20"/>
          <w:szCs w:val="20"/>
        </w:rPr>
        <w:t>Hekel</w:t>
      </w:r>
      <w:proofErr w:type="spellEnd"/>
      <w:r w:rsidRPr="00B975F3">
        <w:rPr>
          <w:sz w:val="20"/>
          <w:szCs w:val="20"/>
        </w:rPr>
        <w:t xml:space="preserve"> (Trans). 1984. London: Penguin Books. </w:t>
      </w:r>
    </w:p>
    <w:p w14:paraId="74B49F6F" w14:textId="48AD02CB" w:rsidR="00953C21" w:rsidRPr="00045782" w:rsidRDefault="00953C21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Seneca, </w:t>
      </w:r>
      <w:r w:rsidRPr="00045782">
        <w:rPr>
          <w:i/>
          <w:sz w:val="20"/>
          <w:szCs w:val="20"/>
        </w:rPr>
        <w:t>De Ira</w:t>
      </w:r>
      <w:r w:rsidRPr="00045782">
        <w:rPr>
          <w:sz w:val="20"/>
          <w:szCs w:val="20"/>
        </w:rPr>
        <w:t xml:space="preserve">, Aubrey Stewart (Trans). 1900. London: George Bells and Sons.  </w:t>
      </w:r>
    </w:p>
    <w:p w14:paraId="30510129" w14:textId="45D461FD" w:rsidR="00B975F3" w:rsidRPr="00045782" w:rsidRDefault="00B975F3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Secondary Sources: </w:t>
      </w:r>
    </w:p>
    <w:p w14:paraId="7FC01161" w14:textId="780BAF55" w:rsidR="0075754F" w:rsidRPr="00045782" w:rsidRDefault="0075754F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Anson, E. and </w:t>
      </w:r>
      <w:proofErr w:type="spellStart"/>
      <w:r w:rsidRPr="00045782">
        <w:rPr>
          <w:sz w:val="20"/>
          <w:szCs w:val="20"/>
        </w:rPr>
        <w:t>Troncoso</w:t>
      </w:r>
      <w:proofErr w:type="spellEnd"/>
      <w:r w:rsidRPr="00045782">
        <w:rPr>
          <w:sz w:val="20"/>
          <w:szCs w:val="20"/>
        </w:rPr>
        <w:t xml:space="preserve">, V. (2016) </w:t>
      </w:r>
      <w:r w:rsidRPr="00045782">
        <w:rPr>
          <w:i/>
          <w:sz w:val="20"/>
          <w:szCs w:val="20"/>
        </w:rPr>
        <w:t>After Alexander: The Time of the Diadochi</w:t>
      </w:r>
      <w:r w:rsidRPr="00045782">
        <w:rPr>
          <w:sz w:val="20"/>
          <w:szCs w:val="20"/>
        </w:rPr>
        <w:t>. Havertown: Oxbow Books.</w:t>
      </w:r>
    </w:p>
    <w:p w14:paraId="00634BDD" w14:textId="7A95BE70" w:rsidR="00987FA0" w:rsidRPr="00045782" w:rsidRDefault="00987FA0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Anson, E. </w:t>
      </w:r>
      <w:r w:rsidRPr="00045782">
        <w:rPr>
          <w:i/>
          <w:sz w:val="20"/>
          <w:szCs w:val="20"/>
        </w:rPr>
        <w:t>Alexanders Heirs: The Age of The Successors</w:t>
      </w:r>
      <w:r w:rsidRPr="00045782">
        <w:rPr>
          <w:sz w:val="20"/>
          <w:szCs w:val="20"/>
        </w:rPr>
        <w:t xml:space="preserve">. 2014. Chichester: Wiley and Sons. </w:t>
      </w:r>
    </w:p>
    <w:p w14:paraId="5DB7BC28" w14:textId="3E8F8C2F" w:rsidR="00667371" w:rsidRPr="00045782" w:rsidRDefault="00667371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>Grainger, J.</w:t>
      </w:r>
      <w:r w:rsidR="007706AA" w:rsidRPr="00045782">
        <w:rPr>
          <w:sz w:val="20"/>
          <w:szCs w:val="20"/>
        </w:rPr>
        <w:t xml:space="preserve"> </w:t>
      </w:r>
      <w:r w:rsidRPr="00045782">
        <w:rPr>
          <w:sz w:val="20"/>
          <w:szCs w:val="20"/>
        </w:rPr>
        <w:t xml:space="preserve"> </w:t>
      </w:r>
      <w:r w:rsidR="007706AA" w:rsidRPr="00045782">
        <w:rPr>
          <w:sz w:val="20"/>
          <w:szCs w:val="20"/>
        </w:rPr>
        <w:t xml:space="preserve">(2017). </w:t>
      </w:r>
      <w:r w:rsidRPr="00045782">
        <w:rPr>
          <w:i/>
          <w:sz w:val="20"/>
          <w:szCs w:val="20"/>
        </w:rPr>
        <w:t>Kings and Kingship in the Hellenistic World</w:t>
      </w:r>
      <w:r w:rsidRPr="00045782">
        <w:rPr>
          <w:sz w:val="20"/>
          <w:szCs w:val="20"/>
        </w:rPr>
        <w:t xml:space="preserve">. </w:t>
      </w:r>
      <w:bookmarkStart w:id="7" w:name="_Hlk528872075"/>
      <w:r w:rsidRPr="00045782">
        <w:rPr>
          <w:sz w:val="20"/>
          <w:szCs w:val="20"/>
        </w:rPr>
        <w:t xml:space="preserve">(2017). </w:t>
      </w:r>
      <w:bookmarkEnd w:id="7"/>
      <w:r w:rsidRPr="00045782">
        <w:rPr>
          <w:sz w:val="20"/>
          <w:szCs w:val="20"/>
        </w:rPr>
        <w:t xml:space="preserve">Barnsley: Pen and </w:t>
      </w:r>
      <w:r w:rsidR="0075754F" w:rsidRPr="00045782">
        <w:rPr>
          <w:sz w:val="20"/>
          <w:szCs w:val="20"/>
        </w:rPr>
        <w:t>S</w:t>
      </w:r>
      <w:r w:rsidRPr="00045782">
        <w:rPr>
          <w:sz w:val="20"/>
          <w:szCs w:val="20"/>
        </w:rPr>
        <w:t xml:space="preserve">word. </w:t>
      </w:r>
      <w:bookmarkStart w:id="8" w:name="_GoBack"/>
      <w:bookmarkEnd w:id="8"/>
    </w:p>
    <w:p w14:paraId="12F69686" w14:textId="11EA5656" w:rsidR="000A0F04" w:rsidRPr="00045782" w:rsidRDefault="00B975F3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 xml:space="preserve">Heckel, W. </w:t>
      </w:r>
      <w:r w:rsidR="000A0F04" w:rsidRPr="00045782">
        <w:rPr>
          <w:sz w:val="20"/>
          <w:szCs w:val="20"/>
        </w:rPr>
        <w:t xml:space="preserve">(1993). </w:t>
      </w:r>
      <w:r w:rsidR="000A0F04" w:rsidRPr="00045782">
        <w:rPr>
          <w:i/>
          <w:sz w:val="20"/>
          <w:szCs w:val="20"/>
        </w:rPr>
        <w:t>The Marshals of Alexanders Empire</w:t>
      </w:r>
      <w:r w:rsidR="000A0F04" w:rsidRPr="00045782">
        <w:rPr>
          <w:sz w:val="20"/>
          <w:szCs w:val="20"/>
        </w:rPr>
        <w:t xml:space="preserve">. </w:t>
      </w:r>
      <w:bookmarkStart w:id="9" w:name="_Hlk528869019"/>
      <w:r w:rsidR="000A0F04" w:rsidRPr="00045782">
        <w:rPr>
          <w:sz w:val="20"/>
          <w:szCs w:val="20"/>
        </w:rPr>
        <w:t>Abingdon: Routledge</w:t>
      </w:r>
      <w:bookmarkEnd w:id="9"/>
      <w:r w:rsidR="000A0F04" w:rsidRPr="00045782">
        <w:rPr>
          <w:sz w:val="20"/>
          <w:szCs w:val="20"/>
        </w:rPr>
        <w:t xml:space="preserve">. </w:t>
      </w:r>
    </w:p>
    <w:p w14:paraId="65FEDBD6" w14:textId="7FB2E518" w:rsidR="001D409A" w:rsidRPr="00045782" w:rsidRDefault="001D409A" w:rsidP="001B799B">
      <w:pPr>
        <w:rPr>
          <w:sz w:val="20"/>
          <w:szCs w:val="20"/>
        </w:rPr>
      </w:pPr>
      <w:r w:rsidRPr="00045782">
        <w:rPr>
          <w:sz w:val="20"/>
          <w:szCs w:val="20"/>
        </w:rPr>
        <w:t>Lund H.</w:t>
      </w:r>
      <w:r w:rsidR="0075754F" w:rsidRPr="00045782">
        <w:rPr>
          <w:sz w:val="20"/>
          <w:szCs w:val="20"/>
        </w:rPr>
        <w:t xml:space="preserve"> </w:t>
      </w:r>
      <w:r w:rsidR="0075754F" w:rsidRPr="00045782">
        <w:rPr>
          <w:sz w:val="20"/>
          <w:szCs w:val="20"/>
        </w:rPr>
        <w:t>(2014)</w:t>
      </w:r>
      <w:r w:rsidRPr="00045782">
        <w:rPr>
          <w:sz w:val="20"/>
          <w:szCs w:val="20"/>
        </w:rPr>
        <w:t xml:space="preserve"> </w:t>
      </w:r>
      <w:r w:rsidRPr="00045782">
        <w:rPr>
          <w:i/>
          <w:sz w:val="20"/>
          <w:szCs w:val="20"/>
        </w:rPr>
        <w:t>Lysimachus</w:t>
      </w:r>
      <w:r w:rsidRPr="00045782">
        <w:rPr>
          <w:sz w:val="20"/>
          <w:szCs w:val="20"/>
        </w:rPr>
        <w:t xml:space="preserve">. </w:t>
      </w:r>
      <w:r w:rsidRPr="00045782">
        <w:rPr>
          <w:sz w:val="20"/>
          <w:szCs w:val="20"/>
        </w:rPr>
        <w:t>Abingdon: Routledge</w:t>
      </w:r>
      <w:r w:rsidRPr="00045782">
        <w:rPr>
          <w:sz w:val="20"/>
          <w:szCs w:val="20"/>
        </w:rPr>
        <w:t xml:space="preserve">  </w:t>
      </w:r>
    </w:p>
    <w:p w14:paraId="3D4CDC01" w14:textId="5FA68985" w:rsidR="00B975F3" w:rsidRPr="000A0F04" w:rsidRDefault="000A0F04" w:rsidP="001B799B">
      <w:r>
        <w:t xml:space="preserve"> </w:t>
      </w:r>
    </w:p>
    <w:p w14:paraId="3DAD105D" w14:textId="7794F562" w:rsidR="00A7717E" w:rsidRPr="00A7717E" w:rsidRDefault="00A7717E" w:rsidP="001B799B">
      <w:pPr>
        <w:rPr>
          <w:i/>
        </w:rPr>
      </w:pPr>
    </w:p>
    <w:sectPr w:rsidR="00A7717E" w:rsidRPr="00A771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709FF4" w14:textId="77777777" w:rsidR="007D69A7" w:rsidRDefault="007D69A7" w:rsidP="004E6D27">
      <w:pPr>
        <w:spacing w:after="0" w:line="240" w:lineRule="auto"/>
      </w:pPr>
      <w:r>
        <w:separator/>
      </w:r>
    </w:p>
  </w:endnote>
  <w:endnote w:type="continuationSeparator" w:id="0">
    <w:p w14:paraId="2DBEBA77" w14:textId="77777777" w:rsidR="007D69A7" w:rsidRDefault="007D69A7" w:rsidP="004E6D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96C288" w14:textId="77777777" w:rsidR="007D69A7" w:rsidRDefault="007D69A7" w:rsidP="004E6D27">
      <w:pPr>
        <w:spacing w:after="0" w:line="240" w:lineRule="auto"/>
      </w:pPr>
      <w:r>
        <w:separator/>
      </w:r>
    </w:p>
  </w:footnote>
  <w:footnote w:type="continuationSeparator" w:id="0">
    <w:p w14:paraId="5FC0916A" w14:textId="77777777" w:rsidR="007D69A7" w:rsidRDefault="007D69A7" w:rsidP="004E6D27">
      <w:pPr>
        <w:spacing w:after="0" w:line="240" w:lineRule="auto"/>
      </w:pPr>
      <w:r>
        <w:continuationSeparator/>
      </w:r>
    </w:p>
  </w:footnote>
  <w:footnote w:id="1">
    <w:p w14:paraId="2098C8BE" w14:textId="2DC633DD" w:rsidR="004E6D27" w:rsidRDefault="004E6D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28759046"/>
      <w:r w:rsidR="00885457">
        <w:t xml:space="preserve">(Heckel, 2012, </w:t>
      </w:r>
      <w:r w:rsidR="00987FA0">
        <w:t>p.</w:t>
      </w:r>
      <w:r w:rsidR="00885457">
        <w:t>267)</w:t>
      </w:r>
      <w:bookmarkEnd w:id="0"/>
    </w:p>
  </w:footnote>
  <w:footnote w:id="2">
    <w:p w14:paraId="2959BD54" w14:textId="1A61B3C5" w:rsidR="00885457" w:rsidRDefault="00885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528756906"/>
      <w:r>
        <w:t xml:space="preserve">(Heckel, 2012, </w:t>
      </w:r>
      <w:r w:rsidR="00987FA0">
        <w:t>p.</w:t>
      </w:r>
      <w:r>
        <w:t>267)</w:t>
      </w:r>
      <w:bookmarkEnd w:id="1"/>
    </w:p>
  </w:footnote>
  <w:footnote w:id="3">
    <w:p w14:paraId="2B0BD40A" w14:textId="64C133DE" w:rsidR="00885457" w:rsidRDefault="00885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85457">
        <w:t>(</w:t>
      </w:r>
      <w:r>
        <w:t xml:space="preserve">Anson and </w:t>
      </w:r>
      <w:proofErr w:type="spellStart"/>
      <w:r>
        <w:t>Troncoso</w:t>
      </w:r>
      <w:proofErr w:type="spellEnd"/>
      <w:r>
        <w:t xml:space="preserve">, </w:t>
      </w:r>
      <w:r w:rsidR="009A3634">
        <w:t xml:space="preserve">2016, </w:t>
      </w:r>
      <w:r w:rsidR="00987FA0">
        <w:t>p.</w:t>
      </w:r>
      <w:r w:rsidR="009A3634">
        <w:t xml:space="preserve">74) </w:t>
      </w:r>
    </w:p>
  </w:footnote>
  <w:footnote w:id="4">
    <w:p w14:paraId="268EBBA6" w14:textId="62397822" w:rsidR="00885457" w:rsidRDefault="00885457">
      <w:pPr>
        <w:pStyle w:val="FootnoteText"/>
      </w:pPr>
      <w:r>
        <w:rPr>
          <w:rStyle w:val="FootnoteReference"/>
        </w:rPr>
        <w:footnoteRef/>
      </w:r>
      <w:r>
        <w:t xml:space="preserve"> (Lund, 2014, 34) </w:t>
      </w:r>
    </w:p>
  </w:footnote>
  <w:footnote w:id="5">
    <w:p w14:paraId="32E5919E" w14:textId="62EFC9D3" w:rsidR="00885457" w:rsidRDefault="00885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3634">
        <w:t>(</w:t>
      </w:r>
      <w:r w:rsidR="009A3634" w:rsidRPr="009A3634">
        <w:t xml:space="preserve">Anson and </w:t>
      </w:r>
      <w:proofErr w:type="spellStart"/>
      <w:r w:rsidR="009A3634" w:rsidRPr="009A3634">
        <w:t>Troncoso</w:t>
      </w:r>
      <w:proofErr w:type="spellEnd"/>
      <w:r w:rsidR="009A3634" w:rsidRPr="009A3634">
        <w:t xml:space="preserve">, 2016, </w:t>
      </w:r>
      <w:r w:rsidR="00987FA0">
        <w:t>p.</w:t>
      </w:r>
      <w:r w:rsidR="009A3634" w:rsidRPr="009A3634">
        <w:t>74)</w:t>
      </w:r>
    </w:p>
  </w:footnote>
  <w:footnote w:id="6">
    <w:p w14:paraId="16BEBB37" w14:textId="445BEAB6" w:rsidR="000D1D7A" w:rsidRDefault="000D1D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528758190"/>
      <w:r>
        <w:t>(</w:t>
      </w:r>
      <w:r w:rsidRPr="000D1D7A">
        <w:t xml:space="preserve">Grainger, 2017, </w:t>
      </w:r>
      <w:r>
        <w:t>34)</w:t>
      </w:r>
      <w:bookmarkEnd w:id="2"/>
    </w:p>
  </w:footnote>
  <w:footnote w:id="7">
    <w:p w14:paraId="4632D1EB" w14:textId="7F0DA8CB" w:rsidR="0044007E" w:rsidRDefault="004400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007E">
        <w:t>(Grainger, 2017, 34)</w:t>
      </w:r>
    </w:p>
  </w:footnote>
  <w:footnote w:id="8">
    <w:p w14:paraId="04E4A3D2" w14:textId="241E9F5C" w:rsidR="0044007E" w:rsidRPr="0044007E" w:rsidRDefault="0044007E" w:rsidP="004400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007E">
        <w:t xml:space="preserve">(Anson and </w:t>
      </w:r>
      <w:proofErr w:type="spellStart"/>
      <w:r w:rsidRPr="0044007E">
        <w:t>Troncoso</w:t>
      </w:r>
      <w:proofErr w:type="spellEnd"/>
      <w:r w:rsidRPr="0044007E">
        <w:t xml:space="preserve">, 2016, </w:t>
      </w:r>
      <w:r w:rsidR="00987FA0">
        <w:t>p.</w:t>
      </w:r>
      <w:r w:rsidRPr="0044007E">
        <w:t>74)</w:t>
      </w:r>
    </w:p>
    <w:p w14:paraId="1C3230AA" w14:textId="22FE3E08" w:rsidR="0044007E" w:rsidRDefault="0044007E">
      <w:pPr>
        <w:pStyle w:val="FootnoteText"/>
      </w:pPr>
    </w:p>
  </w:footnote>
  <w:footnote w:id="9">
    <w:p w14:paraId="3719B79D" w14:textId="0196A3A4" w:rsidR="0044007E" w:rsidRDefault="0044007E">
      <w:pPr>
        <w:pStyle w:val="FootnoteText"/>
      </w:pPr>
      <w:r>
        <w:rPr>
          <w:rStyle w:val="FootnoteReference"/>
        </w:rPr>
        <w:footnoteRef/>
      </w:r>
      <w:r>
        <w:t xml:space="preserve"> (Anson, 2014, </w:t>
      </w:r>
      <w:r w:rsidR="00987FA0">
        <w:t>p.</w:t>
      </w:r>
      <w:r>
        <w:t>25)</w:t>
      </w:r>
    </w:p>
  </w:footnote>
  <w:footnote w:id="10">
    <w:p w14:paraId="4D694CFF" w14:textId="7F8DF9F9" w:rsidR="0044007E" w:rsidRDefault="004400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007E">
        <w:t xml:space="preserve">(Anson, 2014, </w:t>
      </w:r>
      <w:r w:rsidR="00987FA0">
        <w:t>p.</w:t>
      </w:r>
      <w:r w:rsidRPr="0044007E">
        <w:t>25)</w:t>
      </w:r>
      <w:r>
        <w:t xml:space="preserve"> </w:t>
      </w:r>
    </w:p>
  </w:footnote>
  <w:footnote w:id="11">
    <w:p w14:paraId="090C5D0E" w14:textId="31C5FFB6" w:rsidR="0044007E" w:rsidRDefault="004400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007E">
        <w:t xml:space="preserve">(Anson, 2014, </w:t>
      </w:r>
      <w:r w:rsidR="00987FA0">
        <w:t>p.</w:t>
      </w:r>
      <w:r w:rsidRPr="0044007E">
        <w:t>25)</w:t>
      </w:r>
    </w:p>
  </w:footnote>
  <w:footnote w:id="12">
    <w:p w14:paraId="7183F854" w14:textId="70C65AC9" w:rsidR="007948A2" w:rsidRDefault="007948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948A2">
        <w:t xml:space="preserve">(Heckel, 2012, </w:t>
      </w:r>
      <w:r w:rsidR="00987FA0">
        <w:t>p.</w:t>
      </w:r>
      <w:r w:rsidRPr="007948A2">
        <w:t>267)</w:t>
      </w:r>
    </w:p>
  </w:footnote>
  <w:footnote w:id="13">
    <w:p w14:paraId="4CB1C42E" w14:textId="43FC1CF8" w:rsidR="007948A2" w:rsidRDefault="007948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948A2">
        <w:t xml:space="preserve">(Heckel, 2012, </w:t>
      </w:r>
      <w:r w:rsidR="00987FA0">
        <w:t>p.</w:t>
      </w:r>
      <w:r w:rsidRPr="007948A2">
        <w:t>2</w:t>
      </w:r>
      <w:r w:rsidR="0027356B">
        <w:t>73</w:t>
      </w:r>
      <w:r w:rsidRPr="007948A2">
        <w:t>)</w:t>
      </w:r>
    </w:p>
  </w:footnote>
  <w:footnote w:id="14">
    <w:p w14:paraId="349DDBD7" w14:textId="0ABAA01C" w:rsidR="0027356B" w:rsidRDefault="0027356B">
      <w:pPr>
        <w:pStyle w:val="FootnoteText"/>
      </w:pPr>
      <w:r>
        <w:rPr>
          <w:rStyle w:val="FootnoteReference"/>
        </w:rPr>
        <w:footnoteRef/>
      </w:r>
      <w:r>
        <w:t xml:space="preserve"> (Curt.</w:t>
      </w:r>
      <w:r w:rsidR="00BC0BD9">
        <w:t xml:space="preserve"> </w:t>
      </w:r>
      <w:r>
        <w:t>8</w:t>
      </w:r>
      <w:r w:rsidR="00BC0BD9">
        <w:t xml:space="preserve">. 1. 14-17) </w:t>
      </w:r>
    </w:p>
  </w:footnote>
  <w:footnote w:id="15">
    <w:p w14:paraId="092D691D" w14:textId="5296F993" w:rsidR="00BC0BD9" w:rsidRDefault="00BC0B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528856358"/>
      <w:r w:rsidRPr="00BC0BD9">
        <w:t>(Curt. 8. 1. 14-17)</w:t>
      </w:r>
      <w:bookmarkEnd w:id="3"/>
    </w:p>
  </w:footnote>
  <w:footnote w:id="16">
    <w:p w14:paraId="3B1BA7F6" w14:textId="4C7D4BBD" w:rsidR="00BC0BD9" w:rsidRDefault="00BC0B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528866326"/>
      <w:r w:rsidRPr="00BC0BD9">
        <w:t xml:space="preserve">(Grainger, 2017, </w:t>
      </w:r>
      <w:r w:rsidR="00987FA0">
        <w:t>p.</w:t>
      </w:r>
      <w:r>
        <w:t>71</w:t>
      </w:r>
      <w:r w:rsidRPr="00BC0BD9">
        <w:t>)</w:t>
      </w:r>
      <w:bookmarkEnd w:id="4"/>
    </w:p>
  </w:footnote>
  <w:footnote w:id="17">
    <w:p w14:paraId="54DC5115" w14:textId="2A8DED92" w:rsidR="009A5089" w:rsidRDefault="009A50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A5089">
        <w:t>(Curt. 8. 1. 14-17)</w:t>
      </w:r>
    </w:p>
  </w:footnote>
  <w:footnote w:id="18">
    <w:p w14:paraId="2717CDF7" w14:textId="1C080065" w:rsidR="00772E4B" w:rsidRDefault="00772E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6C51">
        <w:t>(</w:t>
      </w:r>
      <w:r w:rsidR="00046C51" w:rsidRPr="00046C51">
        <w:t xml:space="preserve">Heckel, 2012, </w:t>
      </w:r>
      <w:r w:rsidR="00987FA0">
        <w:t>p.</w:t>
      </w:r>
      <w:r w:rsidR="00046C51" w:rsidRPr="00046C51">
        <w:t>2</w:t>
      </w:r>
      <w:r w:rsidR="00046C51">
        <w:t>72</w:t>
      </w:r>
      <w:r w:rsidR="00046C51" w:rsidRPr="00046C51">
        <w:t>)</w:t>
      </w:r>
    </w:p>
  </w:footnote>
  <w:footnote w:id="19">
    <w:p w14:paraId="41A7D279" w14:textId="02A8E55D" w:rsidR="00046C51" w:rsidRDefault="00046C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46C51">
        <w:t xml:space="preserve">(Heckel, 2012, </w:t>
      </w:r>
      <w:r w:rsidR="00987FA0">
        <w:t>p.</w:t>
      </w:r>
      <w:r w:rsidRPr="00046C51">
        <w:t>2</w:t>
      </w:r>
      <w:r>
        <w:t>72</w:t>
      </w:r>
      <w:r w:rsidRPr="00046C51">
        <w:t>)</w:t>
      </w:r>
    </w:p>
  </w:footnote>
  <w:footnote w:id="20">
    <w:p w14:paraId="2166518A" w14:textId="3321467C" w:rsidR="00046C51" w:rsidRDefault="00046C51">
      <w:pPr>
        <w:pStyle w:val="FootnoteText"/>
      </w:pPr>
      <w:r>
        <w:rPr>
          <w:rStyle w:val="FootnoteReference"/>
        </w:rPr>
        <w:footnoteRef/>
      </w:r>
      <w:r>
        <w:t xml:space="preserve"> (Justin.</w:t>
      </w:r>
      <w:r w:rsidR="00810039">
        <w:t xml:space="preserve"> 3. 7-8) </w:t>
      </w:r>
    </w:p>
  </w:footnote>
  <w:footnote w:id="21">
    <w:p w14:paraId="45BBF4D3" w14:textId="763ABCAF" w:rsidR="00810039" w:rsidRDefault="0081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0039">
        <w:t xml:space="preserve">(Justin. 3. </w:t>
      </w:r>
      <w:r>
        <w:t>3</w:t>
      </w:r>
      <w:r w:rsidRPr="00810039">
        <w:t>-8)</w:t>
      </w:r>
    </w:p>
  </w:footnote>
  <w:footnote w:id="22">
    <w:p w14:paraId="3BBED3E6" w14:textId="3E6718F5" w:rsidR="00810039" w:rsidRDefault="0081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528866265"/>
      <w:r>
        <w:t>(</w:t>
      </w:r>
      <w:r w:rsidRPr="00810039">
        <w:t xml:space="preserve">Sen. Ira </w:t>
      </w:r>
      <w:r>
        <w:t xml:space="preserve">.17.3-4). </w:t>
      </w:r>
      <w:bookmarkEnd w:id="5"/>
    </w:p>
  </w:footnote>
  <w:footnote w:id="23">
    <w:p w14:paraId="5AA2DEDD" w14:textId="1AE05670" w:rsidR="00810039" w:rsidRDefault="0081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0039">
        <w:t>(Sen. Ira .17.3-4).</w:t>
      </w:r>
    </w:p>
  </w:footnote>
  <w:footnote w:id="24">
    <w:p w14:paraId="759C8863" w14:textId="265EF538" w:rsidR="00810039" w:rsidRDefault="0081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10039">
        <w:t>(Sen. Ira .17.3-4).</w:t>
      </w:r>
    </w:p>
  </w:footnote>
  <w:footnote w:id="25">
    <w:p w14:paraId="15FA3DC1" w14:textId="096C6DFC" w:rsidR="00810039" w:rsidRDefault="008100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528866351"/>
      <w:r w:rsidRPr="00810039">
        <w:t xml:space="preserve">(Grainger, 2017, </w:t>
      </w:r>
      <w:r w:rsidR="00987FA0">
        <w:t>p.</w:t>
      </w:r>
      <w:r w:rsidRPr="00810039">
        <w:t>71)</w:t>
      </w:r>
      <w:r>
        <w:t xml:space="preserve">  </w:t>
      </w:r>
      <w:bookmarkEnd w:id="6"/>
    </w:p>
  </w:footnote>
  <w:footnote w:id="26">
    <w:p w14:paraId="0C564805" w14:textId="40BE5B4F" w:rsidR="00A7717E" w:rsidRDefault="00A771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717E">
        <w:t xml:space="preserve">(Grainger, 2017, </w:t>
      </w:r>
      <w:r w:rsidR="00987FA0">
        <w:t>p.</w:t>
      </w:r>
      <w:r w:rsidRPr="00A7717E">
        <w:t xml:space="preserve">71) 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U0MjQwNzExNjUwN7VQ0lEKTi0uzszPAykwrgUAjw7T3ywAAAA="/>
  </w:docVars>
  <w:rsids>
    <w:rsidRoot w:val="001B799B"/>
    <w:rsid w:val="00015126"/>
    <w:rsid w:val="00045782"/>
    <w:rsid w:val="00046C51"/>
    <w:rsid w:val="000A0F04"/>
    <w:rsid w:val="000D1D7A"/>
    <w:rsid w:val="001B799B"/>
    <w:rsid w:val="001D409A"/>
    <w:rsid w:val="0027356B"/>
    <w:rsid w:val="003469EB"/>
    <w:rsid w:val="003B12A1"/>
    <w:rsid w:val="0044007E"/>
    <w:rsid w:val="00480C3C"/>
    <w:rsid w:val="004E6D27"/>
    <w:rsid w:val="00542D75"/>
    <w:rsid w:val="005C4060"/>
    <w:rsid w:val="00667371"/>
    <w:rsid w:val="006912D0"/>
    <w:rsid w:val="006C7569"/>
    <w:rsid w:val="0075754F"/>
    <w:rsid w:val="007706AA"/>
    <w:rsid w:val="00772E4B"/>
    <w:rsid w:val="007948A2"/>
    <w:rsid w:val="007C6D9F"/>
    <w:rsid w:val="007D69A7"/>
    <w:rsid w:val="007E79AB"/>
    <w:rsid w:val="00810039"/>
    <w:rsid w:val="00832C94"/>
    <w:rsid w:val="008511A5"/>
    <w:rsid w:val="00885457"/>
    <w:rsid w:val="00895FCE"/>
    <w:rsid w:val="00953C21"/>
    <w:rsid w:val="00987FA0"/>
    <w:rsid w:val="009A3634"/>
    <w:rsid w:val="009A5089"/>
    <w:rsid w:val="009C7238"/>
    <w:rsid w:val="00A17F38"/>
    <w:rsid w:val="00A32610"/>
    <w:rsid w:val="00A7717E"/>
    <w:rsid w:val="00AC168E"/>
    <w:rsid w:val="00AD6BE0"/>
    <w:rsid w:val="00B975F3"/>
    <w:rsid w:val="00BC0BD9"/>
    <w:rsid w:val="00D55E59"/>
    <w:rsid w:val="00E273B6"/>
    <w:rsid w:val="00E92E5E"/>
    <w:rsid w:val="00EA1210"/>
    <w:rsid w:val="00F30D8F"/>
    <w:rsid w:val="00FC4E08"/>
    <w:rsid w:val="00FD5D9B"/>
    <w:rsid w:val="00FE4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1B582"/>
  <w15:chartTrackingRefBased/>
  <w15:docId w15:val="{1BF7908A-765C-487D-ADB6-62EF4BAA5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1">
    <w:name w:val="Title1"/>
    <w:basedOn w:val="DefaultParagraphFont"/>
    <w:rsid w:val="00895FCE"/>
  </w:style>
  <w:style w:type="paragraph" w:styleId="FootnoteText">
    <w:name w:val="footnote text"/>
    <w:basedOn w:val="Normal"/>
    <w:link w:val="FootnoteTextChar"/>
    <w:uiPriority w:val="99"/>
    <w:semiHidden/>
    <w:unhideWhenUsed/>
    <w:rsid w:val="004E6D2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E6D2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E6D2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2B12BC-A766-4C85-9018-EE5B5BB2A9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Gillson-Gant</dc:creator>
  <cp:keywords/>
  <dc:description/>
  <cp:lastModifiedBy>Henry Gillson-Gant</cp:lastModifiedBy>
  <cp:revision>2</cp:revision>
  <dcterms:created xsi:type="dcterms:W3CDTF">2018-11-01T22:06:00Z</dcterms:created>
  <dcterms:modified xsi:type="dcterms:W3CDTF">2018-11-01T22:06:00Z</dcterms:modified>
</cp:coreProperties>
</file>