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C54B3F" w14:textId="1FADD813" w:rsidR="00613B1F" w:rsidRPr="00E13B14" w:rsidRDefault="54B3E25C" w:rsidP="00FD1D0F">
      <w:pPr>
        <w:pStyle w:val="paragraph"/>
        <w:spacing w:line="480" w:lineRule="auto"/>
        <w:contextualSpacing/>
        <w:rPr>
          <w:rStyle w:val="normaltextrun"/>
          <w:b/>
          <w:bCs/>
        </w:rPr>
      </w:pPr>
      <w:r w:rsidRPr="54B3E25C">
        <w:rPr>
          <w:rStyle w:val="normaltextrun"/>
          <w:b/>
          <w:bCs/>
        </w:rPr>
        <w:t>Critically discuss the importance of Charles Taylor’s theory of Recognition as it applies to working with people who define themselves as gender and sexually diverse - 1803506</w:t>
      </w:r>
    </w:p>
    <w:p w14:paraId="198A8AC6" w14:textId="1C8A5344" w:rsidR="54B3E25C" w:rsidRDefault="54B3E25C" w:rsidP="00FD1D0F">
      <w:pPr>
        <w:pStyle w:val="paragraph"/>
        <w:spacing w:line="480" w:lineRule="auto"/>
        <w:rPr>
          <w:rStyle w:val="normaltextrun"/>
          <w:b/>
          <w:bCs/>
        </w:rPr>
      </w:pPr>
    </w:p>
    <w:p w14:paraId="20724279" w14:textId="00351723" w:rsidR="00602B93" w:rsidRDefault="3D81C607" w:rsidP="00FD1D0F">
      <w:pPr>
        <w:pStyle w:val="paragraph"/>
        <w:spacing w:line="480" w:lineRule="auto"/>
        <w:textAlignment w:val="baseline"/>
        <w:rPr>
          <w:rStyle w:val="eop"/>
        </w:rPr>
      </w:pPr>
      <w:r w:rsidRPr="3D81C607">
        <w:rPr>
          <w:rStyle w:val="normaltextrun"/>
        </w:rPr>
        <w:t>In this essay, Charles Taylor’s theory of recognition will be explored and its importance in relation to individuals who identify as sexually and gender diverse will be discussed. The essay will also be examining the strengths and shortcomings of this theory using research and evidence from the last ten years.</w:t>
      </w:r>
      <w:r w:rsidRPr="3D81C607">
        <w:rPr>
          <w:rStyle w:val="eop"/>
        </w:rPr>
        <w:t> </w:t>
      </w:r>
    </w:p>
    <w:p w14:paraId="5A6CD4FA" w14:textId="16A0CD15" w:rsidR="00602B93" w:rsidRDefault="7562B9E2" w:rsidP="00FD1D0F">
      <w:pPr>
        <w:pStyle w:val="paragraph"/>
        <w:spacing w:line="480" w:lineRule="auto"/>
        <w:textAlignment w:val="baseline"/>
        <w:rPr>
          <w:rStyle w:val="eop"/>
        </w:rPr>
      </w:pPr>
      <w:r w:rsidRPr="7562B9E2">
        <w:rPr>
          <w:rStyle w:val="normaltextrun"/>
        </w:rPr>
        <w:t>In Taylors’s 1994 essay ‘Multiculturalism and the Politics of Recognition’, he wrote about the human need, or even demand, for recognition, and its importance in relation to identity. He defined identity as ‘a person’s understanding of wh</w:t>
      </w:r>
      <w:r w:rsidR="00FD1D0F">
        <w:rPr>
          <w:rStyle w:val="normaltextrun"/>
        </w:rPr>
        <w:t>o they are’ and claimed that mis</w:t>
      </w:r>
      <w:r w:rsidRPr="7562B9E2">
        <w:rPr>
          <w:rStyle w:val="normaltextrun"/>
        </w:rPr>
        <w:t>recognition could lead to ‘imprisoning someone in a false, distorted, and reduced mode of being’ (Taylor, 1994, 25) and can even cause feelings of oppression. </w:t>
      </w:r>
    </w:p>
    <w:p w14:paraId="1C3368EE" w14:textId="3B1AACBF" w:rsidR="00602B93" w:rsidRDefault="7D82B2F3" w:rsidP="00FD1D0F">
      <w:pPr>
        <w:pStyle w:val="paragraph"/>
        <w:spacing w:line="480" w:lineRule="auto"/>
        <w:textAlignment w:val="baseline"/>
        <w:rPr>
          <w:rStyle w:val="normaltextrun"/>
        </w:rPr>
      </w:pPr>
      <w:r w:rsidRPr="7D82B2F3">
        <w:rPr>
          <w:rStyle w:val="normaltextrun"/>
        </w:rPr>
        <w:t>Group identities including racial, ethnic, gender, religious and sexual, etc. can be essential to the essence of a person because individuals’ core identities are developed in relation to others; not just introspectively (Gutmann, 2018). However, our core self is more than the sum of our group identities and it is therefore imperative for society to recognise and respect an individual’s freedom to choose their own set of identities. For example, someone may want to be recognised as a woman, a partner, a Welsh citizen, but also as many other things. </w:t>
      </w:r>
    </w:p>
    <w:p w14:paraId="45475BDB" w14:textId="57A155C6" w:rsidR="00602B93" w:rsidRDefault="7D82B2F3" w:rsidP="00FD1D0F">
      <w:pPr>
        <w:pStyle w:val="paragraph"/>
        <w:spacing w:line="480" w:lineRule="auto"/>
        <w:textAlignment w:val="baseline"/>
        <w:rPr>
          <w:rStyle w:val="eop"/>
        </w:rPr>
      </w:pPr>
      <w:r w:rsidRPr="7D82B2F3">
        <w:rPr>
          <w:rStyle w:val="normaltextrun"/>
        </w:rPr>
        <w:t xml:space="preserve">One of the purposes of self-formation and identity, according to Taylor, is to restructure inequalities in modern life and to promote social justice (Teles de Pontes, 2012). Identity defines the social agents and the transformation of their self and recognises how one’s identity can be influenced by external factors. The formation of identity can be realised through the struggle for equality and dignity and the value of individuals as equals, and the </w:t>
      </w:r>
      <w:r w:rsidRPr="7D82B2F3">
        <w:rPr>
          <w:rStyle w:val="normaltextrun"/>
        </w:rPr>
        <w:lastRenderedPageBreak/>
        <w:t xml:space="preserve">feeling that you have a place in your group. </w:t>
      </w:r>
      <w:r w:rsidRPr="7D82B2F3">
        <w:rPr>
          <w:rStyle w:val="contextualspellingandgrammarerror"/>
        </w:rPr>
        <w:t>However, Taylor’s theory of recognition has been criticised by Teles de Pontes for the notion of authenticity having no meaning in practice – due to an individual’s sense of identity being simply a product of interactions with others, rather than deep moral values. </w:t>
      </w:r>
    </w:p>
    <w:p w14:paraId="4F2F2C10" w14:textId="0083CFAC" w:rsidR="00880E88" w:rsidRDefault="54B3E25C" w:rsidP="00FD1D0F">
      <w:pPr>
        <w:pStyle w:val="paragraph"/>
        <w:spacing w:line="480" w:lineRule="auto"/>
        <w:rPr>
          <w:rStyle w:val="normaltextrun"/>
        </w:rPr>
      </w:pPr>
      <w:r w:rsidRPr="54B3E25C">
        <w:rPr>
          <w:rStyle w:val="normaltextrun"/>
        </w:rPr>
        <w:t xml:space="preserve">In instances where feelings of oppression have developed due to misrecognition, Taylor’s theory states that recognition is a vital component of repairing the harm done in the process of rebuilding the victim’s self-respect and dignity (Abbey, 1999 within </w:t>
      </w:r>
      <w:r w:rsidRPr="54B3E25C">
        <w:rPr>
          <w:rStyle w:val="spellingerror"/>
        </w:rPr>
        <w:t>Petoukhov</w:t>
      </w:r>
      <w:r w:rsidRPr="54B3E25C">
        <w:rPr>
          <w:rStyle w:val="normaltextrun"/>
        </w:rPr>
        <w:t>, 2012). A vital component of identity for many people is that of racial recognition – Kymlicka (1995) goes as far to say that if a culture is not respected, the self-respect and dignity of its group members is compromised.</w:t>
      </w:r>
    </w:p>
    <w:p w14:paraId="65B99FA2" w14:textId="66C3E021" w:rsidR="00CF4334"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Recognition is important in the context of counselling because it shows basic respect for the patient as a person, on behalf of the counsellor. Schibbye (1993, within Steihaug, Gulbrandsen &amp; Werner, 2012) characterized recognising behaviour as actively listening, expressing understanding and tolerance, and confirmation. Listening facilitates the patient’s willingness to be moved and be receptive while understanding involves entering another person’s world as they see it, but always keeping in mind that that person’s feelings and experiences belong to them and no one else. Tolerance demonstrates that the counsellor accepts the patient’s right to their feelings and confirmation entitles the patient validity of their feelings and to know that they are reasonable.</w:t>
      </w:r>
    </w:p>
    <w:p w14:paraId="53CFA491" w14:textId="0E817E8C" w:rsidR="54B3E25C"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 xml:space="preserve">A pioneer in gender theory and challenging the conventional notions of gender is philosopher Judith Butler, who argues that gender is a ‘performance’ and can be simplified to a repetition of acts and behaviours associated with being masculine or feminine (Butler, 1988). In her book, Imitation and Gender Insubordination, Butler discussed the creation of identities such as ‘heterosexual’ and ‘homosexual’ and the restrictive attributes of such identity groups, </w:t>
      </w:r>
      <w:r w:rsidRPr="7562B9E2">
        <w:rPr>
          <w:rFonts w:ascii="Times New Roman" w:eastAsia="Times New Roman" w:hAnsi="Times New Roman" w:cs="Times New Roman"/>
          <w:sz w:val="24"/>
          <w:szCs w:val="24"/>
        </w:rPr>
        <w:lastRenderedPageBreak/>
        <w:t>pointing out that the idea of gender is seen as natural rather than constructed, one’s body becomes its gender through consolidating a sequence of acts, seen as either male or female, through time.</w:t>
      </w:r>
    </w:p>
    <w:p w14:paraId="53EABB73" w14:textId="14839261" w:rsidR="008679B1"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Ford (2011) examined the premise of ‘bodily misrecognition’ which refers to stereotypical assumptions about race and gender, in particular, women of colour, that were made regarding their actions in a classroom setting. For example, assuming incompetence, falling short of acknowledging the complexity of their identities – social, personal and professional or simply pigeonholing their identities. The study explored the experience of women of colour employed at a university and the ways in which their experience was impacted by their social identities. The study claims that gender is constructed socially and culturally in a binary format e.g. woman or man, to maintain hegemonic power and privilege, citing the work of Butler (1990) who argued that gender is an identity insubstantially formed in time, rather than a stable, objective status. Gender roles constructed by society tend to produce relationships or dominance and subordinance that appear instinctual, and this was reflected in the experiences of the participants, one of whom reported difficulty maintaining an authoritative role in the classroom, due in part to her identity as a woman of colour. These findings highlighted the dangers of misrecognition, even on an unconscious level, and the limitations it can place on an individual, simply for being identifying as a certain race or gender.</w:t>
      </w:r>
    </w:p>
    <w:p w14:paraId="3D1D4C77" w14:textId="7C188672" w:rsidR="00655909" w:rsidRDefault="54B3E25C" w:rsidP="00FD1D0F">
      <w:pPr>
        <w:spacing w:line="480" w:lineRule="auto"/>
        <w:rPr>
          <w:rStyle w:val="normaltextrun"/>
          <w:rFonts w:ascii="Times New Roman" w:eastAsia="Times New Roman" w:hAnsi="Times New Roman" w:cs="Times New Roman"/>
          <w:sz w:val="24"/>
          <w:szCs w:val="24"/>
        </w:rPr>
      </w:pPr>
      <w:r w:rsidRPr="54B3E25C">
        <w:rPr>
          <w:rStyle w:val="normaltextrun"/>
          <w:rFonts w:ascii="Times New Roman" w:eastAsia="Times New Roman" w:hAnsi="Times New Roman" w:cs="Times New Roman"/>
          <w:sz w:val="24"/>
          <w:szCs w:val="24"/>
        </w:rPr>
        <w:t xml:space="preserve">The Universal Declaration of Human Rights was introduced in 1948 to protect the rights of individuals who identify as members of specific group identities from discrimination and oppression and to achieve equality in society. Despite the </w:t>
      </w:r>
      <w:r w:rsidRPr="54B3E25C">
        <w:rPr>
          <w:rStyle w:val="spellingerror"/>
          <w:rFonts w:ascii="Times New Roman" w:eastAsia="Times New Roman" w:hAnsi="Times New Roman" w:cs="Times New Roman"/>
          <w:sz w:val="24"/>
          <w:szCs w:val="24"/>
        </w:rPr>
        <w:t>significant</w:t>
      </w:r>
      <w:r w:rsidRPr="54B3E25C">
        <w:rPr>
          <w:rStyle w:val="normaltextrun"/>
          <w:rFonts w:ascii="Times New Roman" w:eastAsia="Times New Roman" w:hAnsi="Times New Roman" w:cs="Times New Roman"/>
          <w:sz w:val="24"/>
          <w:szCs w:val="24"/>
        </w:rPr>
        <w:t xml:space="preserve"> progress the legislation has made, there are still a struggle against homophobia and transphobia (Cumming-Potvin &amp; Martino, 2009). Some laws prohibit non-adherence to a traditional gender identity based on male/female binary and forbid behaviour such as “imitating the appearance of the opposite sex”, which have been interpreted by the United Nations as a breach of human rights to </w:t>
      </w:r>
      <w:r w:rsidRPr="54B3E25C">
        <w:rPr>
          <w:rStyle w:val="normaltextrun"/>
          <w:rFonts w:ascii="Times New Roman" w:eastAsia="Times New Roman" w:hAnsi="Times New Roman" w:cs="Times New Roman"/>
          <w:sz w:val="24"/>
          <w:szCs w:val="24"/>
        </w:rPr>
        <w:lastRenderedPageBreak/>
        <w:t xml:space="preserve">equality, privacy and freedom from discrimination (Bejzyk, 2017). Such discriminatory laws reinforce the stigmatization of those who identify themselves as gender and sexually diverse and increases their susceptibility to degrading and malignant treatment and are increasingly being challenged before the United Nations courts on the grounds that the laws violate the rights of lesbian, gay, bisexual, transgender and intersex (LGBTI) individuals. </w:t>
      </w:r>
    </w:p>
    <w:p w14:paraId="6B483DFA" w14:textId="585590E2" w:rsidR="54B3E25C"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 xml:space="preserve">Conversion therapy was used as a remedy to homosexuality, which was documented as a mental illness in the </w:t>
      </w:r>
      <w:r w:rsidRPr="7562B9E2">
        <w:rPr>
          <w:rFonts w:ascii="Times New Roman" w:eastAsia="Times New Roman" w:hAnsi="Times New Roman" w:cs="Times New Roman"/>
          <w:i/>
          <w:iCs/>
          <w:sz w:val="24"/>
          <w:szCs w:val="24"/>
        </w:rPr>
        <w:t xml:space="preserve">Diagnostic and Statistical Manual of Mental Disorders </w:t>
      </w:r>
      <w:r w:rsidRPr="7562B9E2">
        <w:rPr>
          <w:rFonts w:ascii="Times New Roman" w:eastAsia="Times New Roman" w:hAnsi="Times New Roman" w:cs="Times New Roman"/>
          <w:sz w:val="24"/>
          <w:szCs w:val="24"/>
        </w:rPr>
        <w:t>(</w:t>
      </w:r>
      <w:hyperlink r:id="rId7" w:anchor="c101">
        <w:r w:rsidRPr="7562B9E2">
          <w:rPr>
            <w:rStyle w:val="Hyperlink"/>
            <w:rFonts w:ascii="Times New Roman" w:eastAsia="Times New Roman" w:hAnsi="Times New Roman" w:cs="Times New Roman"/>
            <w:color w:val="auto"/>
            <w:sz w:val="24"/>
            <w:szCs w:val="24"/>
            <w:u w:val="none"/>
          </w:rPr>
          <w:t>American Psychiatric Association, 1968</w:t>
        </w:r>
      </w:hyperlink>
      <w:r w:rsidRPr="7562B9E2">
        <w:rPr>
          <w:rFonts w:ascii="Times New Roman" w:eastAsia="Times New Roman" w:hAnsi="Times New Roman" w:cs="Times New Roman"/>
          <w:sz w:val="24"/>
          <w:szCs w:val="24"/>
        </w:rPr>
        <w:t xml:space="preserve">) until 1973. The American Psychiatric Association (2000) declared their opposition of the practice of conversion therapy due to its assumption that homosexuality is an illness requiring treatment and in 2012 the state of California passed a law prohibiting the practice of conversion therapy on minors (State of California, 2012). Conversion therapy is a highly debated topic, although much research documents the harmful effects of this practice on LGBTQI subjects, including symptoms of depression, suicidal thoughts, feelings of isolation and low self-esteem (Serovich et al, 2008). </w:t>
      </w:r>
    </w:p>
    <w:p w14:paraId="1FA333CF" w14:textId="1AB5F645" w:rsidR="54B3E25C"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Despite the increasing lack of support for the ethics and credibility of the use of conversion therapy, experimenters continue to conduct studies into this practice (Jones &amp; Yarhouse, 2011). This longitudinal study claimed that changing sexual orientation from homosexual to heterosexual is possible and on average, psychological distress did not increase for patients involved, despite much evidence to the contrary. Fritz (2006) argued that neither children nor adults should be ‘treated’ for something that is fundamental to their identity and outside their control and stated that conversion therapy often leads to increased family dysfunction and strain. It was even estimated that suicide rates are eight times higher for LGBTQ teenagers who are estranged from their families than their peers whose families accept their sexual orientation.</w:t>
      </w:r>
    </w:p>
    <w:p w14:paraId="18C156B6" w14:textId="3D81DE18" w:rsidR="003E07E5" w:rsidRDefault="3D81C607" w:rsidP="00FD1D0F">
      <w:pPr>
        <w:spacing w:line="480" w:lineRule="auto"/>
        <w:rPr>
          <w:rStyle w:val="normaltextrun"/>
          <w:rFonts w:ascii="Times New Roman" w:eastAsia="Times New Roman" w:hAnsi="Times New Roman" w:cs="Times New Roman"/>
          <w:sz w:val="24"/>
          <w:szCs w:val="24"/>
        </w:rPr>
      </w:pPr>
      <w:r w:rsidRPr="3D81C607">
        <w:rPr>
          <w:rStyle w:val="normaltextrun"/>
          <w:rFonts w:ascii="Times New Roman" w:eastAsia="Times New Roman" w:hAnsi="Times New Roman" w:cs="Times New Roman"/>
          <w:sz w:val="24"/>
          <w:szCs w:val="24"/>
        </w:rPr>
        <w:lastRenderedPageBreak/>
        <w:t>In the landmark case Naz Foundation v. Government of NCT of Delhi (2009), The High Court of Delhi held that criminalizing consensual sexual acts between same sex partners was unconstitutional as it infringed upon their rights to freedom from discrimination and produced a stigma attached to identities that the individuals subscribed to (Das, 2009). Taylor’s claim that misrecognition of an individual’s identity is supported by numerous cases of abuse inflicted on LGBTI individuals purely due to their perceived or actual gender identity or sexual orientation (IACHR, 2014).</w:t>
      </w:r>
    </w:p>
    <w:p w14:paraId="4DA8F3A2" w14:textId="606DC952" w:rsidR="252DA4C1"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 xml:space="preserve">Sexual reassignment surgery is legal in Iran despite homosexuality remaining punishable by imprisonment or death. Jafari expressed that this “is a way to force non-heteronormative genders to fit into categories of male and female in order to prevent acts that fall outside gender binaries” (Jafari, </w:t>
      </w:r>
      <w:hyperlink r:id="rId8">
        <w:r w:rsidRPr="7562B9E2">
          <w:rPr>
            <w:rStyle w:val="Hyperlink"/>
            <w:rFonts w:ascii="Times New Roman" w:eastAsia="Times New Roman" w:hAnsi="Times New Roman" w:cs="Times New Roman"/>
            <w:color w:val="auto"/>
            <w:sz w:val="24"/>
            <w:szCs w:val="24"/>
            <w:u w:val="none"/>
          </w:rPr>
          <w:t>2014</w:t>
        </w:r>
      </w:hyperlink>
      <w:r w:rsidRPr="7562B9E2">
        <w:rPr>
          <w:rFonts w:ascii="Times New Roman" w:eastAsia="Times New Roman" w:hAnsi="Times New Roman" w:cs="Times New Roman"/>
          <w:sz w:val="24"/>
          <w:szCs w:val="24"/>
        </w:rPr>
        <w:t xml:space="preserve">, 33) and that the purpose of legalizing sex-change surgery is to allow the Iranian state to manipulate gender and sexuality (Najmabadi, </w:t>
      </w:r>
      <w:hyperlink r:id="rId9">
        <w:r w:rsidRPr="7562B9E2">
          <w:rPr>
            <w:rStyle w:val="Hyperlink"/>
            <w:rFonts w:ascii="Times New Roman" w:eastAsia="Times New Roman" w:hAnsi="Times New Roman" w:cs="Times New Roman"/>
            <w:color w:val="auto"/>
            <w:sz w:val="24"/>
            <w:szCs w:val="24"/>
            <w:u w:val="none"/>
          </w:rPr>
          <w:t>2014</w:t>
        </w:r>
      </w:hyperlink>
      <w:r w:rsidRPr="7562B9E2">
        <w:rPr>
          <w:rFonts w:ascii="Times New Roman" w:eastAsia="Times New Roman" w:hAnsi="Times New Roman" w:cs="Times New Roman"/>
          <w:sz w:val="24"/>
          <w:szCs w:val="24"/>
        </w:rPr>
        <w:t>). A study by Saeidzadeh (2016) sought to investigate how transsexual people in Iran understand their gender and struggle to overcome misrecognition through resisting the heteronormative perceptions of sexuality. Najmabadi (2014) argued that different actions such as putting on makeup, heavy lifting or doing the laundry, produce a sense of being either a man or woman rather than having a specific set of genitalia. Consequently, the sexual identity of being transgender is self-assigned based on attitude and behaviour, rather than a contrast between sex and gender.</w:t>
      </w:r>
    </w:p>
    <w:p w14:paraId="3C7684A4" w14:textId="1A916400" w:rsidR="006D39C2" w:rsidRPr="00B662C1"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 xml:space="preserve">Various studies have reported higher incidences of mental disorders and suicidal feelings among those who identify as sexually diverse, compared to heterosexuals, such as King et al (2008), who reported that the risk of suffering from depression, anxiety or alcohol and substance dependency was at least 1.5 times higher in gay, lesbian and bisexual people, due to stressors such as stigma, social hostility and discrimination that they face. Despite the sample size being large (data was collected on 214,344 heterosexual and 11,971 people who </w:t>
      </w:r>
      <w:r w:rsidRPr="7562B9E2">
        <w:rPr>
          <w:rFonts w:ascii="Times New Roman" w:eastAsia="Times New Roman" w:hAnsi="Times New Roman" w:cs="Times New Roman"/>
          <w:sz w:val="24"/>
          <w:szCs w:val="24"/>
        </w:rPr>
        <w:lastRenderedPageBreak/>
        <w:t>identified as sexually diverse) the study had methodological limitations including divergence in the interpretations of sexual orientation and mental illness and failure to recognise confounding factors (Bolton &amp; Sareen, 2011).</w:t>
      </w:r>
    </w:p>
    <w:p w14:paraId="15572BDC" w14:textId="78445874" w:rsidR="252DA4C1"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 xml:space="preserve">Possible factors in a higher incidence of poor mental health among the sexually diverse are, the degree to which an identity is perceived positively or negatively by others, known as identity valence, or the extent to which multiple identities are accepted as a single merging identity, referred to as identity complexity (Ashmore et al, 2004). </w:t>
      </w:r>
    </w:p>
    <w:p w14:paraId="33C0742B" w14:textId="690008E0" w:rsidR="252DA4C1"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La Roi, Meyer &amp; Frost (2019) examined the direct impact of sexual identity can have on mental health and whether the differing sexual identities of bisexual and other sexual minority individuals may give an insight into why people who identify as bisexual suffer a higher risk of mental health problems than other sexually diverse individuals. The results found that fewer bisexual individuals had come out to their families and had higher levels of internalized homophobia than other sexual minority participants. Both groups of participants considered their sexual identities as important, but bisexual participants were more likely than other sexual minority participants to view their sexuality negatively, suggesting that their bisexual identity was less integrated with other identities, such as social and personal. The findings of this study demonstrate the importance of recognition of the identities of sexually diverse individuals; however, these findings are limited due to the data used being ten years old, which may no longer reflect the identity of bisexuality as viewed by society.</w:t>
      </w:r>
    </w:p>
    <w:p w14:paraId="383EFCC0" w14:textId="2C572E6E" w:rsidR="252DA4C1" w:rsidRDefault="3D81C607" w:rsidP="00FD1D0F">
      <w:pPr>
        <w:spacing w:line="480" w:lineRule="auto"/>
        <w:rPr>
          <w:rFonts w:ascii="Times New Roman" w:eastAsia="Times New Roman" w:hAnsi="Times New Roman" w:cs="Times New Roman"/>
          <w:sz w:val="24"/>
          <w:szCs w:val="24"/>
        </w:rPr>
      </w:pPr>
      <w:r w:rsidRPr="3D81C607">
        <w:rPr>
          <w:rFonts w:ascii="Times New Roman" w:eastAsia="Times New Roman" w:hAnsi="Times New Roman" w:cs="Times New Roman"/>
          <w:sz w:val="24"/>
          <w:szCs w:val="24"/>
        </w:rPr>
        <w:t xml:space="preserve">The identity and self-image of an individual can also be negatively impacted by a disability due to the potential stigma attached, and often not being able to choose when they disclose their disability to sexual partners, coupled with the anxiety of experiencing rejection by said partners (Esmail, et al, 2010). However, a study found a common trend among the </w:t>
      </w:r>
      <w:r w:rsidRPr="3D81C607">
        <w:rPr>
          <w:rFonts w:ascii="Times New Roman" w:eastAsia="Times New Roman" w:hAnsi="Times New Roman" w:cs="Times New Roman"/>
          <w:sz w:val="24"/>
          <w:szCs w:val="24"/>
        </w:rPr>
        <w:lastRenderedPageBreak/>
        <w:t>experiences of participants with a disability, of enhanced sexual communication following disclosure of their disability to a partner (Kattari, 2015).</w:t>
      </w:r>
    </w:p>
    <w:p w14:paraId="7FFACBC3" w14:textId="35C6EC04" w:rsidR="3D81C607"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Bartholomew et al (2018) explored the prior counselling experiences of cisgender and transgender participants using regression models to evaluate the relationship between gender identity and previous mental health problems. Knowing how to effectively counsel individuals who identify as sexually diverse is more important than ever, as many therapists will support at least one transgender client during their careers (Chavez-Korell &amp; Lorah, 2007) and transgender patients with a history of previous counselling and medication typically experience a slower recovery than those without (Boswell et al, 2012). Common struggles faced by such individuals can include traumatic experiences, depression, substance abuse and harassment, with suicidal ideation reaching 84% among transgender people who do not seek treatment (Bailey, Ellis &amp; McNeil, 2014). This study had the benefit of using a larger sample, of 200,000 participants seeking university counselling services, than previous studies, and highlighted the importance of a nuanced, personalised approach to their treatment from the therapist. However, it also presented limitations including the few choices participants had on the form to identify their gender (the only options were: man, woman, transgender or self-identify) and those who selected ‘self-identify’ were omitted from the study, rendering the research unable to be generalized to all transgender clients in varying stages of their journey.</w:t>
      </w:r>
    </w:p>
    <w:p w14:paraId="50D2564B" w14:textId="1C6D7C9B" w:rsidR="3D81C607" w:rsidRDefault="7D82B2F3" w:rsidP="00FD1D0F">
      <w:pPr>
        <w:spacing w:line="480" w:lineRule="auto"/>
        <w:rPr>
          <w:rFonts w:ascii="Times New Roman" w:eastAsia="Times New Roman" w:hAnsi="Times New Roman" w:cs="Times New Roman"/>
          <w:sz w:val="24"/>
          <w:szCs w:val="24"/>
        </w:rPr>
      </w:pPr>
      <w:r w:rsidRPr="7D82B2F3">
        <w:rPr>
          <w:rFonts w:ascii="Times New Roman" w:eastAsia="Times New Roman" w:hAnsi="Times New Roman" w:cs="Times New Roman"/>
          <w:sz w:val="24"/>
          <w:szCs w:val="24"/>
        </w:rPr>
        <w:t xml:space="preserve">It is generally believed that the relationship between the therapist and the patient has a crucial impact on treatment effectiveness and outcome, and can be viewed as a working alliance, where both parties make their own contribution to the work (Gelso, 2004, within Kelley, 2015). It is common for many sexually diverse clients to experience negative or unhelpful therapeutic practice, where therapists have shown lack of knowledge about their client’s sexual identity, heterosexual bias, or even attempted to change their sexual orientation (Israel </w:t>
      </w:r>
      <w:r w:rsidRPr="7D82B2F3">
        <w:rPr>
          <w:rFonts w:ascii="Times New Roman" w:eastAsia="Times New Roman" w:hAnsi="Times New Roman" w:cs="Times New Roman"/>
          <w:sz w:val="24"/>
          <w:szCs w:val="24"/>
        </w:rPr>
        <w:lastRenderedPageBreak/>
        <w:t>et al, 2008). This study found that aspects contributing to a positive therapy experience included respect, trust, listening and confidentiality on behalf of the therapist, while having a therapist who was perceived as cold, disengaged and uncaring was likely to result in an unhelpful therapy experience.</w:t>
      </w:r>
    </w:p>
    <w:p w14:paraId="3E1FCD49" w14:textId="31E865BD" w:rsidR="3D81C607"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According to Sue &amp; Sue (2008) counselling the culturally diverse involves three competencies; first, the helper (or therapist) must actively become aware of their own assumptions and biases about human behaviour and second, they will attempt to understand the worldview of their client, who may be culturally different. Finally, the helper must apply appropriate intervention strategies and develop goals that integrate with the cultural values and experience of the client. One approach to counselling will not fit all and applying the same techniques to every client may actually be discriminatory because the approach is based on the assumption that each client shares the same values and experiences.</w:t>
      </w:r>
    </w:p>
    <w:p w14:paraId="16DCC94E" w14:textId="4E7BCD7A" w:rsidR="3D81C607" w:rsidRDefault="7562B9E2" w:rsidP="00FD1D0F">
      <w:pPr>
        <w:spacing w:line="480" w:lineRule="auto"/>
        <w:rPr>
          <w:rFonts w:ascii="Times New Roman" w:eastAsia="Times New Roman" w:hAnsi="Times New Roman" w:cs="Times New Roman"/>
          <w:sz w:val="24"/>
          <w:szCs w:val="24"/>
        </w:rPr>
      </w:pPr>
      <w:r w:rsidRPr="7562B9E2">
        <w:rPr>
          <w:rFonts w:ascii="Times New Roman" w:eastAsia="Times New Roman" w:hAnsi="Times New Roman" w:cs="Times New Roman"/>
          <w:sz w:val="24"/>
          <w:szCs w:val="24"/>
        </w:rPr>
        <w:t>In conclusion, Charles Taylor’s theory of Recognition is important in application to working with people who define themselves and gender or sexually diverse for numerous reasons. According to Taylor, person’s identity is their understanding of who they are, and misrecognition of their identity can lead to psychological damage. This claim has been supported in several studies explored in this essay and Taylor’s theory of recognition has influenced other significant figures in the field, such as philosophers Fraser and Honneth (Martineau, Meer &amp; Thompson, 2012). However, Fraser and Honneth (2003) disagree with Taylor’s emphasis on the importance of the cultural identity of a group, arguing that while we can recognise the contribution a group makes to the collective good, their identity is not to be valued.</w:t>
      </w:r>
    </w:p>
    <w:p w14:paraId="239A1F0E" w14:textId="3079627C" w:rsidR="3D81C607"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sz w:val="24"/>
          <w:szCs w:val="24"/>
        </w:rPr>
        <w:t xml:space="preserve">The stigma attached to the identity for gender and sexually diverse can be interpreted as misrecognition of one’s identity and mental health problems as a result, such as depression, </w:t>
      </w:r>
      <w:r w:rsidRPr="54B3E25C">
        <w:rPr>
          <w:rFonts w:ascii="Times New Roman" w:eastAsia="Times New Roman" w:hAnsi="Times New Roman" w:cs="Times New Roman"/>
          <w:sz w:val="24"/>
          <w:szCs w:val="24"/>
        </w:rPr>
        <w:lastRenderedPageBreak/>
        <w:t xml:space="preserve">suicide ideation and substance misuse, is widely documented in the research. Recognising another person’s identity as a therapist, is displaying basic respect for that person as a patient, and that patient is more likely to have a positive therapy experience if their therapist displays behaviours of respectfulness, active listening and acceptance. </w:t>
      </w:r>
    </w:p>
    <w:p w14:paraId="001E6D87" w14:textId="352AF9A1" w:rsidR="3D81C607" w:rsidRDefault="3D81C607" w:rsidP="00FD1D0F">
      <w:pPr>
        <w:spacing w:line="480" w:lineRule="auto"/>
        <w:rPr>
          <w:rFonts w:ascii="Times New Roman" w:eastAsia="Times New Roman" w:hAnsi="Times New Roman" w:cs="Times New Roman"/>
          <w:sz w:val="24"/>
          <w:szCs w:val="24"/>
        </w:rPr>
      </w:pPr>
      <w:r w:rsidRPr="3D81C607">
        <w:rPr>
          <w:rFonts w:ascii="Times New Roman" w:eastAsia="Times New Roman" w:hAnsi="Times New Roman" w:cs="Times New Roman"/>
          <w:sz w:val="24"/>
          <w:szCs w:val="24"/>
        </w:rPr>
        <w:t>Conversion therapy is now largely renounced as an outdated practice that can lead to problems such as family strain and increased risk of suicide; this can also be interpreted as an effect of misrecognition.</w:t>
      </w:r>
    </w:p>
    <w:p w14:paraId="3BA44CB6" w14:textId="24CBF5E1" w:rsidR="3D81C607"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sz w:val="24"/>
          <w:szCs w:val="24"/>
        </w:rPr>
        <w:t>In summary, the application of Charles Taylor’s theory of Recognition to working with gender and sexually diverse individuals can be very useful, however the findings from the research have methodological limitations including variations in the definitions of sexual orientation and mental illness and failure to recognise confounding factors and the use of data which is old and/or not representative.</w:t>
      </w:r>
    </w:p>
    <w:p w14:paraId="0924B781" w14:textId="095E61D3" w:rsidR="54B3E25C" w:rsidRDefault="54B3E25C" w:rsidP="00FD1D0F">
      <w:pPr>
        <w:spacing w:line="480" w:lineRule="auto"/>
        <w:rPr>
          <w:rFonts w:ascii="Times New Roman" w:eastAsia="Times New Roman" w:hAnsi="Times New Roman" w:cs="Times New Roman"/>
          <w:sz w:val="24"/>
          <w:szCs w:val="24"/>
        </w:rPr>
      </w:pPr>
    </w:p>
    <w:p w14:paraId="116CCF4D" w14:textId="1BFF6564"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b/>
          <w:bCs/>
          <w:color w:val="000000" w:themeColor="text1"/>
          <w:sz w:val="24"/>
          <w:szCs w:val="24"/>
        </w:rPr>
        <w:t>References</w:t>
      </w:r>
    </w:p>
    <w:p w14:paraId="7F10E193" w14:textId="2BD5DABD"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American Psychiatric Association. (1968) </w:t>
      </w:r>
      <w:r w:rsidRPr="54B3E25C">
        <w:rPr>
          <w:rFonts w:ascii="Times New Roman" w:eastAsia="Times New Roman" w:hAnsi="Times New Roman" w:cs="Times New Roman"/>
          <w:i/>
          <w:iCs/>
          <w:color w:val="000000" w:themeColor="text1"/>
          <w:sz w:val="24"/>
          <w:szCs w:val="24"/>
        </w:rPr>
        <w:t>Diagnostic and statistical manual of mental disorders</w:t>
      </w:r>
      <w:r w:rsidRPr="54B3E25C">
        <w:rPr>
          <w:rFonts w:ascii="Times New Roman" w:eastAsia="Times New Roman" w:hAnsi="Times New Roman" w:cs="Times New Roman"/>
          <w:color w:val="000000" w:themeColor="text1"/>
          <w:sz w:val="24"/>
          <w:szCs w:val="24"/>
        </w:rPr>
        <w:t xml:space="preserve"> (2nd ed). Washington, DC: Author.</w:t>
      </w:r>
    </w:p>
    <w:p w14:paraId="6BFE1724" w14:textId="76EC3778"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American Psychological Association. (2000) ‘</w:t>
      </w:r>
      <w:r w:rsidRPr="54B3E25C">
        <w:rPr>
          <w:rFonts w:ascii="Times New Roman" w:eastAsia="Times New Roman" w:hAnsi="Times New Roman" w:cs="Times New Roman"/>
          <w:i/>
          <w:iCs/>
          <w:color w:val="000000" w:themeColor="text1"/>
          <w:sz w:val="24"/>
          <w:szCs w:val="24"/>
        </w:rPr>
        <w:t>Guidelines for psychotherapy with lesbian, gay, and bisexual clients’,</w:t>
      </w:r>
      <w:r w:rsidRPr="54B3E25C">
        <w:rPr>
          <w:rFonts w:ascii="Times New Roman" w:eastAsia="Times New Roman" w:hAnsi="Times New Roman" w:cs="Times New Roman"/>
          <w:color w:val="000000" w:themeColor="text1"/>
          <w:sz w:val="24"/>
          <w:szCs w:val="24"/>
        </w:rPr>
        <w:t xml:space="preserve"> Retrieved 30 December 2018 from </w:t>
      </w:r>
      <w:hyperlink r:id="rId10">
        <w:r w:rsidRPr="54B3E25C">
          <w:rPr>
            <w:rStyle w:val="Hyperlink"/>
            <w:rFonts w:ascii="Times New Roman" w:eastAsia="Times New Roman" w:hAnsi="Times New Roman" w:cs="Times New Roman"/>
            <w:color w:val="000000" w:themeColor="text1"/>
            <w:sz w:val="24"/>
            <w:szCs w:val="24"/>
          </w:rPr>
          <w:t>http://www.apa.org/pi/lgbt/resources/guidelines.aspx</w:t>
        </w:r>
      </w:hyperlink>
    </w:p>
    <w:p w14:paraId="1A2D5AFC" w14:textId="5325BF85"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Bailey, L., J. Ellis, S., &amp; McNeil, J. (2014) ‘</w:t>
      </w:r>
      <w:r w:rsidRPr="54B3E25C">
        <w:rPr>
          <w:rFonts w:ascii="Times New Roman" w:eastAsia="Times New Roman" w:hAnsi="Times New Roman" w:cs="Times New Roman"/>
          <w:i/>
          <w:iCs/>
          <w:color w:val="000000" w:themeColor="text1"/>
          <w:sz w:val="24"/>
          <w:szCs w:val="24"/>
        </w:rPr>
        <w:t xml:space="preserve">Suicide risk in the UK trans population and the role of gender transition in decreasing suicidal ideation and suicide attempt’, </w:t>
      </w:r>
      <w:r w:rsidRPr="54B3E25C">
        <w:rPr>
          <w:rFonts w:ascii="Times New Roman" w:eastAsia="Times New Roman" w:hAnsi="Times New Roman" w:cs="Times New Roman"/>
          <w:color w:val="000000" w:themeColor="text1"/>
          <w:sz w:val="24"/>
          <w:szCs w:val="24"/>
        </w:rPr>
        <w:t>Mental Health Review Journal (19) pp. 209–220</w:t>
      </w:r>
    </w:p>
    <w:p w14:paraId="3DBA4EF0" w14:textId="6FB6DEE2"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lastRenderedPageBreak/>
        <w:t>Bartholomew, T. T., Gundel, B. E., Sullivan, J. W., Pérez‐Rojas, A. E. and Lockard, A. J. (2018)</w:t>
      </w:r>
      <w:r w:rsidRPr="54B3E25C">
        <w:rPr>
          <w:rFonts w:ascii="Times New Roman" w:eastAsia="Times New Roman" w:hAnsi="Times New Roman" w:cs="Times New Roman"/>
          <w:i/>
          <w:iCs/>
          <w:color w:val="000000" w:themeColor="text1"/>
          <w:sz w:val="24"/>
          <w:szCs w:val="24"/>
        </w:rPr>
        <w:t xml:space="preserve"> ‘Pretreatment counseling experiences, stressors, and support differences between transgender and cisgender university students seeking mental healthcare’,</w:t>
      </w:r>
      <w:r w:rsidRPr="54B3E25C">
        <w:rPr>
          <w:rFonts w:ascii="Times New Roman" w:eastAsia="Times New Roman" w:hAnsi="Times New Roman" w:cs="Times New Roman"/>
          <w:color w:val="000000" w:themeColor="text1"/>
          <w:sz w:val="24"/>
          <w:szCs w:val="24"/>
        </w:rPr>
        <w:t xml:space="preserve"> Journal of Clinical Psychology, 0 (0), pp. 1–25</w:t>
      </w:r>
      <w:bookmarkStart w:id="0" w:name="_GoBack"/>
      <w:bookmarkEnd w:id="0"/>
    </w:p>
    <w:p w14:paraId="3B3A6AFD" w14:textId="2341791B" w:rsidR="54B3E25C" w:rsidRDefault="54B3E25C" w:rsidP="00FD1D0F">
      <w:pPr>
        <w:spacing w:before="40" w:after="0" w:line="480" w:lineRule="auto"/>
        <w:rPr>
          <w:rFonts w:ascii="Times New Roman" w:eastAsia="Times New Roman" w:hAnsi="Times New Roman" w:cs="Times New Roman"/>
          <w:color w:val="1F3763" w:themeColor="accent1" w:themeShade="7F"/>
          <w:sz w:val="24"/>
          <w:szCs w:val="24"/>
        </w:rPr>
      </w:pPr>
      <w:proofErr w:type="spellStart"/>
      <w:r w:rsidRPr="54B3E25C">
        <w:rPr>
          <w:rFonts w:ascii="Times New Roman" w:eastAsia="Times New Roman" w:hAnsi="Times New Roman" w:cs="Times New Roman"/>
          <w:color w:val="000000" w:themeColor="text1"/>
          <w:sz w:val="24"/>
          <w:szCs w:val="24"/>
        </w:rPr>
        <w:t>Bejzyk</w:t>
      </w:r>
      <w:proofErr w:type="spellEnd"/>
      <w:r w:rsidRPr="54B3E25C">
        <w:rPr>
          <w:rFonts w:ascii="Times New Roman" w:eastAsia="Times New Roman" w:hAnsi="Times New Roman" w:cs="Times New Roman"/>
          <w:color w:val="000000" w:themeColor="text1"/>
          <w:sz w:val="24"/>
          <w:szCs w:val="24"/>
        </w:rPr>
        <w:t>, M. (2017) ‘</w:t>
      </w:r>
      <w:r w:rsidRPr="54B3E25C">
        <w:rPr>
          <w:rFonts w:ascii="Times New Roman" w:eastAsia="Times New Roman" w:hAnsi="Times New Roman" w:cs="Times New Roman"/>
          <w:i/>
          <w:iCs/>
          <w:color w:val="000000" w:themeColor="text1"/>
          <w:sz w:val="24"/>
          <w:szCs w:val="24"/>
        </w:rPr>
        <w:t>Criminalization on the Basis of Sexual Orientation and Gender Identity: Reframing the Dominant Human Rights Discourse to include Freedom from Torture and Inhuman and Degrading Treatment’,</w:t>
      </w:r>
      <w:r w:rsidRPr="54B3E25C">
        <w:rPr>
          <w:rFonts w:ascii="Times New Roman" w:eastAsia="Times New Roman" w:hAnsi="Times New Roman" w:cs="Times New Roman"/>
          <w:color w:val="000000" w:themeColor="text1"/>
          <w:sz w:val="24"/>
          <w:szCs w:val="24"/>
        </w:rPr>
        <w:t xml:space="preserve"> Canadian Journal of Women &amp; the Law, 29 (2), pp. 375-401</w:t>
      </w:r>
    </w:p>
    <w:p w14:paraId="0129D2FF" w14:textId="05108E8F"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Bolton &amp; </w:t>
      </w:r>
      <w:proofErr w:type="spellStart"/>
      <w:r w:rsidRPr="54B3E25C">
        <w:rPr>
          <w:rFonts w:ascii="Times New Roman" w:eastAsia="Times New Roman" w:hAnsi="Times New Roman" w:cs="Times New Roman"/>
          <w:color w:val="000000" w:themeColor="text1"/>
          <w:sz w:val="24"/>
          <w:szCs w:val="24"/>
        </w:rPr>
        <w:t>Sareen</w:t>
      </w:r>
      <w:proofErr w:type="spellEnd"/>
      <w:r w:rsidRPr="54B3E25C">
        <w:rPr>
          <w:rFonts w:ascii="Times New Roman" w:eastAsia="Times New Roman" w:hAnsi="Times New Roman" w:cs="Times New Roman"/>
          <w:color w:val="000000" w:themeColor="text1"/>
          <w:sz w:val="24"/>
          <w:szCs w:val="24"/>
        </w:rPr>
        <w:t xml:space="preserve"> (2011) ‘</w:t>
      </w:r>
      <w:r w:rsidRPr="54B3E25C">
        <w:rPr>
          <w:rFonts w:ascii="Times New Roman" w:eastAsia="Times New Roman" w:hAnsi="Times New Roman" w:cs="Times New Roman"/>
          <w:i/>
          <w:iCs/>
          <w:color w:val="000000" w:themeColor="text1"/>
          <w:sz w:val="24"/>
          <w:szCs w:val="24"/>
        </w:rPr>
        <w:t>Sexual Orientation and Its Relation to Mental Disorders and Suicide Attempts: Findings From a Nationally Representative Sample’,</w:t>
      </w:r>
      <w:r w:rsidRPr="54B3E25C">
        <w:rPr>
          <w:rFonts w:ascii="Times New Roman" w:eastAsia="Times New Roman" w:hAnsi="Times New Roman" w:cs="Times New Roman"/>
          <w:color w:val="000000" w:themeColor="text1"/>
          <w:sz w:val="24"/>
          <w:szCs w:val="24"/>
        </w:rPr>
        <w:t xml:space="preserve"> </w:t>
      </w:r>
      <w:hyperlink r:id="rId11">
        <w:r w:rsidRPr="54B3E25C">
          <w:rPr>
            <w:rStyle w:val="Hyperlink"/>
            <w:rFonts w:ascii="Times New Roman" w:eastAsia="Times New Roman" w:hAnsi="Times New Roman" w:cs="Times New Roman"/>
            <w:color w:val="000000" w:themeColor="text1"/>
            <w:sz w:val="24"/>
            <w:szCs w:val="24"/>
          </w:rPr>
          <w:t>Canadian Journal of Psychiatry</w:t>
        </w:r>
      </w:hyperlink>
      <w:r w:rsidRPr="54B3E25C">
        <w:rPr>
          <w:rFonts w:ascii="Times New Roman" w:eastAsia="Times New Roman" w:hAnsi="Times New Roman" w:cs="Times New Roman"/>
          <w:color w:val="000000" w:themeColor="text1"/>
          <w:sz w:val="24"/>
          <w:szCs w:val="24"/>
        </w:rPr>
        <w:t>,</w:t>
      </w:r>
      <w:hyperlink r:id="rId12">
        <w:r w:rsidRPr="54B3E25C">
          <w:rPr>
            <w:rStyle w:val="Hyperlink"/>
            <w:rFonts w:ascii="Times New Roman" w:eastAsia="Times New Roman" w:hAnsi="Times New Roman" w:cs="Times New Roman"/>
            <w:color w:val="000000" w:themeColor="text1"/>
            <w:sz w:val="24"/>
            <w:szCs w:val="24"/>
          </w:rPr>
          <w:t xml:space="preserve"> 56 (1), pp.</w:t>
        </w:r>
      </w:hyperlink>
      <w:r w:rsidRPr="54B3E25C">
        <w:rPr>
          <w:rFonts w:ascii="Times New Roman" w:eastAsia="Times New Roman" w:hAnsi="Times New Roman" w:cs="Times New Roman"/>
          <w:color w:val="000000" w:themeColor="text1"/>
          <w:sz w:val="24"/>
          <w:szCs w:val="24"/>
        </w:rPr>
        <w:t xml:space="preserve"> 35-43. </w:t>
      </w:r>
    </w:p>
    <w:p w14:paraId="2D4EAF01" w14:textId="6F75753B"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Boswell, J. F., </w:t>
      </w:r>
      <w:proofErr w:type="spellStart"/>
      <w:r w:rsidRPr="54B3E25C">
        <w:rPr>
          <w:rFonts w:ascii="Times New Roman" w:eastAsia="Times New Roman" w:hAnsi="Times New Roman" w:cs="Times New Roman"/>
          <w:color w:val="000000" w:themeColor="text1"/>
          <w:sz w:val="24"/>
          <w:szCs w:val="24"/>
        </w:rPr>
        <w:t>McAleavey</w:t>
      </w:r>
      <w:proofErr w:type="spellEnd"/>
      <w:r w:rsidRPr="54B3E25C">
        <w:rPr>
          <w:rFonts w:ascii="Times New Roman" w:eastAsia="Times New Roman" w:hAnsi="Times New Roman" w:cs="Times New Roman"/>
          <w:color w:val="000000" w:themeColor="text1"/>
          <w:sz w:val="24"/>
          <w:szCs w:val="24"/>
        </w:rPr>
        <w:t xml:space="preserve">, A. A., </w:t>
      </w:r>
      <w:proofErr w:type="spellStart"/>
      <w:r w:rsidRPr="54B3E25C">
        <w:rPr>
          <w:rFonts w:ascii="Times New Roman" w:eastAsia="Times New Roman" w:hAnsi="Times New Roman" w:cs="Times New Roman"/>
          <w:color w:val="000000" w:themeColor="text1"/>
          <w:sz w:val="24"/>
          <w:szCs w:val="24"/>
        </w:rPr>
        <w:t>Castonguay</w:t>
      </w:r>
      <w:proofErr w:type="spellEnd"/>
      <w:r w:rsidRPr="54B3E25C">
        <w:rPr>
          <w:rFonts w:ascii="Times New Roman" w:eastAsia="Times New Roman" w:hAnsi="Times New Roman" w:cs="Times New Roman"/>
          <w:color w:val="000000" w:themeColor="text1"/>
          <w:sz w:val="24"/>
          <w:szCs w:val="24"/>
        </w:rPr>
        <w:t>, L. G., Hayes, J. A., &amp; Locke, B. D. (2012) ‘</w:t>
      </w:r>
      <w:r w:rsidRPr="54B3E25C">
        <w:rPr>
          <w:rFonts w:ascii="Times New Roman" w:eastAsia="Times New Roman" w:hAnsi="Times New Roman" w:cs="Times New Roman"/>
          <w:i/>
          <w:iCs/>
          <w:color w:val="000000" w:themeColor="text1"/>
          <w:sz w:val="24"/>
          <w:szCs w:val="24"/>
        </w:rPr>
        <w:t>Previous mental health service utilization and change in clients' depressive symptoms’,</w:t>
      </w:r>
      <w:r w:rsidRPr="54B3E25C">
        <w:rPr>
          <w:rFonts w:ascii="Times New Roman" w:eastAsia="Times New Roman" w:hAnsi="Times New Roman" w:cs="Times New Roman"/>
          <w:color w:val="000000" w:themeColor="text1"/>
          <w:sz w:val="24"/>
          <w:szCs w:val="24"/>
        </w:rPr>
        <w:t xml:space="preserve"> Journal of </w:t>
      </w:r>
      <w:proofErr w:type="spellStart"/>
      <w:r w:rsidRPr="54B3E25C">
        <w:rPr>
          <w:rFonts w:ascii="Times New Roman" w:eastAsia="Times New Roman" w:hAnsi="Times New Roman" w:cs="Times New Roman"/>
          <w:color w:val="000000" w:themeColor="text1"/>
          <w:sz w:val="24"/>
          <w:szCs w:val="24"/>
        </w:rPr>
        <w:t>Counseling</w:t>
      </w:r>
      <w:proofErr w:type="spellEnd"/>
      <w:r w:rsidRPr="54B3E25C">
        <w:rPr>
          <w:rFonts w:ascii="Times New Roman" w:eastAsia="Times New Roman" w:hAnsi="Times New Roman" w:cs="Times New Roman"/>
          <w:color w:val="000000" w:themeColor="text1"/>
          <w:sz w:val="24"/>
          <w:szCs w:val="24"/>
        </w:rPr>
        <w:t xml:space="preserve"> Psychology, 59, pp. 368–378.</w:t>
      </w:r>
    </w:p>
    <w:p w14:paraId="5986621F" w14:textId="7A4511DD"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i/>
          <w:iCs/>
          <w:color w:val="000000" w:themeColor="text1"/>
          <w:sz w:val="24"/>
          <w:szCs w:val="24"/>
        </w:rPr>
        <w:t xml:space="preserve">Butler, Judith (1988) ‘Performative Acts and Gender Constitution: An Essay in Phenomenology and Feminist Theory’, </w:t>
      </w:r>
      <w:r w:rsidRPr="54B3E25C">
        <w:rPr>
          <w:rFonts w:ascii="Times New Roman" w:eastAsia="Times New Roman" w:hAnsi="Times New Roman" w:cs="Times New Roman"/>
          <w:color w:val="000000" w:themeColor="text1"/>
          <w:sz w:val="24"/>
          <w:szCs w:val="24"/>
        </w:rPr>
        <w:t>Theatre Journal. 40 (4), pp. 519–531.</w:t>
      </w:r>
    </w:p>
    <w:p w14:paraId="1A9FD2F4" w14:textId="774738C9"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sz w:val="24"/>
          <w:szCs w:val="24"/>
        </w:rPr>
        <w:t>Chavez‐</w:t>
      </w:r>
      <w:proofErr w:type="spellStart"/>
      <w:r w:rsidRPr="54B3E25C">
        <w:rPr>
          <w:rFonts w:ascii="Times New Roman" w:eastAsia="Times New Roman" w:hAnsi="Times New Roman" w:cs="Times New Roman"/>
          <w:sz w:val="24"/>
          <w:szCs w:val="24"/>
        </w:rPr>
        <w:t>Korell</w:t>
      </w:r>
      <w:proofErr w:type="spellEnd"/>
      <w:r w:rsidRPr="54B3E25C">
        <w:rPr>
          <w:rFonts w:ascii="Times New Roman" w:eastAsia="Times New Roman" w:hAnsi="Times New Roman" w:cs="Times New Roman"/>
          <w:sz w:val="24"/>
          <w:szCs w:val="24"/>
        </w:rPr>
        <w:t xml:space="preserve">, S., &amp; </w:t>
      </w:r>
      <w:proofErr w:type="spellStart"/>
      <w:r w:rsidRPr="54B3E25C">
        <w:rPr>
          <w:rFonts w:ascii="Times New Roman" w:eastAsia="Times New Roman" w:hAnsi="Times New Roman" w:cs="Times New Roman"/>
          <w:sz w:val="24"/>
          <w:szCs w:val="24"/>
        </w:rPr>
        <w:t>Lorah</w:t>
      </w:r>
      <w:proofErr w:type="spellEnd"/>
      <w:r w:rsidRPr="54B3E25C">
        <w:rPr>
          <w:rFonts w:ascii="Times New Roman" w:eastAsia="Times New Roman" w:hAnsi="Times New Roman" w:cs="Times New Roman"/>
          <w:sz w:val="24"/>
          <w:szCs w:val="24"/>
        </w:rPr>
        <w:t>, P. (2007) ‘</w:t>
      </w:r>
      <w:r w:rsidRPr="54B3E25C">
        <w:rPr>
          <w:rFonts w:ascii="Times New Roman" w:eastAsia="Times New Roman" w:hAnsi="Times New Roman" w:cs="Times New Roman"/>
          <w:i/>
          <w:iCs/>
          <w:sz w:val="24"/>
          <w:szCs w:val="24"/>
        </w:rPr>
        <w:t xml:space="preserve">An overview of affirmative psychotherapy and </w:t>
      </w:r>
      <w:proofErr w:type="spellStart"/>
      <w:r w:rsidRPr="54B3E25C">
        <w:rPr>
          <w:rFonts w:ascii="Times New Roman" w:eastAsia="Times New Roman" w:hAnsi="Times New Roman" w:cs="Times New Roman"/>
          <w:i/>
          <w:iCs/>
          <w:sz w:val="24"/>
          <w:szCs w:val="24"/>
        </w:rPr>
        <w:t>counseling</w:t>
      </w:r>
      <w:proofErr w:type="spellEnd"/>
      <w:r w:rsidRPr="54B3E25C">
        <w:rPr>
          <w:rFonts w:ascii="Times New Roman" w:eastAsia="Times New Roman" w:hAnsi="Times New Roman" w:cs="Times New Roman"/>
          <w:i/>
          <w:iCs/>
          <w:sz w:val="24"/>
          <w:szCs w:val="24"/>
        </w:rPr>
        <w:t xml:space="preserve"> with transgender clients</w:t>
      </w:r>
      <w:r w:rsidRPr="54B3E25C">
        <w:rPr>
          <w:rFonts w:ascii="Times New Roman" w:eastAsia="Times New Roman" w:hAnsi="Times New Roman" w:cs="Times New Roman"/>
          <w:sz w:val="24"/>
          <w:szCs w:val="24"/>
        </w:rPr>
        <w:t>’, In ‘</w:t>
      </w:r>
      <w:proofErr w:type="spellStart"/>
      <w:r w:rsidRPr="54B3E25C">
        <w:rPr>
          <w:rFonts w:ascii="Times New Roman" w:eastAsia="Times New Roman" w:hAnsi="Times New Roman" w:cs="Times New Roman"/>
          <w:sz w:val="24"/>
          <w:szCs w:val="24"/>
        </w:rPr>
        <w:t>Bieschke</w:t>
      </w:r>
      <w:proofErr w:type="spellEnd"/>
      <w:r w:rsidRPr="54B3E25C">
        <w:rPr>
          <w:rFonts w:ascii="Times New Roman" w:eastAsia="Times New Roman" w:hAnsi="Times New Roman" w:cs="Times New Roman"/>
          <w:sz w:val="24"/>
          <w:szCs w:val="24"/>
        </w:rPr>
        <w:t xml:space="preserve">, K. J., Perez, R. M., &amp; </w:t>
      </w:r>
      <w:proofErr w:type="spellStart"/>
      <w:r w:rsidRPr="54B3E25C">
        <w:rPr>
          <w:rFonts w:ascii="Times New Roman" w:eastAsia="Times New Roman" w:hAnsi="Times New Roman" w:cs="Times New Roman"/>
          <w:sz w:val="24"/>
          <w:szCs w:val="24"/>
        </w:rPr>
        <w:t>DeBord</w:t>
      </w:r>
      <w:proofErr w:type="spellEnd"/>
      <w:r w:rsidRPr="54B3E25C">
        <w:rPr>
          <w:rFonts w:ascii="Times New Roman" w:eastAsia="Times New Roman" w:hAnsi="Times New Roman" w:cs="Times New Roman"/>
          <w:sz w:val="24"/>
          <w:szCs w:val="24"/>
        </w:rPr>
        <w:t xml:space="preserve">, K. A. (2007) </w:t>
      </w:r>
      <w:r w:rsidRPr="54B3E25C">
        <w:rPr>
          <w:rFonts w:ascii="Times New Roman" w:eastAsia="Times New Roman" w:hAnsi="Times New Roman" w:cs="Times New Roman"/>
          <w:i/>
          <w:iCs/>
          <w:sz w:val="24"/>
          <w:szCs w:val="24"/>
        </w:rPr>
        <w:t xml:space="preserve">‘Handbook of </w:t>
      </w:r>
      <w:proofErr w:type="spellStart"/>
      <w:r w:rsidRPr="54B3E25C">
        <w:rPr>
          <w:rFonts w:ascii="Times New Roman" w:eastAsia="Times New Roman" w:hAnsi="Times New Roman" w:cs="Times New Roman"/>
          <w:i/>
          <w:iCs/>
          <w:sz w:val="24"/>
          <w:szCs w:val="24"/>
        </w:rPr>
        <w:t>counseling</w:t>
      </w:r>
      <w:proofErr w:type="spellEnd"/>
      <w:r w:rsidRPr="54B3E25C">
        <w:rPr>
          <w:rFonts w:ascii="Times New Roman" w:eastAsia="Times New Roman" w:hAnsi="Times New Roman" w:cs="Times New Roman"/>
          <w:i/>
          <w:iCs/>
          <w:sz w:val="24"/>
          <w:szCs w:val="24"/>
        </w:rPr>
        <w:t xml:space="preserve"> and psychotherapy with lesbian, gay, </w:t>
      </w:r>
      <w:proofErr w:type="spellStart"/>
      <w:r w:rsidRPr="54B3E25C">
        <w:rPr>
          <w:rFonts w:ascii="Times New Roman" w:eastAsia="Times New Roman" w:hAnsi="Times New Roman" w:cs="Times New Roman"/>
          <w:i/>
          <w:iCs/>
          <w:sz w:val="24"/>
          <w:szCs w:val="24"/>
        </w:rPr>
        <w:t>bisexual,and</w:t>
      </w:r>
      <w:proofErr w:type="spellEnd"/>
      <w:r w:rsidRPr="54B3E25C">
        <w:rPr>
          <w:rFonts w:ascii="Times New Roman" w:eastAsia="Times New Roman" w:hAnsi="Times New Roman" w:cs="Times New Roman"/>
          <w:i/>
          <w:iCs/>
          <w:sz w:val="24"/>
          <w:szCs w:val="24"/>
        </w:rPr>
        <w:t xml:space="preserve"> transgender clients’</w:t>
      </w:r>
      <w:r w:rsidRPr="54B3E25C">
        <w:rPr>
          <w:rFonts w:ascii="Times New Roman" w:eastAsia="Times New Roman" w:hAnsi="Times New Roman" w:cs="Times New Roman"/>
          <w:sz w:val="24"/>
          <w:szCs w:val="24"/>
        </w:rPr>
        <w:t xml:space="preserve"> (2nd </w:t>
      </w:r>
      <w:proofErr w:type="spellStart"/>
      <w:r w:rsidRPr="54B3E25C">
        <w:rPr>
          <w:rFonts w:ascii="Times New Roman" w:eastAsia="Times New Roman" w:hAnsi="Times New Roman" w:cs="Times New Roman"/>
          <w:sz w:val="24"/>
          <w:szCs w:val="24"/>
        </w:rPr>
        <w:t>ed</w:t>
      </w:r>
      <w:proofErr w:type="spellEnd"/>
      <w:r w:rsidRPr="54B3E25C">
        <w:rPr>
          <w:rFonts w:ascii="Times New Roman" w:eastAsia="Times New Roman" w:hAnsi="Times New Roman" w:cs="Times New Roman"/>
          <w:sz w:val="24"/>
          <w:szCs w:val="24"/>
        </w:rPr>
        <w:t>) pp. 271–288, Washington, DC: American Psychological Association</w:t>
      </w:r>
    </w:p>
    <w:p w14:paraId="5A64FF31" w14:textId="7AAD695E"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Cumming-</w:t>
      </w:r>
      <w:proofErr w:type="spellStart"/>
      <w:r w:rsidRPr="54B3E25C">
        <w:rPr>
          <w:rFonts w:ascii="Times New Roman" w:eastAsia="Times New Roman" w:hAnsi="Times New Roman" w:cs="Times New Roman"/>
          <w:color w:val="000000" w:themeColor="text1"/>
          <w:sz w:val="24"/>
          <w:szCs w:val="24"/>
        </w:rPr>
        <w:t>Potvin</w:t>
      </w:r>
      <w:proofErr w:type="spellEnd"/>
      <w:r w:rsidRPr="54B3E25C">
        <w:rPr>
          <w:rFonts w:ascii="Times New Roman" w:eastAsia="Times New Roman" w:hAnsi="Times New Roman" w:cs="Times New Roman"/>
          <w:color w:val="000000" w:themeColor="text1"/>
          <w:sz w:val="24"/>
          <w:szCs w:val="24"/>
        </w:rPr>
        <w:t>, Wendy M</w:t>
      </w:r>
      <w:proofErr w:type="gramStart"/>
      <w:r w:rsidRPr="54B3E25C">
        <w:rPr>
          <w:rFonts w:ascii="Times New Roman" w:eastAsia="Times New Roman" w:hAnsi="Times New Roman" w:cs="Times New Roman"/>
          <w:color w:val="000000" w:themeColor="text1"/>
          <w:sz w:val="24"/>
          <w:szCs w:val="24"/>
        </w:rPr>
        <w:t>. ;</w:t>
      </w:r>
      <w:proofErr w:type="gramEnd"/>
      <w:r w:rsidRPr="54B3E25C">
        <w:rPr>
          <w:rFonts w:ascii="Times New Roman" w:eastAsia="Times New Roman" w:hAnsi="Times New Roman" w:cs="Times New Roman"/>
          <w:color w:val="000000" w:themeColor="text1"/>
          <w:sz w:val="24"/>
          <w:szCs w:val="24"/>
        </w:rPr>
        <w:t xml:space="preserve"> Martino, Wayne (2008) </w:t>
      </w:r>
      <w:r w:rsidRPr="54B3E25C">
        <w:rPr>
          <w:rFonts w:ascii="Times New Roman" w:eastAsia="Times New Roman" w:hAnsi="Times New Roman" w:cs="Times New Roman"/>
          <w:i/>
          <w:iCs/>
          <w:color w:val="000000" w:themeColor="text1"/>
          <w:sz w:val="24"/>
          <w:szCs w:val="24"/>
        </w:rPr>
        <w:t xml:space="preserve">‘Countering heteronormativity and </w:t>
      </w:r>
      <w:proofErr w:type="spellStart"/>
      <w:r w:rsidRPr="54B3E25C">
        <w:rPr>
          <w:rFonts w:ascii="Times New Roman" w:eastAsia="Times New Roman" w:hAnsi="Times New Roman" w:cs="Times New Roman"/>
          <w:i/>
          <w:iCs/>
          <w:color w:val="000000" w:themeColor="text1"/>
          <w:sz w:val="24"/>
          <w:szCs w:val="24"/>
        </w:rPr>
        <w:t>cisnormativity</w:t>
      </w:r>
      <w:proofErr w:type="spellEnd"/>
      <w:r w:rsidRPr="54B3E25C">
        <w:rPr>
          <w:rFonts w:ascii="Times New Roman" w:eastAsia="Times New Roman" w:hAnsi="Times New Roman" w:cs="Times New Roman"/>
          <w:i/>
          <w:iCs/>
          <w:color w:val="000000" w:themeColor="text1"/>
          <w:sz w:val="24"/>
          <w:szCs w:val="24"/>
        </w:rPr>
        <w:t xml:space="preserve"> in Australian schools: Examining English teachers' reflections on gender and sexual diversity in the classroom.’</w:t>
      </w:r>
      <w:r w:rsidRPr="54B3E25C">
        <w:rPr>
          <w:rFonts w:ascii="Times New Roman" w:eastAsia="Times New Roman" w:hAnsi="Times New Roman" w:cs="Times New Roman"/>
          <w:color w:val="000000" w:themeColor="text1"/>
          <w:sz w:val="24"/>
          <w:szCs w:val="24"/>
        </w:rPr>
        <w:t xml:space="preserve"> </w:t>
      </w:r>
      <w:hyperlink r:id="rId13">
        <w:r w:rsidRPr="54B3E25C">
          <w:rPr>
            <w:rStyle w:val="Hyperlink"/>
            <w:rFonts w:ascii="Times New Roman" w:eastAsia="Times New Roman" w:hAnsi="Times New Roman" w:cs="Times New Roman"/>
            <w:color w:val="000000" w:themeColor="text1"/>
            <w:sz w:val="24"/>
            <w:szCs w:val="24"/>
          </w:rPr>
          <w:t>Teaching and Teacher Education</w:t>
        </w:r>
      </w:hyperlink>
      <w:r w:rsidRPr="54B3E25C">
        <w:rPr>
          <w:rFonts w:ascii="Times New Roman" w:eastAsia="Times New Roman" w:hAnsi="Times New Roman" w:cs="Times New Roman"/>
          <w:color w:val="000000" w:themeColor="text1"/>
          <w:sz w:val="24"/>
          <w:szCs w:val="24"/>
        </w:rPr>
        <w:t>, 74, pp. 35-48</w:t>
      </w:r>
    </w:p>
    <w:p w14:paraId="3E00C3EF" w14:textId="520E3528"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lastRenderedPageBreak/>
        <w:t xml:space="preserve">Das, A. (2010) </w:t>
      </w:r>
      <w:r w:rsidRPr="54B3E25C">
        <w:rPr>
          <w:rFonts w:ascii="Times New Roman" w:eastAsia="Times New Roman" w:hAnsi="Times New Roman" w:cs="Times New Roman"/>
          <w:i/>
          <w:iCs/>
          <w:color w:val="000000" w:themeColor="text1"/>
          <w:sz w:val="24"/>
          <w:szCs w:val="24"/>
        </w:rPr>
        <w:t xml:space="preserve">‘Gay and Transgender Rights in India: </w:t>
      </w:r>
      <w:proofErr w:type="spellStart"/>
      <w:r w:rsidRPr="54B3E25C">
        <w:rPr>
          <w:rFonts w:ascii="Times New Roman" w:eastAsia="Times New Roman" w:hAnsi="Times New Roman" w:cs="Times New Roman"/>
          <w:i/>
          <w:iCs/>
          <w:color w:val="000000" w:themeColor="text1"/>
          <w:sz w:val="24"/>
          <w:szCs w:val="24"/>
        </w:rPr>
        <w:t>Naz</w:t>
      </w:r>
      <w:proofErr w:type="spellEnd"/>
      <w:r w:rsidRPr="54B3E25C">
        <w:rPr>
          <w:rFonts w:ascii="Times New Roman" w:eastAsia="Times New Roman" w:hAnsi="Times New Roman" w:cs="Times New Roman"/>
          <w:i/>
          <w:iCs/>
          <w:color w:val="000000" w:themeColor="text1"/>
          <w:sz w:val="24"/>
          <w:szCs w:val="24"/>
        </w:rPr>
        <w:t xml:space="preserve"> Foundation V. Government of NCT of Delhi’</w:t>
      </w:r>
      <w:r w:rsidRPr="54B3E25C">
        <w:rPr>
          <w:rFonts w:ascii="Times New Roman" w:eastAsia="Times New Roman" w:hAnsi="Times New Roman" w:cs="Times New Roman"/>
          <w:color w:val="000000" w:themeColor="text1"/>
          <w:sz w:val="24"/>
          <w:szCs w:val="24"/>
        </w:rPr>
        <w:t xml:space="preserve"> </w:t>
      </w:r>
      <w:r w:rsidRPr="54B3E25C">
        <w:rPr>
          <w:rFonts w:ascii="Times New Roman" w:eastAsia="Times New Roman" w:hAnsi="Times New Roman" w:cs="Times New Roman"/>
          <w:color w:val="000000" w:themeColor="text1"/>
          <w:sz w:val="24"/>
          <w:szCs w:val="24"/>
          <w:lang w:val="en-US"/>
        </w:rPr>
        <w:t xml:space="preserve">(Unpublished) Retrieved 17 January 2019 at </w:t>
      </w:r>
      <w:hyperlink r:id="rId14">
        <w:r w:rsidRPr="54B3E25C">
          <w:rPr>
            <w:rStyle w:val="Hyperlink"/>
            <w:rFonts w:ascii="Times New Roman" w:eastAsia="Times New Roman" w:hAnsi="Times New Roman" w:cs="Times New Roman"/>
            <w:color w:val="000000" w:themeColor="text1"/>
            <w:sz w:val="24"/>
            <w:szCs w:val="24"/>
            <w:lang w:val="en-US"/>
          </w:rPr>
          <w:t>https://papers.ssrn.com/sol3/papers.cfm?abstract_id=1701077</w:t>
        </w:r>
      </w:hyperlink>
    </w:p>
    <w:p w14:paraId="00B6A279" w14:textId="2F32C9AE"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Esmail</w:t>
      </w:r>
      <w:proofErr w:type="spellEnd"/>
      <w:r w:rsidRPr="54B3E25C">
        <w:rPr>
          <w:rFonts w:ascii="Times New Roman" w:eastAsia="Times New Roman" w:hAnsi="Times New Roman" w:cs="Times New Roman"/>
          <w:color w:val="000000" w:themeColor="text1"/>
          <w:sz w:val="24"/>
          <w:szCs w:val="24"/>
        </w:rPr>
        <w:t xml:space="preserve">, S., Darry, K., Walter, A., &amp; </w:t>
      </w:r>
      <w:proofErr w:type="spellStart"/>
      <w:r w:rsidRPr="54B3E25C">
        <w:rPr>
          <w:rFonts w:ascii="Times New Roman" w:eastAsia="Times New Roman" w:hAnsi="Times New Roman" w:cs="Times New Roman"/>
          <w:color w:val="000000" w:themeColor="text1"/>
          <w:sz w:val="24"/>
          <w:szCs w:val="24"/>
        </w:rPr>
        <w:t>Knupp</w:t>
      </w:r>
      <w:proofErr w:type="spellEnd"/>
      <w:r w:rsidRPr="54B3E25C">
        <w:rPr>
          <w:rFonts w:ascii="Times New Roman" w:eastAsia="Times New Roman" w:hAnsi="Times New Roman" w:cs="Times New Roman"/>
          <w:color w:val="000000" w:themeColor="text1"/>
          <w:sz w:val="24"/>
          <w:szCs w:val="24"/>
        </w:rPr>
        <w:t xml:space="preserve">, H. (2010) </w:t>
      </w:r>
      <w:r w:rsidRPr="54B3E25C">
        <w:rPr>
          <w:rFonts w:ascii="Times New Roman" w:eastAsia="Times New Roman" w:hAnsi="Times New Roman" w:cs="Times New Roman"/>
          <w:i/>
          <w:iCs/>
          <w:color w:val="000000" w:themeColor="text1"/>
          <w:sz w:val="24"/>
          <w:szCs w:val="24"/>
        </w:rPr>
        <w:t>‘Attitudes and perceptions towards disability and Sexuality</w:t>
      </w:r>
      <w:r w:rsidRPr="54B3E25C">
        <w:rPr>
          <w:rFonts w:ascii="Times New Roman" w:eastAsia="Times New Roman" w:hAnsi="Times New Roman" w:cs="Times New Roman"/>
          <w:color w:val="000000" w:themeColor="text1"/>
          <w:sz w:val="24"/>
          <w:szCs w:val="24"/>
        </w:rPr>
        <w:t>’ Disability and Rehabilitation, 32 (14), pp. 1148–1155</w:t>
      </w:r>
    </w:p>
    <w:p w14:paraId="3018400D" w14:textId="6A2A9341"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Ford, K. A. (2011) </w:t>
      </w:r>
      <w:r w:rsidRPr="54B3E25C">
        <w:rPr>
          <w:rFonts w:ascii="Times New Roman" w:eastAsia="Times New Roman" w:hAnsi="Times New Roman" w:cs="Times New Roman"/>
          <w:i/>
          <w:iCs/>
          <w:color w:val="000000" w:themeColor="text1"/>
          <w:sz w:val="24"/>
          <w:szCs w:val="24"/>
        </w:rPr>
        <w:t>‘Race, Gender, and Bodily (</w:t>
      </w:r>
      <w:proofErr w:type="spellStart"/>
      <w:r w:rsidRPr="54B3E25C">
        <w:rPr>
          <w:rFonts w:ascii="Times New Roman" w:eastAsia="Times New Roman" w:hAnsi="Times New Roman" w:cs="Times New Roman"/>
          <w:i/>
          <w:iCs/>
          <w:color w:val="000000" w:themeColor="text1"/>
          <w:sz w:val="24"/>
          <w:szCs w:val="24"/>
        </w:rPr>
        <w:t>Mis</w:t>
      </w:r>
      <w:proofErr w:type="spellEnd"/>
      <w:proofErr w:type="gramStart"/>
      <w:r w:rsidRPr="54B3E25C">
        <w:rPr>
          <w:rFonts w:ascii="Times New Roman" w:eastAsia="Times New Roman" w:hAnsi="Times New Roman" w:cs="Times New Roman"/>
          <w:i/>
          <w:iCs/>
          <w:color w:val="000000" w:themeColor="text1"/>
          <w:sz w:val="24"/>
          <w:szCs w:val="24"/>
        </w:rPr>
        <w:t>)Recognitions</w:t>
      </w:r>
      <w:proofErr w:type="gramEnd"/>
      <w:r w:rsidRPr="54B3E25C">
        <w:rPr>
          <w:rFonts w:ascii="Times New Roman" w:eastAsia="Times New Roman" w:hAnsi="Times New Roman" w:cs="Times New Roman"/>
          <w:i/>
          <w:iCs/>
          <w:color w:val="000000" w:themeColor="text1"/>
          <w:sz w:val="24"/>
          <w:szCs w:val="24"/>
        </w:rPr>
        <w:t xml:space="preserve">: Women of </w:t>
      </w:r>
      <w:proofErr w:type="spellStart"/>
      <w:r w:rsidRPr="54B3E25C">
        <w:rPr>
          <w:rFonts w:ascii="Times New Roman" w:eastAsia="Times New Roman" w:hAnsi="Times New Roman" w:cs="Times New Roman"/>
          <w:i/>
          <w:iCs/>
          <w:color w:val="000000" w:themeColor="text1"/>
          <w:sz w:val="24"/>
          <w:szCs w:val="24"/>
        </w:rPr>
        <w:t>Color</w:t>
      </w:r>
      <w:proofErr w:type="spellEnd"/>
      <w:r w:rsidRPr="54B3E25C">
        <w:rPr>
          <w:rFonts w:ascii="Times New Roman" w:eastAsia="Times New Roman" w:hAnsi="Times New Roman" w:cs="Times New Roman"/>
          <w:i/>
          <w:iCs/>
          <w:color w:val="000000" w:themeColor="text1"/>
          <w:sz w:val="24"/>
          <w:szCs w:val="24"/>
        </w:rPr>
        <w:t xml:space="preserve"> Faculty Experiences with White Students in the College Classroom’</w:t>
      </w:r>
      <w:r w:rsidRPr="54B3E25C">
        <w:rPr>
          <w:rFonts w:ascii="Times New Roman" w:eastAsia="Times New Roman" w:hAnsi="Times New Roman" w:cs="Times New Roman"/>
          <w:color w:val="000000" w:themeColor="text1"/>
          <w:sz w:val="24"/>
          <w:szCs w:val="24"/>
        </w:rPr>
        <w:t>, The Journal of Higher Education, 82 (4), pp. 444-478</w:t>
      </w:r>
    </w:p>
    <w:p w14:paraId="60832200" w14:textId="02824383"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sz w:val="24"/>
          <w:szCs w:val="24"/>
        </w:rPr>
        <w:t xml:space="preserve">Fraser, N., and </w:t>
      </w:r>
      <w:proofErr w:type="spellStart"/>
      <w:r w:rsidRPr="54B3E25C">
        <w:rPr>
          <w:rFonts w:ascii="Times New Roman" w:eastAsia="Times New Roman" w:hAnsi="Times New Roman" w:cs="Times New Roman"/>
          <w:sz w:val="24"/>
          <w:szCs w:val="24"/>
        </w:rPr>
        <w:t>Honneth</w:t>
      </w:r>
      <w:proofErr w:type="spellEnd"/>
      <w:r w:rsidRPr="54B3E25C">
        <w:rPr>
          <w:rFonts w:ascii="Times New Roman" w:eastAsia="Times New Roman" w:hAnsi="Times New Roman" w:cs="Times New Roman"/>
          <w:sz w:val="24"/>
          <w:szCs w:val="24"/>
        </w:rPr>
        <w:t xml:space="preserve">, A. (2003) </w:t>
      </w:r>
      <w:r w:rsidRPr="54B3E25C">
        <w:rPr>
          <w:rFonts w:ascii="Times New Roman" w:eastAsia="Times New Roman" w:hAnsi="Times New Roman" w:cs="Times New Roman"/>
          <w:i/>
          <w:iCs/>
          <w:sz w:val="24"/>
          <w:szCs w:val="24"/>
        </w:rPr>
        <w:t>Redistribution or recognition? A political-philosophical exchange</w:t>
      </w:r>
      <w:r w:rsidRPr="54B3E25C">
        <w:rPr>
          <w:rFonts w:ascii="Times New Roman" w:eastAsia="Times New Roman" w:hAnsi="Times New Roman" w:cs="Times New Roman"/>
          <w:sz w:val="24"/>
          <w:szCs w:val="24"/>
        </w:rPr>
        <w:t>. London: Verso.</w:t>
      </w:r>
    </w:p>
    <w:p w14:paraId="43E853F4" w14:textId="5965C34F"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Fritz, G. K. (2016) ‘</w:t>
      </w:r>
      <w:r w:rsidRPr="54B3E25C">
        <w:rPr>
          <w:rFonts w:ascii="Times New Roman" w:eastAsia="Times New Roman" w:hAnsi="Times New Roman" w:cs="Times New Roman"/>
          <w:i/>
          <w:iCs/>
          <w:color w:val="000000" w:themeColor="text1"/>
          <w:sz w:val="24"/>
          <w:szCs w:val="24"/>
        </w:rPr>
        <w:t>'Conversion therapy' and homosexuality - never an appropriate treatment for children or adolescents’</w:t>
      </w:r>
      <w:r w:rsidRPr="54B3E25C">
        <w:rPr>
          <w:rFonts w:ascii="Times New Roman" w:eastAsia="Times New Roman" w:hAnsi="Times New Roman" w:cs="Times New Roman"/>
          <w:color w:val="000000" w:themeColor="text1"/>
          <w:sz w:val="24"/>
          <w:szCs w:val="24"/>
        </w:rPr>
        <w:t xml:space="preserve"> Brown University Child &amp; Adolescent </w:t>
      </w:r>
      <w:proofErr w:type="spellStart"/>
      <w:r w:rsidRPr="54B3E25C">
        <w:rPr>
          <w:rFonts w:ascii="Times New Roman" w:eastAsia="Times New Roman" w:hAnsi="Times New Roman" w:cs="Times New Roman"/>
          <w:color w:val="000000" w:themeColor="text1"/>
          <w:sz w:val="24"/>
          <w:szCs w:val="24"/>
        </w:rPr>
        <w:t>Behavior</w:t>
      </w:r>
      <w:proofErr w:type="spellEnd"/>
      <w:r w:rsidRPr="54B3E25C">
        <w:rPr>
          <w:rFonts w:ascii="Times New Roman" w:eastAsia="Times New Roman" w:hAnsi="Times New Roman" w:cs="Times New Roman"/>
          <w:color w:val="000000" w:themeColor="text1"/>
          <w:sz w:val="24"/>
          <w:szCs w:val="24"/>
        </w:rPr>
        <w:t xml:space="preserve"> Letter, 32 (3), pp. 8 - 9</w:t>
      </w:r>
    </w:p>
    <w:p w14:paraId="02901161" w14:textId="16DBA16F"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Gelso</w:t>
      </w:r>
      <w:proofErr w:type="spellEnd"/>
      <w:r w:rsidRPr="54B3E25C">
        <w:rPr>
          <w:rFonts w:ascii="Times New Roman" w:eastAsia="Times New Roman" w:hAnsi="Times New Roman" w:cs="Times New Roman"/>
          <w:color w:val="000000" w:themeColor="text1"/>
          <w:sz w:val="24"/>
          <w:szCs w:val="24"/>
        </w:rPr>
        <w:t xml:space="preserve">, C. J. (2014) </w:t>
      </w:r>
      <w:r w:rsidRPr="54B3E25C">
        <w:rPr>
          <w:rFonts w:ascii="Times New Roman" w:eastAsia="Times New Roman" w:hAnsi="Times New Roman" w:cs="Times New Roman"/>
          <w:i/>
          <w:iCs/>
          <w:color w:val="000000" w:themeColor="text1"/>
          <w:sz w:val="24"/>
          <w:szCs w:val="24"/>
        </w:rPr>
        <w:t>‘A tripartite model of the therapeutic relationship: Theory, research, and practice</w:t>
      </w:r>
      <w:r w:rsidRPr="54B3E25C">
        <w:rPr>
          <w:rFonts w:ascii="Times New Roman" w:eastAsia="Times New Roman" w:hAnsi="Times New Roman" w:cs="Times New Roman"/>
          <w:color w:val="000000" w:themeColor="text1"/>
          <w:sz w:val="24"/>
          <w:szCs w:val="24"/>
        </w:rPr>
        <w:t>’ Psychotherapy Research, 24, pp. 117–131</w:t>
      </w:r>
    </w:p>
    <w:p w14:paraId="5776B2A2" w14:textId="2EFC76AF" w:rsidR="54B3E25C" w:rsidRDefault="54B3E25C" w:rsidP="00FD1D0F">
      <w:pPr>
        <w:spacing w:before="240" w:after="0" w:line="480" w:lineRule="auto"/>
        <w:rPr>
          <w:rFonts w:ascii="Times New Roman" w:eastAsia="Times New Roman" w:hAnsi="Times New Roman" w:cs="Times New Roman"/>
          <w:color w:val="2F5496" w:themeColor="accent1" w:themeShade="BF"/>
          <w:sz w:val="24"/>
          <w:szCs w:val="24"/>
        </w:rPr>
      </w:pPr>
      <w:proofErr w:type="spellStart"/>
      <w:r w:rsidRPr="54B3E25C">
        <w:rPr>
          <w:rFonts w:ascii="Times New Roman" w:eastAsia="Times New Roman" w:hAnsi="Times New Roman" w:cs="Times New Roman"/>
          <w:color w:val="000000" w:themeColor="text1"/>
          <w:sz w:val="24"/>
          <w:szCs w:val="24"/>
        </w:rPr>
        <w:t>Gutmann</w:t>
      </w:r>
      <w:proofErr w:type="spellEnd"/>
      <w:r w:rsidRPr="54B3E25C">
        <w:rPr>
          <w:rFonts w:ascii="Times New Roman" w:eastAsia="Times New Roman" w:hAnsi="Times New Roman" w:cs="Times New Roman"/>
          <w:color w:val="000000" w:themeColor="text1"/>
          <w:sz w:val="24"/>
          <w:szCs w:val="24"/>
        </w:rPr>
        <w:t xml:space="preserve">, A. (2018) </w:t>
      </w:r>
      <w:r w:rsidRPr="54B3E25C">
        <w:rPr>
          <w:rFonts w:ascii="Times New Roman" w:eastAsia="Times New Roman" w:hAnsi="Times New Roman" w:cs="Times New Roman"/>
          <w:i/>
          <w:iCs/>
          <w:color w:val="000000" w:themeColor="text1"/>
          <w:sz w:val="24"/>
          <w:szCs w:val="24"/>
        </w:rPr>
        <w:t>‘</w:t>
      </w:r>
      <w:proofErr w:type="gramStart"/>
      <w:r w:rsidRPr="54B3E25C">
        <w:rPr>
          <w:rFonts w:ascii="Times New Roman" w:eastAsia="Times New Roman" w:hAnsi="Times New Roman" w:cs="Times New Roman"/>
          <w:i/>
          <w:iCs/>
          <w:color w:val="000000" w:themeColor="text1"/>
          <w:sz w:val="24"/>
          <w:szCs w:val="24"/>
        </w:rPr>
        <w:t>The</w:t>
      </w:r>
      <w:proofErr w:type="gramEnd"/>
      <w:r w:rsidRPr="54B3E25C">
        <w:rPr>
          <w:rFonts w:ascii="Times New Roman" w:eastAsia="Times New Roman" w:hAnsi="Times New Roman" w:cs="Times New Roman"/>
          <w:i/>
          <w:iCs/>
          <w:color w:val="000000" w:themeColor="text1"/>
          <w:sz w:val="24"/>
          <w:szCs w:val="24"/>
        </w:rPr>
        <w:t xml:space="preserve"> power of recognition: When Charles Taylor parsed personal identity’</w:t>
      </w:r>
      <w:r w:rsidRPr="54B3E25C">
        <w:rPr>
          <w:rFonts w:ascii="Times New Roman" w:eastAsia="Times New Roman" w:hAnsi="Times New Roman" w:cs="Times New Roman"/>
          <w:color w:val="000000" w:themeColor="text1"/>
          <w:sz w:val="24"/>
          <w:szCs w:val="24"/>
        </w:rPr>
        <w:t xml:space="preserve"> Philosophy and Social Criticism, 44 (7), pp. 793-795</w:t>
      </w:r>
    </w:p>
    <w:p w14:paraId="6E05ABF0" w14:textId="6690F49E"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Israel, T., </w:t>
      </w:r>
      <w:proofErr w:type="spellStart"/>
      <w:r w:rsidRPr="54B3E25C">
        <w:rPr>
          <w:rFonts w:ascii="Times New Roman" w:eastAsia="Times New Roman" w:hAnsi="Times New Roman" w:cs="Times New Roman"/>
          <w:color w:val="000000" w:themeColor="text1"/>
          <w:sz w:val="24"/>
          <w:szCs w:val="24"/>
        </w:rPr>
        <w:t>Gorcheva</w:t>
      </w:r>
      <w:proofErr w:type="spellEnd"/>
      <w:r w:rsidRPr="54B3E25C">
        <w:rPr>
          <w:rFonts w:ascii="Times New Roman" w:eastAsia="Times New Roman" w:hAnsi="Times New Roman" w:cs="Times New Roman"/>
          <w:color w:val="000000" w:themeColor="text1"/>
          <w:sz w:val="24"/>
          <w:szCs w:val="24"/>
        </w:rPr>
        <w:t xml:space="preserve">, R., Burns, T. R., &amp; Walther, W. A. (2008) </w:t>
      </w:r>
      <w:r w:rsidRPr="54B3E25C">
        <w:rPr>
          <w:rFonts w:ascii="Times New Roman" w:eastAsia="Times New Roman" w:hAnsi="Times New Roman" w:cs="Times New Roman"/>
          <w:i/>
          <w:iCs/>
          <w:color w:val="000000" w:themeColor="text1"/>
          <w:sz w:val="24"/>
          <w:szCs w:val="24"/>
        </w:rPr>
        <w:t>‘Helpful and unhelpful therapy experiences of LGBT clients’</w:t>
      </w:r>
      <w:r w:rsidRPr="54B3E25C">
        <w:rPr>
          <w:rFonts w:ascii="Times New Roman" w:eastAsia="Times New Roman" w:hAnsi="Times New Roman" w:cs="Times New Roman"/>
          <w:color w:val="000000" w:themeColor="text1"/>
          <w:sz w:val="24"/>
          <w:szCs w:val="24"/>
        </w:rPr>
        <w:t>, Psychotherapy Research, 18, pp. 294–305</w:t>
      </w:r>
    </w:p>
    <w:p w14:paraId="76CC8B02" w14:textId="6965228C"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Inter-American Commission on Human Rights (2014) </w:t>
      </w:r>
      <w:r w:rsidRPr="54B3E25C">
        <w:rPr>
          <w:rFonts w:ascii="Times New Roman" w:eastAsia="Times New Roman" w:hAnsi="Times New Roman" w:cs="Times New Roman"/>
          <w:i/>
          <w:iCs/>
          <w:color w:val="000000" w:themeColor="text1"/>
          <w:sz w:val="24"/>
          <w:szCs w:val="24"/>
        </w:rPr>
        <w:t>‘An Overview of Violence against LGBTI Persons’</w:t>
      </w:r>
      <w:r w:rsidRPr="54B3E25C">
        <w:rPr>
          <w:rFonts w:ascii="Times New Roman" w:eastAsia="Times New Roman" w:hAnsi="Times New Roman" w:cs="Times New Roman"/>
          <w:color w:val="000000" w:themeColor="text1"/>
          <w:sz w:val="24"/>
          <w:szCs w:val="24"/>
        </w:rPr>
        <w:t xml:space="preserve">, Press Release, 153/14. Retrieved on 17 January 2019 at </w:t>
      </w:r>
      <w:hyperlink r:id="rId15">
        <w:r w:rsidRPr="54B3E25C">
          <w:rPr>
            <w:rStyle w:val="Hyperlink"/>
            <w:rFonts w:ascii="Times New Roman" w:eastAsia="Times New Roman" w:hAnsi="Times New Roman" w:cs="Times New Roman"/>
            <w:color w:val="000000" w:themeColor="text1"/>
            <w:sz w:val="24"/>
            <w:szCs w:val="24"/>
          </w:rPr>
          <w:t>http://www.oas.org/en/iachr/lgtbi/docs/Annex-Registry-Violence-LGBTI.pdf</w:t>
        </w:r>
      </w:hyperlink>
    </w:p>
    <w:p w14:paraId="24C5DC56" w14:textId="2BD825E1"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lastRenderedPageBreak/>
        <w:t>Jafari</w:t>
      </w:r>
      <w:proofErr w:type="spellEnd"/>
      <w:r w:rsidRPr="54B3E25C">
        <w:rPr>
          <w:rFonts w:ascii="Times New Roman" w:eastAsia="Times New Roman" w:hAnsi="Times New Roman" w:cs="Times New Roman"/>
          <w:color w:val="000000" w:themeColor="text1"/>
          <w:sz w:val="24"/>
          <w:szCs w:val="24"/>
        </w:rPr>
        <w:t>, F. (2014) ‘</w:t>
      </w:r>
      <w:r w:rsidRPr="54B3E25C">
        <w:rPr>
          <w:rFonts w:ascii="Times New Roman" w:eastAsia="Times New Roman" w:hAnsi="Times New Roman" w:cs="Times New Roman"/>
          <w:i/>
          <w:iCs/>
          <w:color w:val="000000" w:themeColor="text1"/>
          <w:sz w:val="24"/>
          <w:szCs w:val="24"/>
        </w:rPr>
        <w:t>Transsexuality under surveillance in Iran clerical control of Khomeini’s Fatwas’,</w:t>
      </w:r>
      <w:r w:rsidRPr="54B3E25C">
        <w:rPr>
          <w:rFonts w:ascii="Times New Roman" w:eastAsia="Times New Roman" w:hAnsi="Times New Roman" w:cs="Times New Roman"/>
          <w:color w:val="000000" w:themeColor="text1"/>
          <w:sz w:val="24"/>
          <w:szCs w:val="24"/>
        </w:rPr>
        <w:t xml:space="preserve"> Journal of Middle East Women’s Studies, 10(2), pp. 31–51</w:t>
      </w:r>
    </w:p>
    <w:p w14:paraId="2DE1DF4A" w14:textId="794FFB10"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Kattari</w:t>
      </w:r>
      <w:proofErr w:type="spellEnd"/>
      <w:r w:rsidRPr="54B3E25C">
        <w:rPr>
          <w:rFonts w:ascii="Times New Roman" w:eastAsia="Times New Roman" w:hAnsi="Times New Roman" w:cs="Times New Roman"/>
          <w:color w:val="000000" w:themeColor="text1"/>
          <w:sz w:val="24"/>
          <w:szCs w:val="24"/>
        </w:rPr>
        <w:t xml:space="preserve">, S. (2015) </w:t>
      </w:r>
      <w:r w:rsidRPr="54B3E25C">
        <w:rPr>
          <w:rFonts w:ascii="Times New Roman" w:eastAsia="Times New Roman" w:hAnsi="Times New Roman" w:cs="Times New Roman"/>
          <w:i/>
          <w:iCs/>
          <w:color w:val="000000" w:themeColor="text1"/>
          <w:sz w:val="24"/>
          <w:szCs w:val="24"/>
        </w:rPr>
        <w:t>‘</w:t>
      </w:r>
      <w:hyperlink r:id="rId16">
        <w:r w:rsidRPr="54B3E25C">
          <w:rPr>
            <w:rStyle w:val="Hyperlink"/>
            <w:rFonts w:ascii="Times New Roman" w:eastAsia="Times New Roman" w:hAnsi="Times New Roman" w:cs="Times New Roman"/>
            <w:i/>
            <w:iCs/>
            <w:color w:val="000000" w:themeColor="text1"/>
            <w:sz w:val="24"/>
            <w:szCs w:val="24"/>
          </w:rPr>
          <w:t>'Getting It': Identity and Sexual Communication for Sexual and Gender Minorities with Physical Disabilities.’</w:t>
        </w:r>
      </w:hyperlink>
      <w:r w:rsidRPr="54B3E25C">
        <w:rPr>
          <w:rFonts w:ascii="Times New Roman" w:eastAsia="Times New Roman" w:hAnsi="Times New Roman" w:cs="Times New Roman"/>
          <w:i/>
          <w:iCs/>
          <w:color w:val="000000" w:themeColor="text1"/>
          <w:sz w:val="24"/>
          <w:szCs w:val="24"/>
        </w:rPr>
        <w:t xml:space="preserve"> Springer Nature Sexuality &amp; Culture, 19 (4), p</w:t>
      </w:r>
      <w:r w:rsidRPr="54B3E25C">
        <w:rPr>
          <w:rFonts w:ascii="Times New Roman" w:eastAsia="Times New Roman" w:hAnsi="Times New Roman" w:cs="Times New Roman"/>
          <w:color w:val="000000" w:themeColor="text1"/>
          <w:sz w:val="24"/>
          <w:szCs w:val="24"/>
        </w:rPr>
        <w:t>p. 882-900</w:t>
      </w:r>
    </w:p>
    <w:p w14:paraId="7CD644C1" w14:textId="3B46DFAD"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Kelley, F. A. (2015) </w:t>
      </w:r>
      <w:r w:rsidRPr="54B3E25C">
        <w:rPr>
          <w:rFonts w:ascii="Times New Roman" w:eastAsia="Times New Roman" w:hAnsi="Times New Roman" w:cs="Times New Roman"/>
          <w:i/>
          <w:iCs/>
          <w:color w:val="000000" w:themeColor="text1"/>
          <w:sz w:val="24"/>
          <w:szCs w:val="24"/>
        </w:rPr>
        <w:t xml:space="preserve">‘The Therapy Relationship </w:t>
      </w:r>
      <w:proofErr w:type="gramStart"/>
      <w:r w:rsidRPr="54B3E25C">
        <w:rPr>
          <w:rFonts w:ascii="Times New Roman" w:eastAsia="Times New Roman" w:hAnsi="Times New Roman" w:cs="Times New Roman"/>
          <w:i/>
          <w:iCs/>
          <w:color w:val="000000" w:themeColor="text1"/>
          <w:sz w:val="24"/>
          <w:szCs w:val="24"/>
        </w:rPr>
        <w:t>With</w:t>
      </w:r>
      <w:proofErr w:type="gramEnd"/>
      <w:r w:rsidRPr="54B3E25C">
        <w:rPr>
          <w:rFonts w:ascii="Times New Roman" w:eastAsia="Times New Roman" w:hAnsi="Times New Roman" w:cs="Times New Roman"/>
          <w:i/>
          <w:iCs/>
          <w:color w:val="000000" w:themeColor="text1"/>
          <w:sz w:val="24"/>
          <w:szCs w:val="24"/>
        </w:rPr>
        <w:t xml:space="preserve"> Lesbian and Gay Clients’</w:t>
      </w:r>
      <w:r w:rsidRPr="54B3E25C">
        <w:rPr>
          <w:rFonts w:ascii="Times New Roman" w:eastAsia="Times New Roman" w:hAnsi="Times New Roman" w:cs="Times New Roman"/>
          <w:color w:val="000000" w:themeColor="text1"/>
          <w:sz w:val="24"/>
          <w:szCs w:val="24"/>
        </w:rPr>
        <w:t>, Psychotherapy, 52 (1), pp. 113-118</w:t>
      </w:r>
    </w:p>
    <w:p w14:paraId="3895AD7F" w14:textId="5B31722F"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King et al (2008) </w:t>
      </w:r>
      <w:r w:rsidRPr="54B3E25C">
        <w:rPr>
          <w:rFonts w:ascii="Times New Roman" w:eastAsia="Times New Roman" w:hAnsi="Times New Roman" w:cs="Times New Roman"/>
          <w:i/>
          <w:iCs/>
          <w:color w:val="000000" w:themeColor="text1"/>
          <w:sz w:val="24"/>
          <w:szCs w:val="24"/>
        </w:rPr>
        <w:t xml:space="preserve">‘A systematic review of mental disorder, suicide, and deliberate </w:t>
      </w:r>
      <w:proofErr w:type="spellStart"/>
      <w:r w:rsidRPr="54B3E25C">
        <w:rPr>
          <w:rFonts w:ascii="Times New Roman" w:eastAsia="Times New Roman" w:hAnsi="Times New Roman" w:cs="Times New Roman"/>
          <w:i/>
          <w:iCs/>
          <w:color w:val="000000" w:themeColor="text1"/>
          <w:sz w:val="24"/>
          <w:szCs w:val="24"/>
        </w:rPr>
        <w:t>self harm</w:t>
      </w:r>
      <w:proofErr w:type="spellEnd"/>
      <w:r w:rsidRPr="54B3E25C">
        <w:rPr>
          <w:rFonts w:ascii="Times New Roman" w:eastAsia="Times New Roman" w:hAnsi="Times New Roman" w:cs="Times New Roman"/>
          <w:i/>
          <w:iCs/>
          <w:color w:val="000000" w:themeColor="text1"/>
          <w:sz w:val="24"/>
          <w:szCs w:val="24"/>
        </w:rPr>
        <w:t xml:space="preserve"> in lesbian, gay and bisexual people’</w:t>
      </w:r>
      <w:r w:rsidRPr="54B3E25C">
        <w:rPr>
          <w:rFonts w:ascii="Times New Roman" w:eastAsia="Times New Roman" w:hAnsi="Times New Roman" w:cs="Times New Roman"/>
          <w:color w:val="000000" w:themeColor="text1"/>
          <w:sz w:val="24"/>
          <w:szCs w:val="24"/>
        </w:rPr>
        <w:t xml:space="preserve">, </w:t>
      </w:r>
      <w:hyperlink r:id="rId17">
        <w:r w:rsidRPr="54B3E25C">
          <w:rPr>
            <w:rStyle w:val="Hyperlink"/>
            <w:rFonts w:ascii="Times New Roman" w:eastAsia="Times New Roman" w:hAnsi="Times New Roman" w:cs="Times New Roman"/>
            <w:color w:val="000000" w:themeColor="text1"/>
            <w:sz w:val="24"/>
            <w:szCs w:val="24"/>
          </w:rPr>
          <w:t>BMC Psychiatry,</w:t>
        </w:r>
      </w:hyperlink>
      <w:r w:rsidRPr="54B3E25C">
        <w:rPr>
          <w:rFonts w:ascii="Times New Roman" w:eastAsia="Times New Roman" w:hAnsi="Times New Roman" w:cs="Times New Roman"/>
          <w:color w:val="000000" w:themeColor="text1"/>
          <w:sz w:val="24"/>
          <w:szCs w:val="24"/>
        </w:rPr>
        <w:t xml:space="preserve"> 8: 70.</w:t>
      </w:r>
    </w:p>
    <w:p w14:paraId="5CA3A447" w14:textId="40F37013"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Kymlicka</w:t>
      </w:r>
      <w:proofErr w:type="spellEnd"/>
      <w:r w:rsidRPr="54B3E25C">
        <w:rPr>
          <w:rFonts w:ascii="Times New Roman" w:eastAsia="Times New Roman" w:hAnsi="Times New Roman" w:cs="Times New Roman"/>
          <w:color w:val="000000" w:themeColor="text1"/>
          <w:sz w:val="24"/>
          <w:szCs w:val="24"/>
        </w:rPr>
        <w:t xml:space="preserve">, W. (1995) </w:t>
      </w:r>
      <w:r w:rsidRPr="54B3E25C">
        <w:rPr>
          <w:rFonts w:ascii="Times New Roman" w:eastAsia="Times New Roman" w:hAnsi="Times New Roman" w:cs="Times New Roman"/>
          <w:i/>
          <w:iCs/>
          <w:color w:val="000000" w:themeColor="text1"/>
          <w:sz w:val="24"/>
          <w:szCs w:val="24"/>
        </w:rPr>
        <w:t>Multicultural Citizenship: A Liberal Theory of Minority Rights</w:t>
      </w:r>
      <w:r w:rsidRPr="54B3E25C">
        <w:rPr>
          <w:rFonts w:ascii="Times New Roman" w:eastAsia="Times New Roman" w:hAnsi="Times New Roman" w:cs="Times New Roman"/>
          <w:color w:val="000000" w:themeColor="text1"/>
          <w:sz w:val="24"/>
          <w:szCs w:val="24"/>
        </w:rPr>
        <w:t>. Oxford: Clarendon Press.</w:t>
      </w:r>
    </w:p>
    <w:p w14:paraId="3AF326D0" w14:textId="6925EDFB"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La </w:t>
      </w:r>
      <w:proofErr w:type="spellStart"/>
      <w:r w:rsidRPr="54B3E25C">
        <w:rPr>
          <w:rFonts w:ascii="Times New Roman" w:eastAsia="Times New Roman" w:hAnsi="Times New Roman" w:cs="Times New Roman"/>
          <w:color w:val="000000" w:themeColor="text1"/>
          <w:sz w:val="24"/>
          <w:szCs w:val="24"/>
        </w:rPr>
        <w:t>Roi</w:t>
      </w:r>
      <w:proofErr w:type="spellEnd"/>
      <w:r w:rsidRPr="54B3E25C">
        <w:rPr>
          <w:rFonts w:ascii="Times New Roman" w:eastAsia="Times New Roman" w:hAnsi="Times New Roman" w:cs="Times New Roman"/>
          <w:color w:val="000000" w:themeColor="text1"/>
          <w:sz w:val="24"/>
          <w:szCs w:val="24"/>
        </w:rPr>
        <w:t xml:space="preserve">, C., Meyer, I. H, Frost, D. M. (2019) </w:t>
      </w:r>
      <w:r w:rsidRPr="54B3E25C">
        <w:rPr>
          <w:rFonts w:ascii="Times New Roman" w:eastAsia="Times New Roman" w:hAnsi="Times New Roman" w:cs="Times New Roman"/>
          <w:i/>
          <w:iCs/>
          <w:color w:val="000000" w:themeColor="text1"/>
          <w:sz w:val="24"/>
          <w:szCs w:val="24"/>
        </w:rPr>
        <w:t>‘Differences in sexual identity dimensions between bisexual and other sexual minority individuals: Implications for minority stress and mental health’</w:t>
      </w:r>
      <w:r w:rsidRPr="54B3E25C">
        <w:rPr>
          <w:rFonts w:ascii="Times New Roman" w:eastAsia="Times New Roman" w:hAnsi="Times New Roman" w:cs="Times New Roman"/>
          <w:color w:val="000000" w:themeColor="text1"/>
          <w:sz w:val="24"/>
          <w:szCs w:val="24"/>
        </w:rPr>
        <w:t>, Educational Publishing Foundation American Journal of Orthopsychiatry, 89 (1), pp. 40-52</w:t>
      </w:r>
    </w:p>
    <w:p w14:paraId="25FCE932" w14:textId="18470B96"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sz w:val="24"/>
          <w:szCs w:val="24"/>
        </w:rPr>
        <w:t xml:space="preserve">Martineau, W., Meer, N. &amp; Thompson, S. (2012) </w:t>
      </w:r>
      <w:r w:rsidRPr="54B3E25C">
        <w:rPr>
          <w:rFonts w:ascii="Times New Roman" w:eastAsia="Times New Roman" w:hAnsi="Times New Roman" w:cs="Times New Roman"/>
          <w:i/>
          <w:iCs/>
          <w:sz w:val="24"/>
          <w:szCs w:val="24"/>
        </w:rPr>
        <w:t>‘</w:t>
      </w:r>
      <w:r w:rsidRPr="54B3E25C">
        <w:rPr>
          <w:rFonts w:ascii="Times New Roman" w:eastAsia="Times New Roman" w:hAnsi="Times New Roman" w:cs="Times New Roman"/>
          <w:i/>
          <w:iCs/>
          <w:sz w:val="24"/>
          <w:szCs w:val="24"/>
          <w:lang w:val="en"/>
        </w:rPr>
        <w:t>Theory and Practice in the Politics of Recognition and Misrecognition’</w:t>
      </w:r>
      <w:r w:rsidRPr="54B3E25C">
        <w:rPr>
          <w:rFonts w:ascii="Times New Roman" w:eastAsia="Times New Roman" w:hAnsi="Times New Roman" w:cs="Times New Roman"/>
          <w:sz w:val="24"/>
          <w:szCs w:val="24"/>
          <w:lang w:val="en"/>
        </w:rPr>
        <w:t xml:space="preserve">, </w:t>
      </w:r>
      <w:r w:rsidRPr="54B3E25C">
        <w:rPr>
          <w:rFonts w:ascii="Times New Roman" w:eastAsia="Times New Roman" w:hAnsi="Times New Roman" w:cs="Times New Roman"/>
          <w:sz w:val="24"/>
          <w:szCs w:val="24"/>
        </w:rPr>
        <w:t xml:space="preserve">Res </w:t>
      </w:r>
      <w:proofErr w:type="spellStart"/>
      <w:r w:rsidRPr="54B3E25C">
        <w:rPr>
          <w:rFonts w:ascii="Times New Roman" w:eastAsia="Times New Roman" w:hAnsi="Times New Roman" w:cs="Times New Roman"/>
          <w:sz w:val="24"/>
          <w:szCs w:val="24"/>
        </w:rPr>
        <w:t>Publica</w:t>
      </w:r>
      <w:proofErr w:type="spellEnd"/>
      <w:r w:rsidRPr="54B3E25C">
        <w:rPr>
          <w:rFonts w:ascii="Times New Roman" w:eastAsia="Times New Roman" w:hAnsi="Times New Roman" w:cs="Times New Roman"/>
          <w:sz w:val="24"/>
          <w:szCs w:val="24"/>
        </w:rPr>
        <w:t>, 18, (1)</w:t>
      </w:r>
      <w:r w:rsidRPr="54B3E25C">
        <w:rPr>
          <w:rFonts w:ascii="Times New Roman" w:eastAsia="Times New Roman" w:hAnsi="Times New Roman" w:cs="Times New Roman"/>
          <w:sz w:val="24"/>
          <w:szCs w:val="24"/>
          <w:lang w:val="en"/>
        </w:rPr>
        <w:t>, pp. 1–9</w:t>
      </w:r>
    </w:p>
    <w:p w14:paraId="34CE69A3" w14:textId="4F7F5E13"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Najmabadi</w:t>
      </w:r>
      <w:proofErr w:type="spellEnd"/>
      <w:r w:rsidRPr="54B3E25C">
        <w:rPr>
          <w:rFonts w:ascii="Times New Roman" w:eastAsia="Times New Roman" w:hAnsi="Times New Roman" w:cs="Times New Roman"/>
          <w:color w:val="000000" w:themeColor="text1"/>
          <w:sz w:val="24"/>
          <w:szCs w:val="24"/>
        </w:rPr>
        <w:t xml:space="preserve">, A. (2014) </w:t>
      </w:r>
      <w:r w:rsidRPr="54B3E25C">
        <w:rPr>
          <w:rFonts w:ascii="Times New Roman" w:eastAsia="Times New Roman" w:hAnsi="Times New Roman" w:cs="Times New Roman"/>
          <w:i/>
          <w:iCs/>
          <w:color w:val="000000" w:themeColor="text1"/>
          <w:sz w:val="24"/>
          <w:szCs w:val="24"/>
        </w:rPr>
        <w:t>Professing selves: Transsexuality and same-sex desire in contemporary Iran</w:t>
      </w:r>
      <w:r w:rsidRPr="54B3E25C">
        <w:rPr>
          <w:rFonts w:ascii="Times New Roman" w:eastAsia="Times New Roman" w:hAnsi="Times New Roman" w:cs="Times New Roman"/>
          <w:color w:val="000000" w:themeColor="text1"/>
          <w:sz w:val="24"/>
          <w:szCs w:val="24"/>
        </w:rPr>
        <w:t>. Durham, NC: Duke University Press.</w:t>
      </w:r>
    </w:p>
    <w:p w14:paraId="18AC6AC6" w14:textId="5CC63EBC" w:rsidR="54B3E25C" w:rsidRDefault="54B3E25C" w:rsidP="00FD1D0F">
      <w:pPr>
        <w:spacing w:before="40" w:after="0" w:line="480" w:lineRule="auto"/>
        <w:rPr>
          <w:rFonts w:ascii="Times New Roman" w:eastAsia="Times New Roman" w:hAnsi="Times New Roman" w:cs="Times New Roman"/>
          <w:color w:val="2F5496" w:themeColor="accent1" w:themeShade="BF"/>
          <w:sz w:val="24"/>
          <w:szCs w:val="24"/>
        </w:rPr>
      </w:pPr>
      <w:proofErr w:type="spellStart"/>
      <w:r w:rsidRPr="54B3E25C">
        <w:rPr>
          <w:rFonts w:ascii="Times New Roman" w:eastAsia="Times New Roman" w:hAnsi="Times New Roman" w:cs="Times New Roman"/>
          <w:color w:val="000000" w:themeColor="text1"/>
          <w:sz w:val="24"/>
          <w:szCs w:val="24"/>
        </w:rPr>
        <w:t>Naz</w:t>
      </w:r>
      <w:proofErr w:type="spellEnd"/>
      <w:r w:rsidRPr="54B3E25C">
        <w:rPr>
          <w:rFonts w:ascii="Times New Roman" w:eastAsia="Times New Roman" w:hAnsi="Times New Roman" w:cs="Times New Roman"/>
          <w:color w:val="000000" w:themeColor="text1"/>
          <w:sz w:val="24"/>
          <w:szCs w:val="24"/>
        </w:rPr>
        <w:t xml:space="preserve"> Foundation v. Government of NCT of Delhi and Others. (2009) Chapter 377 IPC. The Equal Rights Review, Vol. 4:71 Accessed on 17 January 2019 at: </w:t>
      </w:r>
      <w:hyperlink r:id="rId18">
        <w:r w:rsidRPr="54B3E25C">
          <w:rPr>
            <w:rStyle w:val="Hyperlink"/>
            <w:rFonts w:ascii="Times New Roman" w:eastAsia="Times New Roman" w:hAnsi="Times New Roman" w:cs="Times New Roman"/>
            <w:color w:val="000000" w:themeColor="text1"/>
            <w:sz w:val="24"/>
            <w:szCs w:val="24"/>
          </w:rPr>
          <w:t>http://www.equalrightstrust.org/ertdocumentbank/case%20note.pdf</w:t>
        </w:r>
      </w:hyperlink>
    </w:p>
    <w:p w14:paraId="4AD48F82" w14:textId="18AF5A90"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lastRenderedPageBreak/>
        <w:t>Petoukhov</w:t>
      </w:r>
      <w:proofErr w:type="spellEnd"/>
      <w:r w:rsidRPr="54B3E25C">
        <w:rPr>
          <w:rFonts w:ascii="Times New Roman" w:eastAsia="Times New Roman" w:hAnsi="Times New Roman" w:cs="Times New Roman"/>
          <w:color w:val="000000" w:themeColor="text1"/>
          <w:sz w:val="24"/>
          <w:szCs w:val="24"/>
        </w:rPr>
        <w:t xml:space="preserve">, (2012) </w:t>
      </w:r>
      <w:r w:rsidRPr="54B3E25C">
        <w:rPr>
          <w:rFonts w:ascii="Times New Roman" w:eastAsia="Times New Roman" w:hAnsi="Times New Roman" w:cs="Times New Roman"/>
          <w:i/>
          <w:iCs/>
          <w:color w:val="000000" w:themeColor="text1"/>
          <w:sz w:val="24"/>
          <w:szCs w:val="24"/>
        </w:rPr>
        <w:t>‘Locating a Theoretical Framework for the Canadian Truth and Reconciliation Commission: Charles Taylor or Nancy Fraser?’</w:t>
      </w:r>
      <w:r w:rsidRPr="54B3E25C">
        <w:rPr>
          <w:rFonts w:ascii="Times New Roman" w:eastAsia="Times New Roman" w:hAnsi="Times New Roman" w:cs="Times New Roman"/>
          <w:color w:val="000000" w:themeColor="text1"/>
          <w:sz w:val="24"/>
          <w:szCs w:val="24"/>
        </w:rPr>
        <w:t xml:space="preserve"> The International Indigenous Policy Journal, 3 (2), pp. 1 -17</w:t>
      </w:r>
    </w:p>
    <w:p w14:paraId="3108857E" w14:textId="3B6BFC9F"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Taylor, Charles. (1994) </w:t>
      </w:r>
      <w:r w:rsidRPr="54B3E25C">
        <w:rPr>
          <w:rFonts w:ascii="Times New Roman" w:eastAsia="Times New Roman" w:hAnsi="Times New Roman" w:cs="Times New Roman"/>
          <w:i/>
          <w:iCs/>
          <w:color w:val="000000" w:themeColor="text1"/>
          <w:sz w:val="24"/>
          <w:szCs w:val="24"/>
        </w:rPr>
        <w:t>‘The Politics of Recognition’. Multiculturalism: Examining the Politics of Recognition.</w:t>
      </w:r>
      <w:r w:rsidRPr="54B3E25C">
        <w:rPr>
          <w:rFonts w:ascii="Times New Roman" w:eastAsia="Times New Roman" w:hAnsi="Times New Roman" w:cs="Times New Roman"/>
          <w:color w:val="000000" w:themeColor="text1"/>
          <w:sz w:val="24"/>
          <w:szCs w:val="24"/>
        </w:rPr>
        <w:t xml:space="preserve"> Ed. Amy </w:t>
      </w:r>
      <w:proofErr w:type="spellStart"/>
      <w:r w:rsidRPr="54B3E25C">
        <w:rPr>
          <w:rFonts w:ascii="Times New Roman" w:eastAsia="Times New Roman" w:hAnsi="Times New Roman" w:cs="Times New Roman"/>
          <w:color w:val="000000" w:themeColor="text1"/>
          <w:sz w:val="24"/>
          <w:szCs w:val="24"/>
        </w:rPr>
        <w:t>Gutmann</w:t>
      </w:r>
      <w:proofErr w:type="spellEnd"/>
      <w:r w:rsidRPr="54B3E25C">
        <w:rPr>
          <w:rFonts w:ascii="Times New Roman" w:eastAsia="Times New Roman" w:hAnsi="Times New Roman" w:cs="Times New Roman"/>
          <w:color w:val="000000" w:themeColor="text1"/>
          <w:sz w:val="24"/>
          <w:szCs w:val="24"/>
        </w:rPr>
        <w:t>. Princeton: Princeton University Press</w:t>
      </w:r>
    </w:p>
    <w:p w14:paraId="4670A06F" w14:textId="010C2D02"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Saeidzadeh</w:t>
      </w:r>
      <w:proofErr w:type="spellEnd"/>
      <w:r w:rsidRPr="54B3E25C">
        <w:rPr>
          <w:rFonts w:ascii="Times New Roman" w:eastAsia="Times New Roman" w:hAnsi="Times New Roman" w:cs="Times New Roman"/>
          <w:color w:val="000000" w:themeColor="text1"/>
          <w:sz w:val="24"/>
          <w:szCs w:val="24"/>
        </w:rPr>
        <w:t xml:space="preserve">, Z (2016) </w:t>
      </w:r>
      <w:r w:rsidRPr="54B3E25C">
        <w:rPr>
          <w:rFonts w:ascii="Times New Roman" w:eastAsia="Times New Roman" w:hAnsi="Times New Roman" w:cs="Times New Roman"/>
          <w:i/>
          <w:iCs/>
          <w:color w:val="000000" w:themeColor="text1"/>
          <w:sz w:val="24"/>
          <w:szCs w:val="24"/>
        </w:rPr>
        <w:t>‘</w:t>
      </w:r>
      <w:r w:rsidRPr="54B3E25C">
        <w:rPr>
          <w:rFonts w:ascii="Times New Roman" w:eastAsia="Times New Roman" w:hAnsi="Times New Roman" w:cs="Times New Roman"/>
          <w:i/>
          <w:iCs/>
          <w:color w:val="000000" w:themeColor="text1"/>
          <w:sz w:val="24"/>
          <w:szCs w:val="24"/>
          <w:lang w:val="en"/>
        </w:rPr>
        <w:t>Transsexuality in Contemporary Iran: Legal and Social Misrecognition’</w:t>
      </w:r>
      <w:r w:rsidRPr="54B3E25C">
        <w:rPr>
          <w:rFonts w:ascii="Times New Roman" w:eastAsia="Times New Roman" w:hAnsi="Times New Roman" w:cs="Times New Roman"/>
          <w:color w:val="000000" w:themeColor="text1"/>
          <w:sz w:val="24"/>
          <w:szCs w:val="24"/>
          <w:lang w:val="en"/>
        </w:rPr>
        <w:t xml:space="preserve">, </w:t>
      </w:r>
      <w:hyperlink r:id="rId19">
        <w:r w:rsidRPr="54B3E25C">
          <w:rPr>
            <w:rStyle w:val="Hyperlink"/>
            <w:rFonts w:ascii="Times New Roman" w:eastAsia="Times New Roman" w:hAnsi="Times New Roman" w:cs="Times New Roman"/>
            <w:color w:val="000000" w:themeColor="text1"/>
            <w:sz w:val="24"/>
            <w:szCs w:val="24"/>
            <w:lang w:val="en"/>
          </w:rPr>
          <w:t>Feminist Legal Studies,</w:t>
        </w:r>
      </w:hyperlink>
      <w:r w:rsidRPr="54B3E25C">
        <w:rPr>
          <w:rFonts w:ascii="Times New Roman" w:eastAsia="Times New Roman" w:hAnsi="Times New Roman" w:cs="Times New Roman"/>
          <w:color w:val="000000" w:themeColor="text1"/>
          <w:sz w:val="24"/>
          <w:szCs w:val="24"/>
          <w:lang w:val="en"/>
        </w:rPr>
        <w:t xml:space="preserve"> 24 (</w:t>
      </w:r>
      <w:hyperlink r:id="rId20">
        <w:r w:rsidRPr="54B3E25C">
          <w:rPr>
            <w:rStyle w:val="Hyperlink"/>
            <w:rFonts w:ascii="Times New Roman" w:eastAsia="Times New Roman" w:hAnsi="Times New Roman" w:cs="Times New Roman"/>
            <w:color w:val="000000" w:themeColor="text1"/>
            <w:sz w:val="24"/>
            <w:szCs w:val="24"/>
            <w:lang w:val="en"/>
          </w:rPr>
          <w:t>3)</w:t>
        </w:r>
      </w:hyperlink>
      <w:r w:rsidRPr="54B3E25C">
        <w:rPr>
          <w:rFonts w:ascii="Times New Roman" w:eastAsia="Times New Roman" w:hAnsi="Times New Roman" w:cs="Times New Roman"/>
          <w:color w:val="000000" w:themeColor="text1"/>
          <w:sz w:val="24"/>
          <w:szCs w:val="24"/>
          <w:lang w:val="en"/>
        </w:rPr>
        <w:t>, pp. 249–272</w:t>
      </w:r>
    </w:p>
    <w:p w14:paraId="64EB9863" w14:textId="5538146A"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Schibbye</w:t>
      </w:r>
      <w:proofErr w:type="spellEnd"/>
      <w:r w:rsidRPr="54B3E25C">
        <w:rPr>
          <w:rFonts w:ascii="Times New Roman" w:eastAsia="Times New Roman" w:hAnsi="Times New Roman" w:cs="Times New Roman"/>
          <w:color w:val="000000" w:themeColor="text1"/>
          <w:sz w:val="24"/>
          <w:szCs w:val="24"/>
        </w:rPr>
        <w:t xml:space="preserve">, A-L.L. (1993) </w:t>
      </w:r>
      <w:r w:rsidRPr="54B3E25C">
        <w:rPr>
          <w:rFonts w:ascii="Times New Roman" w:eastAsia="Times New Roman" w:hAnsi="Times New Roman" w:cs="Times New Roman"/>
          <w:i/>
          <w:iCs/>
          <w:color w:val="000000" w:themeColor="text1"/>
          <w:sz w:val="24"/>
          <w:szCs w:val="24"/>
        </w:rPr>
        <w:t>‘The role of “recognition” in the resolution of a specific interpersonal dilemma’</w:t>
      </w:r>
      <w:r w:rsidRPr="54B3E25C">
        <w:rPr>
          <w:rFonts w:ascii="Times New Roman" w:eastAsia="Times New Roman" w:hAnsi="Times New Roman" w:cs="Times New Roman"/>
          <w:color w:val="000000" w:themeColor="text1"/>
          <w:sz w:val="24"/>
          <w:szCs w:val="24"/>
        </w:rPr>
        <w:t>, Journal of Phenomenological Psychology, 24, pp. 175-189</w:t>
      </w:r>
    </w:p>
    <w:p w14:paraId="5C3AFC17" w14:textId="709B6957"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Serovich</w:t>
      </w:r>
      <w:proofErr w:type="spellEnd"/>
      <w:r w:rsidRPr="54B3E25C">
        <w:rPr>
          <w:rFonts w:ascii="Times New Roman" w:eastAsia="Times New Roman" w:hAnsi="Times New Roman" w:cs="Times New Roman"/>
          <w:color w:val="000000" w:themeColor="text1"/>
          <w:sz w:val="24"/>
          <w:szCs w:val="24"/>
        </w:rPr>
        <w:t xml:space="preserve">, J. M., Craft, S. M., </w:t>
      </w:r>
      <w:proofErr w:type="spellStart"/>
      <w:r w:rsidRPr="54B3E25C">
        <w:rPr>
          <w:rFonts w:ascii="Times New Roman" w:eastAsia="Times New Roman" w:hAnsi="Times New Roman" w:cs="Times New Roman"/>
          <w:color w:val="000000" w:themeColor="text1"/>
          <w:sz w:val="24"/>
          <w:szCs w:val="24"/>
        </w:rPr>
        <w:t>Toviessi</w:t>
      </w:r>
      <w:proofErr w:type="spellEnd"/>
      <w:r w:rsidRPr="54B3E25C">
        <w:rPr>
          <w:rFonts w:ascii="Times New Roman" w:eastAsia="Times New Roman" w:hAnsi="Times New Roman" w:cs="Times New Roman"/>
          <w:color w:val="000000" w:themeColor="text1"/>
          <w:sz w:val="24"/>
          <w:szCs w:val="24"/>
        </w:rPr>
        <w:t xml:space="preserve">, P., </w:t>
      </w:r>
      <w:proofErr w:type="spellStart"/>
      <w:r w:rsidRPr="54B3E25C">
        <w:rPr>
          <w:rFonts w:ascii="Times New Roman" w:eastAsia="Times New Roman" w:hAnsi="Times New Roman" w:cs="Times New Roman"/>
          <w:color w:val="000000" w:themeColor="text1"/>
          <w:sz w:val="24"/>
          <w:szCs w:val="24"/>
        </w:rPr>
        <w:t>Gangamma</w:t>
      </w:r>
      <w:proofErr w:type="spellEnd"/>
      <w:r w:rsidRPr="54B3E25C">
        <w:rPr>
          <w:rFonts w:ascii="Times New Roman" w:eastAsia="Times New Roman" w:hAnsi="Times New Roman" w:cs="Times New Roman"/>
          <w:color w:val="000000" w:themeColor="text1"/>
          <w:sz w:val="24"/>
          <w:szCs w:val="24"/>
        </w:rPr>
        <w:t xml:space="preserve">, R., McDowell, T., &amp; </w:t>
      </w:r>
      <w:proofErr w:type="spellStart"/>
      <w:r w:rsidRPr="54B3E25C">
        <w:rPr>
          <w:rFonts w:ascii="Times New Roman" w:eastAsia="Times New Roman" w:hAnsi="Times New Roman" w:cs="Times New Roman"/>
          <w:color w:val="000000" w:themeColor="text1"/>
          <w:sz w:val="24"/>
          <w:szCs w:val="24"/>
        </w:rPr>
        <w:t>Grafsky</w:t>
      </w:r>
      <w:proofErr w:type="spellEnd"/>
      <w:r w:rsidRPr="54B3E25C">
        <w:rPr>
          <w:rFonts w:ascii="Times New Roman" w:eastAsia="Times New Roman" w:hAnsi="Times New Roman" w:cs="Times New Roman"/>
          <w:color w:val="000000" w:themeColor="text1"/>
          <w:sz w:val="24"/>
          <w:szCs w:val="24"/>
        </w:rPr>
        <w:t xml:space="preserve">, E. L. (2008) </w:t>
      </w:r>
      <w:r w:rsidRPr="54B3E25C">
        <w:rPr>
          <w:rFonts w:ascii="Times New Roman" w:eastAsia="Times New Roman" w:hAnsi="Times New Roman" w:cs="Times New Roman"/>
          <w:i/>
          <w:iCs/>
          <w:color w:val="000000" w:themeColor="text1"/>
          <w:sz w:val="24"/>
          <w:szCs w:val="24"/>
        </w:rPr>
        <w:t>‘A systematic review of the research base on sexual reorientation therapies’</w:t>
      </w:r>
      <w:r w:rsidRPr="54B3E25C">
        <w:rPr>
          <w:rFonts w:ascii="Times New Roman" w:eastAsia="Times New Roman" w:hAnsi="Times New Roman" w:cs="Times New Roman"/>
          <w:color w:val="000000" w:themeColor="text1"/>
          <w:sz w:val="24"/>
          <w:szCs w:val="24"/>
        </w:rPr>
        <w:t>, Journal of Marital and Family Therapy, 34(2), pp. 227- 238.</w:t>
      </w:r>
    </w:p>
    <w:p w14:paraId="3CFFA5EC" w14:textId="51F98F0C"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State of California. (2012) </w:t>
      </w:r>
      <w:r w:rsidRPr="54B3E25C">
        <w:rPr>
          <w:rFonts w:ascii="Times New Roman" w:eastAsia="Times New Roman" w:hAnsi="Times New Roman" w:cs="Times New Roman"/>
          <w:i/>
          <w:iCs/>
          <w:color w:val="000000" w:themeColor="text1"/>
          <w:sz w:val="24"/>
          <w:szCs w:val="24"/>
        </w:rPr>
        <w:t>‘SB-1172: Sexual orientation change efforts’</w:t>
      </w:r>
      <w:r w:rsidRPr="54B3E25C">
        <w:rPr>
          <w:rFonts w:ascii="Times New Roman" w:eastAsia="Times New Roman" w:hAnsi="Times New Roman" w:cs="Times New Roman"/>
          <w:color w:val="000000" w:themeColor="text1"/>
          <w:sz w:val="24"/>
          <w:szCs w:val="24"/>
        </w:rPr>
        <w:t xml:space="preserve">, Retrieved January 6 2019 from: </w:t>
      </w:r>
      <w:hyperlink r:id="rId21">
        <w:r w:rsidRPr="54B3E25C">
          <w:rPr>
            <w:rStyle w:val="Hyperlink"/>
            <w:rFonts w:ascii="Times New Roman" w:eastAsia="Times New Roman" w:hAnsi="Times New Roman" w:cs="Times New Roman"/>
            <w:color w:val="000000" w:themeColor="text1"/>
            <w:sz w:val="24"/>
            <w:szCs w:val="24"/>
          </w:rPr>
          <w:t>https://leginfo.legislature.ca.gov/face /</w:t>
        </w:r>
        <w:proofErr w:type="spellStart"/>
        <w:r w:rsidRPr="54B3E25C">
          <w:rPr>
            <w:rStyle w:val="Hyperlink"/>
            <w:rFonts w:ascii="Times New Roman" w:eastAsia="Times New Roman" w:hAnsi="Times New Roman" w:cs="Times New Roman"/>
            <w:color w:val="000000" w:themeColor="text1"/>
            <w:sz w:val="24"/>
            <w:szCs w:val="24"/>
          </w:rPr>
          <w:t>billNavClient.xhtml?bill_id</w:t>
        </w:r>
        <w:proofErr w:type="spellEnd"/>
        <w:r w:rsidRPr="54B3E25C">
          <w:rPr>
            <w:rStyle w:val="Hyperlink"/>
            <w:rFonts w:ascii="Times New Roman" w:eastAsia="Times New Roman" w:hAnsi="Times New Roman" w:cs="Times New Roman"/>
            <w:color w:val="000000" w:themeColor="text1"/>
            <w:sz w:val="24"/>
            <w:szCs w:val="24"/>
          </w:rPr>
          <w:t>=201120120SB1172</w:t>
        </w:r>
      </w:hyperlink>
    </w:p>
    <w:p w14:paraId="20716727" w14:textId="2758B4F4" w:rsidR="54B3E25C" w:rsidRDefault="54B3E25C" w:rsidP="00FD1D0F">
      <w:pPr>
        <w:spacing w:before="40" w:after="0" w:line="480" w:lineRule="auto"/>
        <w:rPr>
          <w:rFonts w:ascii="Times New Roman" w:eastAsia="Times New Roman" w:hAnsi="Times New Roman" w:cs="Times New Roman"/>
          <w:color w:val="2F5496" w:themeColor="accent1" w:themeShade="BF"/>
          <w:sz w:val="24"/>
          <w:szCs w:val="24"/>
        </w:rPr>
      </w:pPr>
      <w:proofErr w:type="spellStart"/>
      <w:r w:rsidRPr="54B3E25C">
        <w:rPr>
          <w:rFonts w:ascii="Times New Roman" w:eastAsia="Times New Roman" w:hAnsi="Times New Roman" w:cs="Times New Roman"/>
          <w:color w:val="000000" w:themeColor="text1"/>
          <w:sz w:val="24"/>
          <w:szCs w:val="24"/>
        </w:rPr>
        <w:t>Steihaug</w:t>
      </w:r>
      <w:proofErr w:type="spellEnd"/>
      <w:r w:rsidRPr="54B3E25C">
        <w:rPr>
          <w:rFonts w:ascii="Times New Roman" w:eastAsia="Times New Roman" w:hAnsi="Times New Roman" w:cs="Times New Roman"/>
          <w:color w:val="000000" w:themeColor="text1"/>
          <w:sz w:val="24"/>
          <w:szCs w:val="24"/>
        </w:rPr>
        <w:t xml:space="preserve">, S., </w:t>
      </w:r>
      <w:proofErr w:type="spellStart"/>
      <w:r w:rsidRPr="54B3E25C">
        <w:rPr>
          <w:rFonts w:ascii="Times New Roman" w:eastAsia="Times New Roman" w:hAnsi="Times New Roman" w:cs="Times New Roman"/>
          <w:color w:val="000000" w:themeColor="text1"/>
          <w:sz w:val="24"/>
          <w:szCs w:val="24"/>
        </w:rPr>
        <w:t>Gulbrandsen</w:t>
      </w:r>
      <w:proofErr w:type="spellEnd"/>
      <w:r w:rsidRPr="54B3E25C">
        <w:rPr>
          <w:rFonts w:ascii="Times New Roman" w:eastAsia="Times New Roman" w:hAnsi="Times New Roman" w:cs="Times New Roman"/>
          <w:color w:val="000000" w:themeColor="text1"/>
          <w:sz w:val="24"/>
          <w:szCs w:val="24"/>
        </w:rPr>
        <w:t xml:space="preserve">, P. &amp; Werner, A. (2012) </w:t>
      </w:r>
      <w:r w:rsidRPr="54B3E25C">
        <w:rPr>
          <w:rFonts w:ascii="Times New Roman" w:eastAsia="Times New Roman" w:hAnsi="Times New Roman" w:cs="Times New Roman"/>
          <w:i/>
          <w:iCs/>
          <w:color w:val="000000" w:themeColor="text1"/>
          <w:sz w:val="24"/>
          <w:szCs w:val="24"/>
        </w:rPr>
        <w:t>‘Recognition can leave room for disagreement in the doctor–patient consultation’</w:t>
      </w:r>
      <w:r w:rsidRPr="54B3E25C">
        <w:rPr>
          <w:rFonts w:ascii="Times New Roman" w:eastAsia="Times New Roman" w:hAnsi="Times New Roman" w:cs="Times New Roman"/>
          <w:color w:val="000000" w:themeColor="text1"/>
          <w:sz w:val="24"/>
          <w:szCs w:val="24"/>
        </w:rPr>
        <w:t xml:space="preserve">, </w:t>
      </w:r>
      <w:hyperlink r:id="rId22">
        <w:r w:rsidRPr="54B3E25C">
          <w:rPr>
            <w:rStyle w:val="Hyperlink"/>
            <w:rFonts w:ascii="Times New Roman" w:eastAsia="Times New Roman" w:hAnsi="Times New Roman" w:cs="Times New Roman"/>
            <w:color w:val="000000" w:themeColor="text1"/>
            <w:sz w:val="24"/>
            <w:szCs w:val="24"/>
          </w:rPr>
          <w:t xml:space="preserve">Patient Education and </w:t>
        </w:r>
        <w:proofErr w:type="spellStart"/>
        <w:r w:rsidRPr="54B3E25C">
          <w:rPr>
            <w:rStyle w:val="Hyperlink"/>
            <w:rFonts w:ascii="Times New Roman" w:eastAsia="Times New Roman" w:hAnsi="Times New Roman" w:cs="Times New Roman"/>
            <w:color w:val="000000" w:themeColor="text1"/>
            <w:sz w:val="24"/>
            <w:szCs w:val="24"/>
          </w:rPr>
          <w:t>Counseling</w:t>
        </w:r>
        <w:proofErr w:type="spellEnd"/>
      </w:hyperlink>
      <w:r w:rsidRPr="54B3E25C">
        <w:rPr>
          <w:rFonts w:ascii="Times New Roman" w:eastAsia="Times New Roman" w:hAnsi="Times New Roman" w:cs="Times New Roman"/>
          <w:color w:val="000000" w:themeColor="text1"/>
          <w:sz w:val="24"/>
          <w:szCs w:val="24"/>
        </w:rPr>
        <w:t>,</w:t>
      </w:r>
      <w:hyperlink r:id="rId23">
        <w:r w:rsidRPr="54B3E25C">
          <w:rPr>
            <w:rStyle w:val="Hyperlink"/>
            <w:rFonts w:ascii="Times New Roman" w:eastAsia="Times New Roman" w:hAnsi="Times New Roman" w:cs="Times New Roman"/>
            <w:color w:val="000000" w:themeColor="text1"/>
            <w:sz w:val="24"/>
            <w:szCs w:val="24"/>
          </w:rPr>
          <w:t xml:space="preserve"> 86 (3)</w:t>
        </w:r>
      </w:hyperlink>
      <w:r w:rsidRPr="54B3E25C">
        <w:rPr>
          <w:rFonts w:ascii="Times New Roman" w:eastAsia="Times New Roman" w:hAnsi="Times New Roman" w:cs="Times New Roman"/>
          <w:color w:val="000000" w:themeColor="text1"/>
          <w:sz w:val="24"/>
          <w:szCs w:val="24"/>
        </w:rPr>
        <w:t>, pp. 316-321</w:t>
      </w:r>
    </w:p>
    <w:p w14:paraId="4C8E1B59" w14:textId="1B441438" w:rsidR="54B3E25C" w:rsidRDefault="54B3E25C" w:rsidP="00FD1D0F">
      <w:pPr>
        <w:spacing w:line="480" w:lineRule="auto"/>
        <w:rPr>
          <w:rFonts w:ascii="Times New Roman" w:eastAsia="Times New Roman" w:hAnsi="Times New Roman" w:cs="Times New Roman"/>
          <w:sz w:val="24"/>
          <w:szCs w:val="24"/>
        </w:rPr>
      </w:pPr>
      <w:r w:rsidRPr="54B3E25C">
        <w:rPr>
          <w:rFonts w:ascii="Times New Roman" w:eastAsia="Times New Roman" w:hAnsi="Times New Roman" w:cs="Times New Roman"/>
          <w:color w:val="000000" w:themeColor="text1"/>
          <w:sz w:val="24"/>
          <w:szCs w:val="24"/>
        </w:rPr>
        <w:t xml:space="preserve">Sue, D. W. &amp; Sue, D. (2008) </w:t>
      </w:r>
      <w:proofErr w:type="spellStart"/>
      <w:r w:rsidRPr="54B3E25C">
        <w:rPr>
          <w:rFonts w:ascii="Times New Roman" w:eastAsia="Times New Roman" w:hAnsi="Times New Roman" w:cs="Times New Roman"/>
          <w:i/>
          <w:iCs/>
          <w:color w:val="000000" w:themeColor="text1"/>
          <w:sz w:val="24"/>
          <w:szCs w:val="24"/>
        </w:rPr>
        <w:t>Counseling</w:t>
      </w:r>
      <w:proofErr w:type="spellEnd"/>
      <w:r w:rsidRPr="54B3E25C">
        <w:rPr>
          <w:rFonts w:ascii="Times New Roman" w:eastAsia="Times New Roman" w:hAnsi="Times New Roman" w:cs="Times New Roman"/>
          <w:i/>
          <w:iCs/>
          <w:color w:val="000000" w:themeColor="text1"/>
          <w:sz w:val="24"/>
          <w:szCs w:val="24"/>
        </w:rPr>
        <w:t xml:space="preserve"> the culturally diverse: Theory and practice</w:t>
      </w:r>
      <w:r w:rsidRPr="54B3E25C">
        <w:rPr>
          <w:rFonts w:ascii="Times New Roman" w:eastAsia="Times New Roman" w:hAnsi="Times New Roman" w:cs="Times New Roman"/>
          <w:color w:val="000000" w:themeColor="text1"/>
          <w:sz w:val="24"/>
          <w:szCs w:val="24"/>
        </w:rPr>
        <w:t xml:space="preserve"> (5</w:t>
      </w:r>
      <w:r w:rsidRPr="54B3E25C">
        <w:rPr>
          <w:rFonts w:ascii="Times New Roman" w:eastAsia="Times New Roman" w:hAnsi="Times New Roman" w:cs="Times New Roman"/>
          <w:color w:val="000000" w:themeColor="text1"/>
          <w:sz w:val="24"/>
          <w:szCs w:val="24"/>
          <w:vertAlign w:val="superscript"/>
        </w:rPr>
        <w:t>th</w:t>
      </w:r>
      <w:r w:rsidRPr="54B3E25C">
        <w:rPr>
          <w:rFonts w:ascii="Times New Roman" w:eastAsia="Times New Roman" w:hAnsi="Times New Roman" w:cs="Times New Roman"/>
          <w:color w:val="000000" w:themeColor="text1"/>
          <w:sz w:val="24"/>
          <w:szCs w:val="24"/>
        </w:rPr>
        <w:t xml:space="preserve"> edition) Hoboken, New Jersey: Wiley.</w:t>
      </w:r>
    </w:p>
    <w:p w14:paraId="6FD6C85D" w14:textId="3C0939D9" w:rsidR="54B3E25C" w:rsidRDefault="54B3E25C" w:rsidP="00FD1D0F">
      <w:pPr>
        <w:spacing w:line="480" w:lineRule="auto"/>
        <w:rPr>
          <w:rFonts w:ascii="Times New Roman" w:eastAsia="Times New Roman" w:hAnsi="Times New Roman" w:cs="Times New Roman"/>
          <w:sz w:val="24"/>
          <w:szCs w:val="24"/>
        </w:rPr>
      </w:pPr>
      <w:proofErr w:type="spellStart"/>
      <w:r w:rsidRPr="54B3E25C">
        <w:rPr>
          <w:rFonts w:ascii="Times New Roman" w:eastAsia="Times New Roman" w:hAnsi="Times New Roman" w:cs="Times New Roman"/>
          <w:color w:val="000000" w:themeColor="text1"/>
          <w:sz w:val="24"/>
          <w:szCs w:val="24"/>
        </w:rPr>
        <w:t>Teles</w:t>
      </w:r>
      <w:proofErr w:type="spellEnd"/>
      <w:r w:rsidRPr="54B3E25C">
        <w:rPr>
          <w:rFonts w:ascii="Times New Roman" w:eastAsia="Times New Roman" w:hAnsi="Times New Roman" w:cs="Times New Roman"/>
          <w:color w:val="000000" w:themeColor="text1"/>
          <w:sz w:val="24"/>
          <w:szCs w:val="24"/>
        </w:rPr>
        <w:t xml:space="preserve"> de Pontes, N. L. M. (2012) </w:t>
      </w:r>
      <w:r w:rsidRPr="54B3E25C">
        <w:rPr>
          <w:rFonts w:ascii="Times New Roman" w:eastAsia="Times New Roman" w:hAnsi="Times New Roman" w:cs="Times New Roman"/>
          <w:i/>
          <w:iCs/>
          <w:color w:val="000000" w:themeColor="text1"/>
          <w:sz w:val="24"/>
          <w:szCs w:val="24"/>
        </w:rPr>
        <w:t xml:space="preserve">‘Social class, identity and recognition: a </w:t>
      </w:r>
      <w:proofErr w:type="spellStart"/>
      <w:r w:rsidRPr="54B3E25C">
        <w:rPr>
          <w:rFonts w:ascii="Times New Roman" w:eastAsia="Times New Roman" w:hAnsi="Times New Roman" w:cs="Times New Roman"/>
          <w:i/>
          <w:iCs/>
          <w:color w:val="000000" w:themeColor="text1"/>
          <w:sz w:val="24"/>
          <w:szCs w:val="24"/>
        </w:rPr>
        <w:t>bourdieusian</w:t>
      </w:r>
      <w:proofErr w:type="spellEnd"/>
      <w:r w:rsidRPr="54B3E25C">
        <w:rPr>
          <w:rFonts w:ascii="Times New Roman" w:eastAsia="Times New Roman" w:hAnsi="Times New Roman" w:cs="Times New Roman"/>
          <w:i/>
          <w:iCs/>
          <w:color w:val="000000" w:themeColor="text1"/>
          <w:sz w:val="24"/>
          <w:szCs w:val="24"/>
        </w:rPr>
        <w:t xml:space="preserve"> critique of Charles Taylor’</w:t>
      </w:r>
      <w:r w:rsidRPr="54B3E25C">
        <w:rPr>
          <w:rFonts w:ascii="Times New Roman" w:eastAsia="Times New Roman" w:hAnsi="Times New Roman" w:cs="Times New Roman"/>
          <w:color w:val="000000" w:themeColor="text1"/>
          <w:sz w:val="24"/>
          <w:szCs w:val="24"/>
        </w:rPr>
        <w:t xml:space="preserve">, </w:t>
      </w:r>
      <w:proofErr w:type="spellStart"/>
      <w:r w:rsidRPr="54B3E25C">
        <w:rPr>
          <w:rFonts w:ascii="Times New Roman" w:eastAsia="Times New Roman" w:hAnsi="Times New Roman" w:cs="Times New Roman"/>
          <w:color w:val="000000" w:themeColor="text1"/>
          <w:sz w:val="24"/>
          <w:szCs w:val="24"/>
        </w:rPr>
        <w:t>Mediações</w:t>
      </w:r>
      <w:proofErr w:type="spellEnd"/>
      <w:r w:rsidRPr="54B3E25C">
        <w:rPr>
          <w:rFonts w:ascii="Times New Roman" w:eastAsia="Times New Roman" w:hAnsi="Times New Roman" w:cs="Times New Roman"/>
          <w:color w:val="000000" w:themeColor="text1"/>
          <w:sz w:val="24"/>
          <w:szCs w:val="24"/>
        </w:rPr>
        <w:t xml:space="preserve">: </w:t>
      </w:r>
      <w:proofErr w:type="spellStart"/>
      <w:r w:rsidRPr="54B3E25C">
        <w:rPr>
          <w:rFonts w:ascii="Times New Roman" w:eastAsia="Times New Roman" w:hAnsi="Times New Roman" w:cs="Times New Roman"/>
          <w:color w:val="000000" w:themeColor="text1"/>
          <w:sz w:val="24"/>
          <w:szCs w:val="24"/>
        </w:rPr>
        <w:t>Revista</w:t>
      </w:r>
      <w:proofErr w:type="spellEnd"/>
      <w:r w:rsidRPr="54B3E25C">
        <w:rPr>
          <w:rFonts w:ascii="Times New Roman" w:eastAsia="Times New Roman" w:hAnsi="Times New Roman" w:cs="Times New Roman"/>
          <w:color w:val="000000" w:themeColor="text1"/>
          <w:sz w:val="24"/>
          <w:szCs w:val="24"/>
        </w:rPr>
        <w:t xml:space="preserve"> de </w:t>
      </w:r>
      <w:proofErr w:type="spellStart"/>
      <w:r w:rsidRPr="54B3E25C">
        <w:rPr>
          <w:rFonts w:ascii="Times New Roman" w:eastAsia="Times New Roman" w:hAnsi="Times New Roman" w:cs="Times New Roman"/>
          <w:color w:val="000000" w:themeColor="text1"/>
          <w:sz w:val="24"/>
          <w:szCs w:val="24"/>
        </w:rPr>
        <w:t>Ciências</w:t>
      </w:r>
      <w:proofErr w:type="spellEnd"/>
      <w:r w:rsidRPr="54B3E25C">
        <w:rPr>
          <w:rFonts w:ascii="Times New Roman" w:eastAsia="Times New Roman" w:hAnsi="Times New Roman" w:cs="Times New Roman"/>
          <w:color w:val="000000" w:themeColor="text1"/>
          <w:sz w:val="24"/>
          <w:szCs w:val="24"/>
        </w:rPr>
        <w:t xml:space="preserve"> </w:t>
      </w:r>
      <w:proofErr w:type="spellStart"/>
      <w:r w:rsidRPr="54B3E25C">
        <w:rPr>
          <w:rFonts w:ascii="Times New Roman" w:eastAsia="Times New Roman" w:hAnsi="Times New Roman" w:cs="Times New Roman"/>
          <w:color w:val="000000" w:themeColor="text1"/>
          <w:sz w:val="24"/>
          <w:szCs w:val="24"/>
        </w:rPr>
        <w:t>Sociais</w:t>
      </w:r>
      <w:proofErr w:type="spellEnd"/>
      <w:r w:rsidRPr="54B3E25C">
        <w:rPr>
          <w:rFonts w:ascii="Times New Roman" w:eastAsia="Times New Roman" w:hAnsi="Times New Roman" w:cs="Times New Roman"/>
          <w:color w:val="000000" w:themeColor="text1"/>
          <w:sz w:val="24"/>
          <w:szCs w:val="24"/>
        </w:rPr>
        <w:t>, 16 (2), pp. 266-278</w:t>
      </w:r>
    </w:p>
    <w:sectPr w:rsidR="54B3E25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CE2510" w14:textId="77777777" w:rsidR="009F441E" w:rsidRDefault="009F441E">
      <w:pPr>
        <w:spacing w:after="0" w:line="240" w:lineRule="auto"/>
      </w:pPr>
      <w:r>
        <w:separator/>
      </w:r>
    </w:p>
  </w:endnote>
  <w:endnote w:type="continuationSeparator" w:id="0">
    <w:p w14:paraId="406D13EC" w14:textId="77777777" w:rsidR="009F441E" w:rsidRDefault="009F4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4B3E25C" w14:paraId="49944C8F" w14:textId="77777777" w:rsidTr="54B3E25C">
      <w:tc>
        <w:tcPr>
          <w:tcW w:w="3009" w:type="dxa"/>
        </w:tcPr>
        <w:p w14:paraId="4881F396" w14:textId="46E331FC" w:rsidR="54B3E25C" w:rsidRDefault="54B3E25C" w:rsidP="54B3E25C">
          <w:pPr>
            <w:pStyle w:val="Header"/>
            <w:ind w:left="-115"/>
          </w:pPr>
        </w:p>
      </w:tc>
      <w:tc>
        <w:tcPr>
          <w:tcW w:w="3009" w:type="dxa"/>
        </w:tcPr>
        <w:p w14:paraId="75CB2A15" w14:textId="67B3C8EE" w:rsidR="54B3E25C" w:rsidRDefault="54B3E25C" w:rsidP="54B3E25C">
          <w:pPr>
            <w:pStyle w:val="Header"/>
            <w:jc w:val="center"/>
          </w:pPr>
        </w:p>
      </w:tc>
      <w:tc>
        <w:tcPr>
          <w:tcW w:w="3009" w:type="dxa"/>
        </w:tcPr>
        <w:p w14:paraId="085027AC" w14:textId="2921682D" w:rsidR="54B3E25C" w:rsidRDefault="54B3E25C" w:rsidP="54B3E25C">
          <w:pPr>
            <w:pStyle w:val="Header"/>
            <w:ind w:right="-115"/>
            <w:jc w:val="right"/>
          </w:pPr>
        </w:p>
      </w:tc>
    </w:tr>
  </w:tbl>
  <w:p w14:paraId="4B93BE95" w14:textId="46709265" w:rsidR="54B3E25C" w:rsidRDefault="54B3E25C" w:rsidP="54B3E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C587C3" w14:textId="77777777" w:rsidR="009F441E" w:rsidRDefault="009F441E">
      <w:pPr>
        <w:spacing w:after="0" w:line="240" w:lineRule="auto"/>
      </w:pPr>
      <w:r>
        <w:separator/>
      </w:r>
    </w:p>
  </w:footnote>
  <w:footnote w:type="continuationSeparator" w:id="0">
    <w:p w14:paraId="095E9CA2" w14:textId="77777777" w:rsidR="009F441E" w:rsidRDefault="009F4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4B3E25C" w14:paraId="65665DA4" w14:textId="77777777" w:rsidTr="54B3E25C">
      <w:tc>
        <w:tcPr>
          <w:tcW w:w="3009" w:type="dxa"/>
        </w:tcPr>
        <w:p w14:paraId="75EDE96E" w14:textId="236BC936" w:rsidR="54B3E25C" w:rsidRDefault="54B3E25C" w:rsidP="54B3E25C">
          <w:pPr>
            <w:pStyle w:val="Header"/>
            <w:ind w:left="-115"/>
          </w:pPr>
        </w:p>
      </w:tc>
      <w:tc>
        <w:tcPr>
          <w:tcW w:w="3009" w:type="dxa"/>
        </w:tcPr>
        <w:p w14:paraId="19A626C7" w14:textId="66898D7B" w:rsidR="54B3E25C" w:rsidRDefault="54B3E25C" w:rsidP="54B3E25C">
          <w:pPr>
            <w:pStyle w:val="Header"/>
            <w:jc w:val="center"/>
          </w:pPr>
        </w:p>
      </w:tc>
      <w:tc>
        <w:tcPr>
          <w:tcW w:w="3009" w:type="dxa"/>
        </w:tcPr>
        <w:p w14:paraId="0C18F798" w14:textId="2A745520" w:rsidR="54B3E25C" w:rsidRDefault="54B3E25C" w:rsidP="54B3E25C">
          <w:pPr>
            <w:pStyle w:val="Header"/>
            <w:ind w:right="-115"/>
            <w:jc w:val="right"/>
          </w:pPr>
        </w:p>
      </w:tc>
    </w:tr>
  </w:tbl>
  <w:p w14:paraId="37A4B3D3" w14:textId="21896EAE" w:rsidR="54B3E25C" w:rsidRDefault="54B3E25C" w:rsidP="54B3E2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1A6ADC"/>
    <w:multiLevelType w:val="hybridMultilevel"/>
    <w:tmpl w:val="A6D4C3F8"/>
    <w:lvl w:ilvl="0" w:tplc="B8C4DA5E">
      <w:start w:val="1"/>
      <w:numFmt w:val="bullet"/>
      <w:lvlText w:val=""/>
      <w:lvlJc w:val="left"/>
      <w:pPr>
        <w:ind w:left="720" w:hanging="360"/>
      </w:pPr>
      <w:rPr>
        <w:rFonts w:ascii="Symbol" w:hAnsi="Symbol" w:hint="default"/>
      </w:rPr>
    </w:lvl>
    <w:lvl w:ilvl="1" w:tplc="D6A05FC6">
      <w:start w:val="1"/>
      <w:numFmt w:val="bullet"/>
      <w:lvlText w:val="o"/>
      <w:lvlJc w:val="left"/>
      <w:pPr>
        <w:ind w:left="1440" w:hanging="360"/>
      </w:pPr>
      <w:rPr>
        <w:rFonts w:ascii="Courier New" w:hAnsi="Courier New" w:hint="default"/>
      </w:rPr>
    </w:lvl>
    <w:lvl w:ilvl="2" w:tplc="AFCA4D0A">
      <w:start w:val="1"/>
      <w:numFmt w:val="bullet"/>
      <w:lvlText w:val=""/>
      <w:lvlJc w:val="left"/>
      <w:pPr>
        <w:ind w:left="2160" w:hanging="360"/>
      </w:pPr>
      <w:rPr>
        <w:rFonts w:ascii="Wingdings" w:hAnsi="Wingdings" w:hint="default"/>
      </w:rPr>
    </w:lvl>
    <w:lvl w:ilvl="3" w:tplc="07743266">
      <w:start w:val="1"/>
      <w:numFmt w:val="bullet"/>
      <w:lvlText w:val=""/>
      <w:lvlJc w:val="left"/>
      <w:pPr>
        <w:ind w:left="2880" w:hanging="360"/>
      </w:pPr>
      <w:rPr>
        <w:rFonts w:ascii="Symbol" w:hAnsi="Symbol" w:hint="default"/>
      </w:rPr>
    </w:lvl>
    <w:lvl w:ilvl="4" w:tplc="D8A4B3E2">
      <w:start w:val="1"/>
      <w:numFmt w:val="bullet"/>
      <w:lvlText w:val="o"/>
      <w:lvlJc w:val="left"/>
      <w:pPr>
        <w:ind w:left="3600" w:hanging="360"/>
      </w:pPr>
      <w:rPr>
        <w:rFonts w:ascii="Courier New" w:hAnsi="Courier New" w:hint="default"/>
      </w:rPr>
    </w:lvl>
    <w:lvl w:ilvl="5" w:tplc="63A4E7C0">
      <w:start w:val="1"/>
      <w:numFmt w:val="bullet"/>
      <w:lvlText w:val=""/>
      <w:lvlJc w:val="left"/>
      <w:pPr>
        <w:ind w:left="4320" w:hanging="360"/>
      </w:pPr>
      <w:rPr>
        <w:rFonts w:ascii="Wingdings" w:hAnsi="Wingdings" w:hint="default"/>
      </w:rPr>
    </w:lvl>
    <w:lvl w:ilvl="6" w:tplc="4AFC3E0C">
      <w:start w:val="1"/>
      <w:numFmt w:val="bullet"/>
      <w:lvlText w:val=""/>
      <w:lvlJc w:val="left"/>
      <w:pPr>
        <w:ind w:left="5040" w:hanging="360"/>
      </w:pPr>
      <w:rPr>
        <w:rFonts w:ascii="Symbol" w:hAnsi="Symbol" w:hint="default"/>
      </w:rPr>
    </w:lvl>
    <w:lvl w:ilvl="7" w:tplc="DA5C86A2">
      <w:start w:val="1"/>
      <w:numFmt w:val="bullet"/>
      <w:lvlText w:val="o"/>
      <w:lvlJc w:val="left"/>
      <w:pPr>
        <w:ind w:left="5760" w:hanging="360"/>
      </w:pPr>
      <w:rPr>
        <w:rFonts w:ascii="Courier New" w:hAnsi="Courier New" w:hint="default"/>
      </w:rPr>
    </w:lvl>
    <w:lvl w:ilvl="8" w:tplc="74EE4DE6">
      <w:start w:val="1"/>
      <w:numFmt w:val="bullet"/>
      <w:lvlText w:val=""/>
      <w:lvlJc w:val="left"/>
      <w:pPr>
        <w:ind w:left="6480" w:hanging="360"/>
      </w:pPr>
      <w:rPr>
        <w:rFonts w:ascii="Wingdings" w:hAnsi="Wingdings" w:hint="default"/>
      </w:rPr>
    </w:lvl>
  </w:abstractNum>
  <w:abstractNum w:abstractNumId="1" w15:restartNumberingAfterBreak="0">
    <w:nsid w:val="458843D4"/>
    <w:multiLevelType w:val="hybridMultilevel"/>
    <w:tmpl w:val="9ED26BC0"/>
    <w:lvl w:ilvl="0" w:tplc="0A666B14">
      <w:start w:val="1"/>
      <w:numFmt w:val="decimal"/>
      <w:lvlText w:val="%1."/>
      <w:lvlJc w:val="left"/>
      <w:pPr>
        <w:ind w:left="720" w:hanging="360"/>
      </w:pPr>
    </w:lvl>
    <w:lvl w:ilvl="1" w:tplc="4792FC78">
      <w:start w:val="1"/>
      <w:numFmt w:val="lowerLetter"/>
      <w:lvlText w:val="%2."/>
      <w:lvlJc w:val="left"/>
      <w:pPr>
        <w:ind w:left="1440" w:hanging="360"/>
      </w:pPr>
    </w:lvl>
    <w:lvl w:ilvl="2" w:tplc="41D04E2E">
      <w:start w:val="1"/>
      <w:numFmt w:val="lowerRoman"/>
      <w:lvlText w:val="%3."/>
      <w:lvlJc w:val="right"/>
      <w:pPr>
        <w:ind w:left="2160" w:hanging="180"/>
      </w:pPr>
    </w:lvl>
    <w:lvl w:ilvl="3" w:tplc="C87CBCD0">
      <w:start w:val="1"/>
      <w:numFmt w:val="decimal"/>
      <w:lvlText w:val="%4."/>
      <w:lvlJc w:val="left"/>
      <w:pPr>
        <w:ind w:left="2880" w:hanging="360"/>
      </w:pPr>
    </w:lvl>
    <w:lvl w:ilvl="4" w:tplc="F766C3CC">
      <w:start w:val="1"/>
      <w:numFmt w:val="lowerLetter"/>
      <w:lvlText w:val="%5."/>
      <w:lvlJc w:val="left"/>
      <w:pPr>
        <w:ind w:left="3600" w:hanging="360"/>
      </w:pPr>
    </w:lvl>
    <w:lvl w:ilvl="5" w:tplc="0E46F220">
      <w:start w:val="1"/>
      <w:numFmt w:val="lowerRoman"/>
      <w:lvlText w:val="%6."/>
      <w:lvlJc w:val="right"/>
      <w:pPr>
        <w:ind w:left="4320" w:hanging="180"/>
      </w:pPr>
    </w:lvl>
    <w:lvl w:ilvl="6" w:tplc="5AFAA8D6">
      <w:start w:val="1"/>
      <w:numFmt w:val="decimal"/>
      <w:lvlText w:val="%7."/>
      <w:lvlJc w:val="left"/>
      <w:pPr>
        <w:ind w:left="5040" w:hanging="360"/>
      </w:pPr>
    </w:lvl>
    <w:lvl w:ilvl="7" w:tplc="9EA22BBC">
      <w:start w:val="1"/>
      <w:numFmt w:val="lowerLetter"/>
      <w:lvlText w:val="%8."/>
      <w:lvlJc w:val="left"/>
      <w:pPr>
        <w:ind w:left="5760" w:hanging="360"/>
      </w:pPr>
    </w:lvl>
    <w:lvl w:ilvl="8" w:tplc="362A49D2">
      <w:start w:val="1"/>
      <w:numFmt w:val="lowerRoman"/>
      <w:lvlText w:val="%9."/>
      <w:lvlJc w:val="right"/>
      <w:pPr>
        <w:ind w:left="6480" w:hanging="180"/>
      </w:pPr>
    </w:lvl>
  </w:abstractNum>
  <w:abstractNum w:abstractNumId="2" w15:restartNumberingAfterBreak="0">
    <w:nsid w:val="646A0C10"/>
    <w:multiLevelType w:val="hybridMultilevel"/>
    <w:tmpl w:val="EC262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333AA8"/>
    <w:multiLevelType w:val="hybridMultilevel"/>
    <w:tmpl w:val="E4E4C0EC"/>
    <w:lvl w:ilvl="0" w:tplc="C198999C">
      <w:start w:val="1"/>
      <w:numFmt w:val="decimal"/>
      <w:lvlText w:val="%1."/>
      <w:lvlJc w:val="left"/>
      <w:pPr>
        <w:ind w:left="720" w:hanging="360"/>
      </w:pPr>
    </w:lvl>
    <w:lvl w:ilvl="1" w:tplc="64A20FA2">
      <w:start w:val="1"/>
      <w:numFmt w:val="lowerLetter"/>
      <w:lvlText w:val="%2."/>
      <w:lvlJc w:val="left"/>
      <w:pPr>
        <w:ind w:left="1440" w:hanging="360"/>
      </w:pPr>
    </w:lvl>
    <w:lvl w:ilvl="2" w:tplc="2280F38E">
      <w:start w:val="1"/>
      <w:numFmt w:val="lowerRoman"/>
      <w:lvlText w:val="%3."/>
      <w:lvlJc w:val="right"/>
      <w:pPr>
        <w:ind w:left="2160" w:hanging="180"/>
      </w:pPr>
    </w:lvl>
    <w:lvl w:ilvl="3" w:tplc="23328378">
      <w:start w:val="1"/>
      <w:numFmt w:val="decimal"/>
      <w:lvlText w:val="%4."/>
      <w:lvlJc w:val="left"/>
      <w:pPr>
        <w:ind w:left="2880" w:hanging="360"/>
      </w:pPr>
    </w:lvl>
    <w:lvl w:ilvl="4" w:tplc="3830D082">
      <w:start w:val="1"/>
      <w:numFmt w:val="lowerLetter"/>
      <w:lvlText w:val="%5."/>
      <w:lvlJc w:val="left"/>
      <w:pPr>
        <w:ind w:left="3600" w:hanging="360"/>
      </w:pPr>
    </w:lvl>
    <w:lvl w:ilvl="5" w:tplc="AECA1458">
      <w:start w:val="1"/>
      <w:numFmt w:val="lowerRoman"/>
      <w:lvlText w:val="%6."/>
      <w:lvlJc w:val="right"/>
      <w:pPr>
        <w:ind w:left="4320" w:hanging="180"/>
      </w:pPr>
    </w:lvl>
    <w:lvl w:ilvl="6" w:tplc="B13E3D60">
      <w:start w:val="1"/>
      <w:numFmt w:val="decimal"/>
      <w:lvlText w:val="%7."/>
      <w:lvlJc w:val="left"/>
      <w:pPr>
        <w:ind w:left="5040" w:hanging="360"/>
      </w:pPr>
    </w:lvl>
    <w:lvl w:ilvl="7" w:tplc="0F7A299C">
      <w:start w:val="1"/>
      <w:numFmt w:val="lowerLetter"/>
      <w:lvlText w:val="%8."/>
      <w:lvlJc w:val="left"/>
      <w:pPr>
        <w:ind w:left="5760" w:hanging="360"/>
      </w:pPr>
    </w:lvl>
    <w:lvl w:ilvl="8" w:tplc="A9D2840E">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B93"/>
    <w:rsid w:val="00041381"/>
    <w:rsid w:val="00083668"/>
    <w:rsid w:val="000B3FA7"/>
    <w:rsid w:val="000F68AD"/>
    <w:rsid w:val="000F7DB8"/>
    <w:rsid w:val="00131185"/>
    <w:rsid w:val="00172A13"/>
    <w:rsid w:val="001A083D"/>
    <w:rsid w:val="001B3687"/>
    <w:rsid w:val="001D32A1"/>
    <w:rsid w:val="001D521D"/>
    <w:rsid w:val="001F073C"/>
    <w:rsid w:val="00225212"/>
    <w:rsid w:val="0025473F"/>
    <w:rsid w:val="0029119E"/>
    <w:rsid w:val="002975A7"/>
    <w:rsid w:val="00350B73"/>
    <w:rsid w:val="00366E63"/>
    <w:rsid w:val="00384ECC"/>
    <w:rsid w:val="003E07E5"/>
    <w:rsid w:val="003E6663"/>
    <w:rsid w:val="003F67E9"/>
    <w:rsid w:val="00422646"/>
    <w:rsid w:val="004443A5"/>
    <w:rsid w:val="0044687E"/>
    <w:rsid w:val="00453664"/>
    <w:rsid w:val="00454295"/>
    <w:rsid w:val="00476A69"/>
    <w:rsid w:val="00486500"/>
    <w:rsid w:val="004C54FA"/>
    <w:rsid w:val="004F2144"/>
    <w:rsid w:val="0052336A"/>
    <w:rsid w:val="00527F37"/>
    <w:rsid w:val="005830FF"/>
    <w:rsid w:val="00584229"/>
    <w:rsid w:val="00602B93"/>
    <w:rsid w:val="00613B1F"/>
    <w:rsid w:val="006338F2"/>
    <w:rsid w:val="00655909"/>
    <w:rsid w:val="006C138E"/>
    <w:rsid w:val="006D39C2"/>
    <w:rsid w:val="006E2D09"/>
    <w:rsid w:val="006E40B9"/>
    <w:rsid w:val="006F2CE6"/>
    <w:rsid w:val="00715F1A"/>
    <w:rsid w:val="007A19DD"/>
    <w:rsid w:val="007D5924"/>
    <w:rsid w:val="00800DDA"/>
    <w:rsid w:val="00823197"/>
    <w:rsid w:val="008679B1"/>
    <w:rsid w:val="00877CFE"/>
    <w:rsid w:val="00880E88"/>
    <w:rsid w:val="00884A2A"/>
    <w:rsid w:val="008C5778"/>
    <w:rsid w:val="008E4E1D"/>
    <w:rsid w:val="00941F02"/>
    <w:rsid w:val="009727E7"/>
    <w:rsid w:val="00991E03"/>
    <w:rsid w:val="009E08D0"/>
    <w:rsid w:val="009F441E"/>
    <w:rsid w:val="009F5393"/>
    <w:rsid w:val="00A057DA"/>
    <w:rsid w:val="00A41870"/>
    <w:rsid w:val="00A80BE8"/>
    <w:rsid w:val="00AF3E14"/>
    <w:rsid w:val="00B60A13"/>
    <w:rsid w:val="00B662C1"/>
    <w:rsid w:val="00B7311E"/>
    <w:rsid w:val="00B77259"/>
    <w:rsid w:val="00BB32A9"/>
    <w:rsid w:val="00BB4C3A"/>
    <w:rsid w:val="00BD03C5"/>
    <w:rsid w:val="00BE22DC"/>
    <w:rsid w:val="00C216F5"/>
    <w:rsid w:val="00C77075"/>
    <w:rsid w:val="00CA5732"/>
    <w:rsid w:val="00CC5995"/>
    <w:rsid w:val="00CC661C"/>
    <w:rsid w:val="00CF2B92"/>
    <w:rsid w:val="00CF4334"/>
    <w:rsid w:val="00D043AB"/>
    <w:rsid w:val="00D27673"/>
    <w:rsid w:val="00E13B14"/>
    <w:rsid w:val="00E80CF1"/>
    <w:rsid w:val="00E96924"/>
    <w:rsid w:val="00E97D54"/>
    <w:rsid w:val="00EA7733"/>
    <w:rsid w:val="00EE62B2"/>
    <w:rsid w:val="00F15BB7"/>
    <w:rsid w:val="00F46FE1"/>
    <w:rsid w:val="00F527CE"/>
    <w:rsid w:val="00F91A07"/>
    <w:rsid w:val="00FB7E54"/>
    <w:rsid w:val="00FD1D0F"/>
    <w:rsid w:val="00FE26F9"/>
    <w:rsid w:val="00FE40D9"/>
    <w:rsid w:val="252DA4C1"/>
    <w:rsid w:val="3D81C607"/>
    <w:rsid w:val="54B3E25C"/>
    <w:rsid w:val="7562B9E2"/>
    <w:rsid w:val="7D82B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2A166"/>
  <w15:chartTrackingRefBased/>
  <w15:docId w15:val="{AEFC660E-B6A3-4075-AA00-15794BA52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02B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02B93"/>
  </w:style>
  <w:style w:type="character" w:customStyle="1" w:styleId="eop">
    <w:name w:val="eop"/>
    <w:basedOn w:val="DefaultParagraphFont"/>
    <w:rsid w:val="00602B93"/>
  </w:style>
  <w:style w:type="character" w:customStyle="1" w:styleId="contextualspellingandgrammarerror">
    <w:name w:val="contextualspellingandgrammarerror"/>
    <w:basedOn w:val="DefaultParagraphFont"/>
    <w:rsid w:val="00602B93"/>
  </w:style>
  <w:style w:type="character" w:customStyle="1" w:styleId="spellingerror">
    <w:name w:val="spellingerror"/>
    <w:basedOn w:val="DefaultParagraphFont"/>
    <w:rsid w:val="00602B93"/>
  </w:style>
  <w:style w:type="character" w:customStyle="1" w:styleId="citationref">
    <w:name w:val="citationref"/>
    <w:basedOn w:val="DefaultParagraphFont"/>
    <w:rsid w:val="00366E63"/>
  </w:style>
  <w:style w:type="character" w:styleId="Hyperlink">
    <w:name w:val="Hyperlink"/>
    <w:basedOn w:val="DefaultParagraphFont"/>
    <w:uiPriority w:val="99"/>
    <w:semiHidden/>
    <w:unhideWhenUsed/>
    <w:rsid w:val="00366E63"/>
    <w:rPr>
      <w:color w:val="0000FF"/>
      <w:u w:val="single"/>
    </w:rPr>
  </w:style>
  <w:style w:type="paragraph" w:styleId="ListParagraph">
    <w:name w:val="List Paragraph"/>
    <w:basedOn w:val="Normal"/>
    <w:uiPriority w:val="34"/>
    <w:qFormat/>
    <w:rsid w:val="00880E8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2431242">
      <w:bodyDiv w:val="1"/>
      <w:marLeft w:val="0"/>
      <w:marRight w:val="0"/>
      <w:marTop w:val="0"/>
      <w:marBottom w:val="0"/>
      <w:divBdr>
        <w:top w:val="none" w:sz="0" w:space="0" w:color="auto"/>
        <w:left w:val="none" w:sz="0" w:space="0" w:color="auto"/>
        <w:bottom w:val="none" w:sz="0" w:space="0" w:color="auto"/>
        <w:right w:val="none" w:sz="0" w:space="0" w:color="auto"/>
      </w:divBdr>
      <w:divsChild>
        <w:div w:id="899436093">
          <w:marLeft w:val="0"/>
          <w:marRight w:val="0"/>
          <w:marTop w:val="0"/>
          <w:marBottom w:val="0"/>
          <w:divBdr>
            <w:top w:val="none" w:sz="0" w:space="0" w:color="auto"/>
            <w:left w:val="none" w:sz="0" w:space="0" w:color="auto"/>
            <w:bottom w:val="none" w:sz="0" w:space="0" w:color="auto"/>
            <w:right w:val="none" w:sz="0" w:space="0" w:color="auto"/>
          </w:divBdr>
        </w:div>
        <w:div w:id="166671859">
          <w:marLeft w:val="0"/>
          <w:marRight w:val="0"/>
          <w:marTop w:val="0"/>
          <w:marBottom w:val="0"/>
          <w:divBdr>
            <w:top w:val="none" w:sz="0" w:space="0" w:color="auto"/>
            <w:left w:val="none" w:sz="0" w:space="0" w:color="auto"/>
            <w:bottom w:val="none" w:sz="0" w:space="0" w:color="auto"/>
            <w:right w:val="none" w:sz="0" w:space="0" w:color="auto"/>
          </w:divBdr>
        </w:div>
      </w:divsChild>
    </w:div>
    <w:div w:id="1362124283">
      <w:bodyDiv w:val="1"/>
      <w:marLeft w:val="0"/>
      <w:marRight w:val="0"/>
      <w:marTop w:val="0"/>
      <w:marBottom w:val="0"/>
      <w:divBdr>
        <w:top w:val="none" w:sz="0" w:space="0" w:color="auto"/>
        <w:left w:val="none" w:sz="0" w:space="0" w:color="auto"/>
        <w:bottom w:val="none" w:sz="0" w:space="0" w:color="auto"/>
        <w:right w:val="none" w:sz="0" w:space="0" w:color="auto"/>
      </w:divBdr>
      <w:divsChild>
        <w:div w:id="549806821">
          <w:marLeft w:val="0"/>
          <w:marRight w:val="0"/>
          <w:marTop w:val="0"/>
          <w:marBottom w:val="0"/>
          <w:divBdr>
            <w:top w:val="none" w:sz="0" w:space="0" w:color="auto"/>
            <w:left w:val="none" w:sz="0" w:space="0" w:color="auto"/>
            <w:bottom w:val="none" w:sz="0" w:space="0" w:color="auto"/>
            <w:right w:val="none" w:sz="0" w:space="0" w:color="auto"/>
          </w:divBdr>
        </w:div>
        <w:div w:id="363672774">
          <w:marLeft w:val="0"/>
          <w:marRight w:val="0"/>
          <w:marTop w:val="0"/>
          <w:marBottom w:val="0"/>
          <w:divBdr>
            <w:top w:val="none" w:sz="0" w:space="0" w:color="auto"/>
            <w:left w:val="none" w:sz="0" w:space="0" w:color="auto"/>
            <w:bottom w:val="none" w:sz="0" w:space="0" w:color="auto"/>
            <w:right w:val="none" w:sz="0" w:space="0" w:color="auto"/>
          </w:divBdr>
        </w:div>
        <w:div w:id="911621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2Fs10691-016-9332-x" TargetMode="External"/><Relationship Id="rId13" Type="http://schemas.openxmlformats.org/officeDocument/2006/relationships/hyperlink" Target="https://www-sciencedirect-com.ezproxy.uwtsd.ac.uk/science/journal/0742051X" TargetMode="External"/><Relationship Id="rId18" Type="http://schemas.openxmlformats.org/officeDocument/2006/relationships/hyperlink" Target="http://www.equalrightstrust.org/ertdocumentbank/case%20note.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eginfo.legislature.ca.gov/faces/billNavClient.xhtml?bill_id=201120120SB1172" TargetMode="External"/><Relationship Id="rId7" Type="http://schemas.openxmlformats.org/officeDocument/2006/relationships/hyperlink" Target="https://web-a-ebscohost-com.ezproxy.uwtsd.ac.uk/ehost/detail/detail?vid=0&amp;sid=185a2e46-63d0-42d3-9391-b24eb86a67b8%40sdc-v-sessmgr06&amp;bdata=JnNpdGU9ZWhvc3QtbGl2ZQ%3d%3d" TargetMode="External"/><Relationship Id="rId12" Type="http://schemas.openxmlformats.org/officeDocument/2006/relationships/hyperlink" Target="https://search-proquest-com.ezproxy.uwtsd.ac.uk/indexingvolumeissuelinkhandler/35547/Canadian+Journal+of+Psychiatry/02011Y01Y01$23Jan+2011$3b++Vol.+56+$281$29/56/1?accountid=130472" TargetMode="External"/><Relationship Id="rId17" Type="http://schemas.openxmlformats.org/officeDocument/2006/relationships/hyperlink" Target="https://www.ncbi.nlm.nih.gov/pmc/articles/PMC253365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hel-primo.hosted.exlibrisgroup.com/primo-explore/fulldisplay?docid=TN_hus_110221663&amp;context=Ebsco&amp;vid=44WHELF_UWTSD_VU1&amp;lang=en_US&amp;search_scope=CSCOP_EVERYTHING&amp;adaptor=44WHELF_UWTSD_Ebsco&amp;tab=tab1&amp;query=any,contains,sexual%20identity%20counselling&amp;sortby=rank&amp;offset=0" TargetMode="External"/><Relationship Id="rId20" Type="http://schemas.openxmlformats.org/officeDocument/2006/relationships/hyperlink" Target="https://link.springer.com/journal/10691/24/3/page/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pubidlinkhandler/sng/pubtitle/Canadian+Journal+of+Psychiatry/$N/35547/PagePdf/853891766/fulltextPDF/C800DBF739F640A7PQ/1?accountid=130472"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oas.org/en/iachr/lgtbi/docs/Annex-Registry-Violence-LGBTI.pdf" TargetMode="External"/><Relationship Id="rId23" Type="http://schemas.openxmlformats.org/officeDocument/2006/relationships/hyperlink" Target="https://www-sciencedirect-com.ezproxy.uwtsd.ac.uk/science/journal/07383991/86/3" TargetMode="External"/><Relationship Id="rId10" Type="http://schemas.openxmlformats.org/officeDocument/2006/relationships/hyperlink" Target="http://www.apa.org/pi/lgbt/resources/guidelines.aspx" TargetMode="External"/><Relationship Id="rId19" Type="http://schemas.openxmlformats.org/officeDocument/2006/relationships/hyperlink" Target="https://link.springer.com/journal/10691" TargetMode="External"/><Relationship Id="rId4" Type="http://schemas.openxmlformats.org/officeDocument/2006/relationships/webSettings" Target="webSettings.xml"/><Relationship Id="rId9" Type="http://schemas.openxmlformats.org/officeDocument/2006/relationships/hyperlink" Target="https://link.springer.com/article/10.1007%2Fs10691-016-9332-x" TargetMode="External"/><Relationship Id="rId14" Type="http://schemas.openxmlformats.org/officeDocument/2006/relationships/hyperlink" Target="https://papers.ssrn.com/sol3/papers.cfm?abstract_id=1701077" TargetMode="External"/><Relationship Id="rId22" Type="http://schemas.openxmlformats.org/officeDocument/2006/relationships/hyperlink" Target="https://www-sciencedirect-com.ezproxy.uwtsd.ac.uk/science/journal/0738399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3953</Words>
  <Characters>22536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dc:creator>
  <cp:keywords/>
  <dc:description/>
  <cp:lastModifiedBy>Laura Warren (1803506)</cp:lastModifiedBy>
  <cp:revision>85</cp:revision>
  <dcterms:created xsi:type="dcterms:W3CDTF">2019-01-14T19:18:00Z</dcterms:created>
  <dcterms:modified xsi:type="dcterms:W3CDTF">2019-01-22T20:41:00Z</dcterms:modified>
</cp:coreProperties>
</file>