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7519826"/>
        <w:docPartObj>
          <w:docPartGallery w:val="Cover Pages"/>
          <w:docPartUnique/>
        </w:docPartObj>
      </w:sdtPr>
      <w:sdtEndPr>
        <w:rPr>
          <w:rFonts w:asciiTheme="minorHAnsi" w:hAnsiTheme="minorHAnsi" w:cstheme="minorHAnsi"/>
        </w:rPr>
      </w:sdtEndPr>
      <w:sdtContent>
        <w:p w14:paraId="63863C39" w14:textId="36391E9C" w:rsidR="00335A98" w:rsidRDefault="00335A98">
          <w:r>
            <w:rPr>
              <w:noProof/>
            </w:rPr>
            <mc:AlternateContent>
              <mc:Choice Requires="wpg">
                <w:drawing>
                  <wp:anchor distT="0" distB="0" distL="114300" distR="114300" simplePos="0" relativeHeight="251659264" behindDoc="1" locked="0" layoutInCell="1" allowOverlap="1" wp14:anchorId="2FC15590" wp14:editId="26FC3CA5">
                    <wp:simplePos x="0" y="0"/>
                    <wp:positionH relativeFrom="page">
                      <wp:align>center</wp:align>
                    </wp:positionH>
                    <wp:positionV relativeFrom="page">
                      <wp:align>center</wp:align>
                    </wp:positionV>
                    <wp:extent cx="6864824" cy="9123528"/>
                    <wp:effectExtent l="0" t="0" r="2540" b="63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14C1DCA" w14:textId="77123628" w:rsidR="00335A98" w:rsidRDefault="00335A98">
                                      <w:pPr>
                                        <w:pStyle w:val="NoSpacing"/>
                                        <w:spacing w:before="120"/>
                                        <w:jc w:val="center"/>
                                        <w:rPr>
                                          <w:color w:val="FFFFFF" w:themeColor="background1"/>
                                        </w:rPr>
                                      </w:pPr>
                                      <w:r>
                                        <w:rPr>
                                          <w:color w:val="FFFFFF" w:themeColor="background1"/>
                                        </w:rPr>
                                        <w:t>Kimberley Collins (2223837)</w:t>
                                      </w:r>
                                    </w:p>
                                  </w:sdtContent>
                                </w:sdt>
                                <w:p w14:paraId="401FC2D2" w14:textId="40C95700" w:rsidR="00335A98" w:rsidRDefault="00BB5BA4">
                                  <w:pPr>
                                    <w:pStyle w:val="NoSpacing"/>
                                    <w:spacing w:before="120"/>
                                    <w:jc w:val="center"/>
                                    <w:rPr>
                                      <w:color w:val="FFFFFF" w:themeColor="background1"/>
                                    </w:rPr>
                                  </w:pPr>
                                  <w:r>
                                    <w:rPr>
                                      <w:caps/>
                                      <w:color w:val="FFFFFF" w:themeColor="background1"/>
                                    </w:rPr>
                                    <w:t>Policing terrorism: bmpl5011.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Arial" w:cstheme="minorHAnsi"/>
                                      <w:b/>
                                      <w:bCs/>
                                      <w:sz w:val="36"/>
                                      <w:szCs w:val="3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90D8DD1" w14:textId="344B0A7A" w:rsidR="00335A98" w:rsidRDefault="00335A98" w:rsidP="00335A98">
                                      <w:pPr>
                                        <w:pStyle w:val="NoSpacing"/>
                                        <w:jc w:val="center"/>
                                        <w:rPr>
                                          <w:rFonts w:asciiTheme="majorHAnsi" w:eastAsiaTheme="majorEastAsia" w:hAnsiTheme="majorHAnsi" w:cstheme="majorBidi"/>
                                          <w:caps/>
                                          <w:color w:val="4472C4" w:themeColor="accent1"/>
                                          <w:sz w:val="72"/>
                                          <w:szCs w:val="72"/>
                                        </w:rPr>
                                      </w:pPr>
                                      <w:r w:rsidRPr="00335A98">
                                        <w:rPr>
                                          <w:rFonts w:eastAsia="Arial" w:cstheme="minorHAnsi"/>
                                          <w:b/>
                                          <w:bCs/>
                                          <w:sz w:val="36"/>
                                          <w:szCs w:val="36"/>
                                          <w:u w:val="single"/>
                                        </w:rPr>
                                        <w:t>What motivates groups or individuals to engage in acts of terrorism? Answers should reference specific perpetrators and incidents as examples.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FC15590"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14C1DCA" w14:textId="77123628" w:rsidR="00335A98" w:rsidRDefault="00335A98">
                                <w:pPr>
                                  <w:pStyle w:val="NoSpacing"/>
                                  <w:spacing w:before="120"/>
                                  <w:jc w:val="center"/>
                                  <w:rPr>
                                    <w:color w:val="FFFFFF" w:themeColor="background1"/>
                                  </w:rPr>
                                </w:pPr>
                                <w:r>
                                  <w:rPr>
                                    <w:color w:val="FFFFFF" w:themeColor="background1"/>
                                  </w:rPr>
                                  <w:t>Kimberley Collins (2223837)</w:t>
                                </w:r>
                              </w:p>
                            </w:sdtContent>
                          </w:sdt>
                          <w:p w14:paraId="401FC2D2" w14:textId="40C95700" w:rsidR="00335A98" w:rsidRDefault="00BB5BA4">
                            <w:pPr>
                              <w:pStyle w:val="NoSpacing"/>
                              <w:spacing w:before="120"/>
                              <w:jc w:val="center"/>
                              <w:rPr>
                                <w:color w:val="FFFFFF" w:themeColor="background1"/>
                              </w:rPr>
                            </w:pPr>
                            <w:r>
                              <w:rPr>
                                <w:caps/>
                                <w:color w:val="FFFFFF" w:themeColor="background1"/>
                              </w:rPr>
                              <w:t>Policing terrorism: bmpl5011.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eastAsia="Arial" w:cstheme="minorHAnsi"/>
                                <w:b/>
                                <w:bCs/>
                                <w:sz w:val="36"/>
                                <w:szCs w:val="3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90D8DD1" w14:textId="344B0A7A" w:rsidR="00335A98" w:rsidRDefault="00335A98" w:rsidP="00335A98">
                                <w:pPr>
                                  <w:pStyle w:val="NoSpacing"/>
                                  <w:jc w:val="center"/>
                                  <w:rPr>
                                    <w:rFonts w:asciiTheme="majorHAnsi" w:eastAsiaTheme="majorEastAsia" w:hAnsiTheme="majorHAnsi" w:cstheme="majorBidi"/>
                                    <w:caps/>
                                    <w:color w:val="4472C4" w:themeColor="accent1"/>
                                    <w:sz w:val="72"/>
                                    <w:szCs w:val="72"/>
                                  </w:rPr>
                                </w:pPr>
                                <w:r w:rsidRPr="00335A98">
                                  <w:rPr>
                                    <w:rFonts w:eastAsia="Arial" w:cstheme="minorHAnsi"/>
                                    <w:b/>
                                    <w:bCs/>
                                    <w:sz w:val="36"/>
                                    <w:szCs w:val="36"/>
                                    <w:u w:val="single"/>
                                  </w:rPr>
                                  <w:t>What motivates groups or individuals to engage in acts of terrorism? Answers should reference specific perpetrators and incidents as examples.</w:t>
                                </w:r>
                              </w:p>
                            </w:sdtContent>
                          </w:sdt>
                        </w:txbxContent>
                      </v:textbox>
                    </v:shape>
                    <w10:wrap anchorx="page" anchory="page"/>
                  </v:group>
                </w:pict>
              </mc:Fallback>
            </mc:AlternateContent>
          </w:r>
        </w:p>
        <w:p w14:paraId="59330826" w14:textId="4F6FDC99" w:rsidR="00335A98" w:rsidRDefault="00335A98">
          <w:pPr>
            <w:rPr>
              <w:rFonts w:asciiTheme="minorHAnsi" w:hAnsiTheme="minorHAnsi" w:cstheme="minorHAnsi"/>
            </w:rPr>
          </w:pPr>
          <w:r>
            <w:rPr>
              <w:rFonts w:asciiTheme="minorHAnsi" w:hAnsiTheme="minorHAnsi" w:cstheme="minorHAnsi"/>
            </w:rPr>
            <w:br w:type="page"/>
          </w:r>
        </w:p>
      </w:sdtContent>
    </w:sdt>
    <w:p w14:paraId="3E1F4026" w14:textId="56DB7009" w:rsidR="00BB5BA4" w:rsidRPr="00AD660A" w:rsidRDefault="00AD660A" w:rsidP="000B518C">
      <w:pPr>
        <w:spacing w:line="360" w:lineRule="auto"/>
        <w:jc w:val="both"/>
        <w:rPr>
          <w:rFonts w:asciiTheme="minorHAnsi" w:hAnsiTheme="minorHAnsi" w:cstheme="minorHAnsi"/>
        </w:rPr>
      </w:pPr>
      <w:r w:rsidRPr="00AD660A">
        <w:rPr>
          <w:rFonts w:asciiTheme="minorHAnsi" w:hAnsiTheme="minorHAnsi" w:cstheme="minorHAnsi"/>
        </w:rPr>
        <w:lastRenderedPageBreak/>
        <w:t>Terrorism is a critical global challenge with far-reaching consequences</w:t>
      </w:r>
      <w:r w:rsidRPr="00AD660A">
        <w:rPr>
          <w:rFonts w:asciiTheme="minorHAnsi" w:hAnsiTheme="minorHAnsi" w:cstheme="minorHAnsi"/>
        </w:rPr>
        <w:t xml:space="preserve"> </w:t>
      </w:r>
      <w:r w:rsidRPr="00AD660A">
        <w:rPr>
          <w:rFonts w:asciiTheme="minorHAnsi" w:hAnsiTheme="minorHAnsi" w:cstheme="minorHAnsi"/>
          <w:color w:val="000000" w:themeColor="text1"/>
        </w:rPr>
        <w:t>(Crenshaw, 1981)</w:t>
      </w:r>
      <w:r w:rsidRPr="00AD660A">
        <w:rPr>
          <w:rFonts w:asciiTheme="minorHAnsi" w:hAnsiTheme="minorHAnsi" w:cstheme="minorHAnsi"/>
        </w:rPr>
        <w:t>. It encompasses various motivations, including political grievances, ideological fervo</w:t>
      </w:r>
      <w:r w:rsidRPr="00AD660A">
        <w:rPr>
          <w:rFonts w:asciiTheme="minorHAnsi" w:hAnsiTheme="minorHAnsi" w:cstheme="minorHAnsi"/>
        </w:rPr>
        <w:t>u</w:t>
      </w:r>
      <w:r w:rsidRPr="00AD660A">
        <w:rPr>
          <w:rFonts w:asciiTheme="minorHAnsi" w:hAnsiTheme="minorHAnsi" w:cstheme="minorHAnsi"/>
        </w:rPr>
        <w:t>r, religious extremism, and social discontent</w:t>
      </w:r>
      <w:r>
        <w:rPr>
          <w:rFonts w:asciiTheme="minorHAnsi" w:hAnsiTheme="minorHAnsi" w:cstheme="minorHAnsi"/>
        </w:rPr>
        <w:t xml:space="preserve"> </w:t>
      </w:r>
      <w:r w:rsidRPr="00AD660A">
        <w:rPr>
          <w:rFonts w:asciiTheme="minorHAnsi" w:hAnsiTheme="minorHAnsi" w:cstheme="minorHAnsi"/>
          <w:color w:val="000000" w:themeColor="text1"/>
        </w:rPr>
        <w:t>(Kydd, Walter, 2006)</w:t>
      </w:r>
      <w:r w:rsidRPr="00AD660A">
        <w:rPr>
          <w:rFonts w:asciiTheme="minorHAnsi" w:hAnsiTheme="minorHAnsi" w:cstheme="minorHAnsi"/>
        </w:rPr>
        <w:t xml:space="preserve">. Understanding these motivations is essential for crafting effective counterterrorism strategies. By examining specific perpetrators and incidents, we can uncover the complex factors driving individuals and groups to engage in terrorism, such as historical grievances, desires for sovereignty, and radical ideologies. Examples like the IRA's campaign for Irish unity, Al-Qaeda's 9/11 attacks driven by radical Islamism, and the 7/7 bombings in London </w:t>
      </w:r>
      <w:r w:rsidRPr="00AD660A">
        <w:rPr>
          <w:rFonts w:asciiTheme="minorHAnsi" w:hAnsiTheme="minorHAnsi" w:cstheme="minorHAnsi"/>
        </w:rPr>
        <w:t>fuelled</w:t>
      </w:r>
      <w:r w:rsidRPr="00AD660A">
        <w:rPr>
          <w:rFonts w:asciiTheme="minorHAnsi" w:hAnsiTheme="minorHAnsi" w:cstheme="minorHAnsi"/>
        </w:rPr>
        <w:t xml:space="preserve"> by opposition to British foreign policies highlight the diverse roots of terrorism</w:t>
      </w:r>
      <w:r w:rsidRPr="00AD660A">
        <w:rPr>
          <w:rFonts w:asciiTheme="minorHAnsi" w:hAnsiTheme="minorHAnsi" w:cstheme="minorHAnsi"/>
        </w:rPr>
        <w:t xml:space="preserve"> </w:t>
      </w:r>
      <w:r w:rsidRPr="00AD660A">
        <w:rPr>
          <w:rFonts w:asciiTheme="minorHAnsi" w:hAnsiTheme="minorHAnsi" w:cstheme="minorHAnsi"/>
          <w:color w:val="000000" w:themeColor="text1"/>
          <w:shd w:val="clear" w:color="auto" w:fill="FBFBFB"/>
        </w:rPr>
        <w:t>(Romaniuk, 201</w:t>
      </w:r>
      <w:r w:rsidRPr="00AD660A">
        <w:rPr>
          <w:rFonts w:asciiTheme="minorHAnsi" w:hAnsiTheme="minorHAnsi" w:cstheme="minorHAnsi"/>
          <w:color w:val="000000" w:themeColor="text1"/>
          <w:shd w:val="clear" w:color="auto" w:fill="FBFBFB"/>
        </w:rPr>
        <w:t>2)</w:t>
      </w:r>
      <w:r w:rsidRPr="00AD660A">
        <w:rPr>
          <w:rFonts w:asciiTheme="minorHAnsi" w:hAnsiTheme="minorHAnsi" w:cstheme="minorHAnsi"/>
        </w:rPr>
        <w:t>. This underscores the need for nuanced approaches to address its multifaceted nature. Through deeper exploration, we can better comprehend the root causes of terrorism and develop more targeted counterterrorism efforts.</w:t>
      </w:r>
    </w:p>
    <w:p w14:paraId="7DD03DD6" w14:textId="77777777" w:rsidR="00902AFD" w:rsidRDefault="00902AFD" w:rsidP="000B518C">
      <w:pPr>
        <w:spacing w:line="360" w:lineRule="auto"/>
        <w:jc w:val="both"/>
        <w:rPr>
          <w:rFonts w:asciiTheme="minorHAnsi" w:hAnsiTheme="minorHAnsi" w:cstheme="minorHAnsi"/>
          <w:u w:val="single"/>
        </w:rPr>
      </w:pPr>
    </w:p>
    <w:p w14:paraId="4D003A47" w14:textId="72E2B1E9" w:rsidR="00CA180B" w:rsidRDefault="00C110C5" w:rsidP="000B518C">
      <w:pPr>
        <w:spacing w:line="360" w:lineRule="auto"/>
        <w:jc w:val="both"/>
        <w:rPr>
          <w:rFonts w:asciiTheme="minorHAnsi" w:hAnsiTheme="minorHAnsi" w:cstheme="minorHAnsi"/>
        </w:rPr>
      </w:pPr>
      <w:r w:rsidRPr="00C110C5">
        <w:rPr>
          <w:rFonts w:asciiTheme="minorHAnsi" w:hAnsiTheme="minorHAnsi" w:cstheme="minorHAnsi"/>
        </w:rPr>
        <w:t>The root causes of terrorism in the United Kingdom are complex and multifaceted, stemming from political oppression, socio-economic disparities, ethnic or religious tensions, and grievances related to foreign policy</w:t>
      </w:r>
      <w:r w:rsidR="00902AFD">
        <w:rPr>
          <w:rFonts w:asciiTheme="minorHAnsi" w:hAnsiTheme="minorHAnsi" w:cstheme="minorHAnsi"/>
        </w:rPr>
        <w:t xml:space="preserve"> </w:t>
      </w:r>
      <w:r w:rsidR="00902AFD" w:rsidRPr="00AD660A">
        <w:rPr>
          <w:rFonts w:asciiTheme="minorHAnsi" w:hAnsiTheme="minorHAnsi" w:cstheme="minorHAnsi"/>
          <w:color w:val="000000" w:themeColor="text1"/>
        </w:rPr>
        <w:t>(Crenshaw, 1981)</w:t>
      </w:r>
      <w:r w:rsidRPr="00C110C5">
        <w:rPr>
          <w:rFonts w:asciiTheme="minorHAnsi" w:hAnsiTheme="minorHAnsi" w:cstheme="minorHAnsi"/>
        </w:rPr>
        <w:t xml:space="preserve">. Historical instances of political oppression, particularly during the Troubles in Northern Ireland, have </w:t>
      </w:r>
      <w:r w:rsidR="00377C1C" w:rsidRPr="00C110C5">
        <w:rPr>
          <w:rFonts w:asciiTheme="minorHAnsi" w:hAnsiTheme="minorHAnsi" w:cstheme="minorHAnsi"/>
        </w:rPr>
        <w:t>fuelled</w:t>
      </w:r>
      <w:r w:rsidRPr="00C110C5">
        <w:rPr>
          <w:rFonts w:asciiTheme="minorHAnsi" w:hAnsiTheme="minorHAnsi" w:cstheme="minorHAnsi"/>
        </w:rPr>
        <w:t xml:space="preserve"> resentment and provided fertile ground for militant groups like the IRA to emerge (Whiting, 2018). Socio-economic disparities, exacerbated by factors such as unemployment and limited opportunities, contribute to feelings of alienation and marginalization, increasing susceptibility to radicalization (Newman, 2006). Ethnic and religious tensions, as seen in incidents like the 7/7 bombings in London by Islamist extremists, are exploited by terrorist organizations to recruit vulnerable individuals (Hoskins, 2011). Grievances related to the UK's foreign policy, such as involvement in conflicts like the Iraq War, have also motivated terrorist acts (Newman, 2006). However, it's important to recognize that these factors are not deterministic, and individuals may be influenced by a combination of them. The effectiveness of counterterrorism efforts in addressing these root causes varies, with some initiatives inadvertently exacerbating tensions and alienating communities. Therefore, a nuanced and holistic approach that addresses underlying grievances while promoting social inclusion and resilience is essential to effectively counter the terrorist threat in the UK.</w:t>
      </w:r>
    </w:p>
    <w:p w14:paraId="30DB32FA" w14:textId="77777777" w:rsidR="00902AFD" w:rsidRDefault="00902AFD" w:rsidP="000B518C">
      <w:pPr>
        <w:spacing w:line="360" w:lineRule="auto"/>
        <w:jc w:val="both"/>
        <w:rPr>
          <w:rFonts w:asciiTheme="minorHAnsi" w:hAnsiTheme="minorHAnsi" w:cstheme="minorHAnsi"/>
        </w:rPr>
      </w:pPr>
    </w:p>
    <w:p w14:paraId="14066DDB" w14:textId="22BC677F" w:rsidR="0078628D" w:rsidRPr="000B518C" w:rsidRDefault="00EC4212" w:rsidP="000B518C">
      <w:pPr>
        <w:spacing w:line="360" w:lineRule="auto"/>
        <w:jc w:val="both"/>
        <w:rPr>
          <w:rFonts w:asciiTheme="minorHAnsi" w:hAnsiTheme="minorHAnsi" w:cstheme="minorHAnsi"/>
        </w:rPr>
      </w:pPr>
      <w:r w:rsidRPr="000B518C">
        <w:rPr>
          <w:rFonts w:asciiTheme="minorHAnsi" w:hAnsiTheme="minorHAnsi" w:cstheme="minorHAnsi"/>
        </w:rPr>
        <w:lastRenderedPageBreak/>
        <w:t>Linking back to t</w:t>
      </w:r>
      <w:r w:rsidR="0078628D" w:rsidRPr="000B518C">
        <w:rPr>
          <w:rFonts w:asciiTheme="minorHAnsi" w:hAnsiTheme="minorHAnsi" w:cstheme="minorHAnsi"/>
        </w:rPr>
        <w:t>he activities of the Irish Republican Army (IRA)</w:t>
      </w:r>
      <w:r w:rsidRPr="000B518C">
        <w:rPr>
          <w:rFonts w:asciiTheme="minorHAnsi" w:hAnsiTheme="minorHAnsi" w:cstheme="minorHAnsi"/>
        </w:rPr>
        <w:t xml:space="preserve"> and </w:t>
      </w:r>
      <w:r w:rsidR="0078628D" w:rsidRPr="000B518C">
        <w:rPr>
          <w:rFonts w:asciiTheme="minorHAnsi" w:hAnsiTheme="minorHAnsi" w:cstheme="minorHAnsi"/>
        </w:rPr>
        <w:t>the Troubles in Northern</w:t>
      </w:r>
      <w:r w:rsidR="00902AFD">
        <w:rPr>
          <w:rFonts w:asciiTheme="minorHAnsi" w:hAnsiTheme="minorHAnsi" w:cstheme="minorHAnsi"/>
        </w:rPr>
        <w:t xml:space="preserve"> </w:t>
      </w:r>
      <w:r w:rsidR="0078628D" w:rsidRPr="000B518C">
        <w:rPr>
          <w:rFonts w:asciiTheme="minorHAnsi" w:hAnsiTheme="minorHAnsi" w:cstheme="minorHAnsi"/>
        </w:rPr>
        <w:t>Ireland</w:t>
      </w:r>
      <w:r w:rsidR="00F236ED" w:rsidRPr="000B518C">
        <w:rPr>
          <w:rFonts w:asciiTheme="minorHAnsi" w:hAnsiTheme="minorHAnsi" w:cstheme="minorHAnsi"/>
        </w:rPr>
        <w:t xml:space="preserve"> it</w:t>
      </w:r>
      <w:r w:rsidR="0078628D" w:rsidRPr="000B518C">
        <w:rPr>
          <w:rFonts w:asciiTheme="minorHAnsi" w:hAnsiTheme="minorHAnsi" w:cstheme="minorHAnsi"/>
        </w:rPr>
        <w:t xml:space="preserve"> provide</w:t>
      </w:r>
      <w:r w:rsidRPr="000B518C">
        <w:rPr>
          <w:rFonts w:asciiTheme="minorHAnsi" w:hAnsiTheme="minorHAnsi" w:cstheme="minorHAnsi"/>
        </w:rPr>
        <w:t>s</w:t>
      </w:r>
      <w:r w:rsidR="0078628D" w:rsidRPr="000B518C">
        <w:rPr>
          <w:rFonts w:asciiTheme="minorHAnsi" w:hAnsiTheme="minorHAnsi" w:cstheme="minorHAnsi"/>
        </w:rPr>
        <w:t xml:space="preserve"> a prominent example of terrorism in the UK motivated by political grievances</w:t>
      </w:r>
      <w:r w:rsidR="000C0992" w:rsidRPr="000B518C">
        <w:rPr>
          <w:rFonts w:asciiTheme="minorHAnsi" w:hAnsiTheme="minorHAnsi" w:cstheme="minorHAnsi"/>
        </w:rPr>
        <w:t xml:space="preserve"> (Whiting, 2018)</w:t>
      </w:r>
      <w:r w:rsidR="0078628D" w:rsidRPr="000B518C">
        <w:rPr>
          <w:rFonts w:asciiTheme="minorHAnsi" w:hAnsiTheme="minorHAnsi" w:cstheme="minorHAnsi"/>
        </w:rPr>
        <w:t>. The IRA, a paramilitary organization seeking to end British rule in Northern Ireland and establish a united Ireland, conducted numerous terrorist attacks targeting British authorities, security forces, and civilians</w:t>
      </w:r>
      <w:r w:rsidR="00A65668" w:rsidRPr="000B518C">
        <w:rPr>
          <w:rFonts w:asciiTheme="minorHAnsi" w:hAnsiTheme="minorHAnsi" w:cstheme="minorHAnsi"/>
        </w:rPr>
        <w:t xml:space="preserve"> (English, 2008)</w:t>
      </w:r>
      <w:r w:rsidR="0078628D" w:rsidRPr="000B518C">
        <w:rPr>
          <w:rFonts w:asciiTheme="minorHAnsi" w:hAnsiTheme="minorHAnsi" w:cstheme="minorHAnsi"/>
        </w:rPr>
        <w:t>. Throughout the conflict, spanning from the late 1960s to the late 1990s, the IRA employed bombings, assassinations, and other violent acts to press for its political objectives</w:t>
      </w:r>
      <w:r w:rsidR="00596465" w:rsidRPr="000B518C">
        <w:rPr>
          <w:rFonts w:asciiTheme="minorHAnsi" w:hAnsiTheme="minorHAnsi" w:cstheme="minorHAnsi"/>
        </w:rPr>
        <w:t xml:space="preserve"> (Richards, 2001)</w:t>
      </w:r>
      <w:r w:rsidR="0078628D" w:rsidRPr="000B518C">
        <w:rPr>
          <w:rFonts w:asciiTheme="minorHAnsi" w:hAnsiTheme="minorHAnsi" w:cstheme="minorHAnsi"/>
        </w:rPr>
        <w:t>. The group's campaign of terrorism was underpinned by the belief that Northern Ireland should be part of the Republic of Ireland, and its actions aimed to compel the British government to withdraw from the region</w:t>
      </w:r>
      <w:r w:rsidR="00596465" w:rsidRPr="000B518C">
        <w:rPr>
          <w:rFonts w:asciiTheme="minorHAnsi" w:hAnsiTheme="minorHAnsi" w:cstheme="minorHAnsi"/>
        </w:rPr>
        <w:t xml:space="preserve"> (Richards, 2001)</w:t>
      </w:r>
      <w:r w:rsidR="0078628D" w:rsidRPr="000B518C">
        <w:rPr>
          <w:rFonts w:asciiTheme="minorHAnsi" w:hAnsiTheme="minorHAnsi" w:cstheme="minorHAnsi"/>
        </w:rPr>
        <w:t>. One particularly notable attack was the Brighton Hotel bombing in 1984, during the Conservative Party conference, where the IRA attempted to assassinate Prime Minister Margaret Thatcher and her cabinet</w:t>
      </w:r>
      <w:r w:rsidR="00430639" w:rsidRPr="000B518C">
        <w:rPr>
          <w:rFonts w:asciiTheme="minorHAnsi" w:hAnsiTheme="minorHAnsi" w:cstheme="minorHAnsi"/>
        </w:rPr>
        <w:t xml:space="preserve"> (Hughes, 2014)</w:t>
      </w:r>
      <w:r w:rsidR="0078628D" w:rsidRPr="000B518C">
        <w:rPr>
          <w:rFonts w:asciiTheme="minorHAnsi" w:hAnsiTheme="minorHAnsi" w:cstheme="minorHAnsi"/>
        </w:rPr>
        <w:t>. While Thatcher narrowly escaped, five individuals lost their lives, and many others sustained injuries</w:t>
      </w:r>
      <w:r w:rsidR="00430639" w:rsidRPr="000B518C">
        <w:rPr>
          <w:rFonts w:asciiTheme="minorHAnsi" w:hAnsiTheme="minorHAnsi" w:cstheme="minorHAnsi"/>
        </w:rPr>
        <w:t xml:space="preserve"> (Hughes, 2014)</w:t>
      </w:r>
      <w:r w:rsidR="0078628D" w:rsidRPr="000B518C">
        <w:rPr>
          <w:rFonts w:asciiTheme="minorHAnsi" w:hAnsiTheme="minorHAnsi" w:cstheme="minorHAnsi"/>
        </w:rPr>
        <w:t xml:space="preserve">. This incident epitomizes the IRA's determination to target political figures </w:t>
      </w:r>
      <w:r w:rsidR="00660C34" w:rsidRPr="000B518C">
        <w:rPr>
          <w:rFonts w:asciiTheme="minorHAnsi" w:hAnsiTheme="minorHAnsi" w:cstheme="minorHAnsi"/>
        </w:rPr>
        <w:t xml:space="preserve">to </w:t>
      </w:r>
      <w:r w:rsidR="0078628D" w:rsidRPr="000B518C">
        <w:rPr>
          <w:rFonts w:asciiTheme="minorHAnsi" w:hAnsiTheme="minorHAnsi" w:cstheme="minorHAnsi"/>
        </w:rPr>
        <w:t xml:space="preserve">disrupt the </w:t>
      </w:r>
      <w:r w:rsidR="00EE2142" w:rsidRPr="000B518C">
        <w:rPr>
          <w:rFonts w:asciiTheme="minorHAnsi" w:hAnsiTheme="minorHAnsi" w:cstheme="minorHAnsi"/>
        </w:rPr>
        <w:t xml:space="preserve">functioning of the British government and undermine its authority. </w:t>
      </w:r>
      <w:r w:rsidR="00801DC7" w:rsidRPr="000B518C">
        <w:rPr>
          <w:rFonts w:asciiTheme="minorHAnsi" w:hAnsiTheme="minorHAnsi" w:cstheme="minorHAnsi"/>
        </w:rPr>
        <w:t xml:space="preserve">This action reflects the IRA’s willingness to use </w:t>
      </w:r>
      <w:r w:rsidR="00660C34" w:rsidRPr="000B518C">
        <w:rPr>
          <w:rFonts w:asciiTheme="minorHAnsi" w:hAnsiTheme="minorHAnsi" w:cstheme="minorHAnsi"/>
        </w:rPr>
        <w:t>extreme</w:t>
      </w:r>
      <w:r w:rsidR="00801DC7" w:rsidRPr="000B518C">
        <w:rPr>
          <w:rFonts w:asciiTheme="minorHAnsi" w:hAnsiTheme="minorHAnsi" w:cstheme="minorHAnsi"/>
        </w:rPr>
        <w:t xml:space="preserve"> violence to advance its political goals and demonst</w:t>
      </w:r>
      <w:r w:rsidR="00660C34" w:rsidRPr="000B518C">
        <w:rPr>
          <w:rFonts w:asciiTheme="minorHAnsi" w:hAnsiTheme="minorHAnsi" w:cstheme="minorHAnsi"/>
        </w:rPr>
        <w:t>rat</w:t>
      </w:r>
      <w:r w:rsidR="00801DC7" w:rsidRPr="000B518C">
        <w:rPr>
          <w:rFonts w:asciiTheme="minorHAnsi" w:hAnsiTheme="minorHAnsi" w:cstheme="minorHAnsi"/>
        </w:rPr>
        <w:t xml:space="preserve">es the </w:t>
      </w:r>
      <w:r w:rsidR="00660C34" w:rsidRPr="000B518C">
        <w:rPr>
          <w:rFonts w:asciiTheme="minorHAnsi" w:hAnsiTheme="minorHAnsi" w:cstheme="minorHAnsi"/>
        </w:rPr>
        <w:t>group’s resolve to challenge British rule in Northern Ireland</w:t>
      </w:r>
      <w:r w:rsidR="00430639" w:rsidRPr="000B518C">
        <w:rPr>
          <w:rFonts w:asciiTheme="minorHAnsi" w:hAnsiTheme="minorHAnsi" w:cstheme="minorHAnsi"/>
        </w:rPr>
        <w:t xml:space="preserve"> </w:t>
      </w:r>
    </w:p>
    <w:p w14:paraId="55B1174A" w14:textId="77777777" w:rsidR="0078628D" w:rsidRPr="000B518C" w:rsidRDefault="0078628D" w:rsidP="000B518C">
      <w:pPr>
        <w:spacing w:line="360" w:lineRule="auto"/>
        <w:jc w:val="both"/>
        <w:rPr>
          <w:rFonts w:asciiTheme="minorHAnsi" w:hAnsiTheme="minorHAnsi" w:cstheme="minorHAnsi"/>
        </w:rPr>
      </w:pPr>
    </w:p>
    <w:p w14:paraId="0A59CF5F" w14:textId="01555D63" w:rsidR="001726AD" w:rsidRPr="000B518C" w:rsidRDefault="00526F1F" w:rsidP="000B518C">
      <w:pPr>
        <w:spacing w:line="360" w:lineRule="auto"/>
        <w:jc w:val="both"/>
        <w:rPr>
          <w:rFonts w:asciiTheme="minorHAnsi" w:hAnsiTheme="minorHAnsi" w:cstheme="minorHAnsi"/>
        </w:rPr>
      </w:pPr>
      <w:r w:rsidRPr="000B518C">
        <w:rPr>
          <w:rFonts w:asciiTheme="minorHAnsi" w:hAnsiTheme="minorHAnsi" w:cstheme="minorHAnsi"/>
        </w:rPr>
        <w:t xml:space="preserve">The ramifications of the IRA's terrorism stretched beyond the immediate casualties and physical destruction caused by their attacks. </w:t>
      </w:r>
      <w:r w:rsidR="00811BBE" w:rsidRPr="00811BBE">
        <w:rPr>
          <w:rFonts w:asciiTheme="minorHAnsi" w:hAnsiTheme="minorHAnsi" w:cstheme="minorHAnsi"/>
        </w:rPr>
        <w:t>The IRA's terrorism had lasting consequences, extending beyond casualties and physical damage. A report commissioned by the Northern Ireland Affairs Committee (2008) revealed the UK government's direct financial burden from the Troubles, estimated at £28.5 billion from 1969 to 2000. This figure underscores the significant economic toll of the conflict. However, it's crucial to recognize that the true cost goes beyond monetary measures, encompassing broader social, psychological, and long-term economic impacts. While £28.5 billion quantifies the financial strain, it should be understood within the wider context of the conflict's ramifications on Northern Ireland and the UK, as highlighted by Woodford and Smith (2017).</w:t>
      </w:r>
      <w:r w:rsidR="00811BBE">
        <w:rPr>
          <w:rFonts w:asciiTheme="minorHAnsi" w:hAnsiTheme="minorHAnsi" w:cstheme="minorHAnsi"/>
        </w:rPr>
        <w:t xml:space="preserve"> </w:t>
      </w:r>
      <w:r w:rsidR="0078628D" w:rsidRPr="000B518C">
        <w:rPr>
          <w:rFonts w:asciiTheme="minorHAnsi" w:hAnsiTheme="minorHAnsi" w:cstheme="minorHAnsi"/>
        </w:rPr>
        <w:t>Economically, the IRA's terrorism had profound consequences for Northern Ireland and the UK. The persistent threat of violence deterred investment and tourism, hindering economic development, and perpetuating high levels of unemployment and poverty in affected areas</w:t>
      </w:r>
      <w:r w:rsidR="004A5005" w:rsidRPr="000B518C">
        <w:rPr>
          <w:rFonts w:asciiTheme="minorHAnsi" w:hAnsiTheme="minorHAnsi" w:cstheme="minorHAnsi"/>
        </w:rPr>
        <w:t xml:space="preserve"> (Woodford, Smith, 2017)</w:t>
      </w:r>
      <w:r w:rsidR="0078628D" w:rsidRPr="000B518C">
        <w:rPr>
          <w:rFonts w:asciiTheme="minorHAnsi" w:hAnsiTheme="minorHAnsi" w:cstheme="minorHAnsi"/>
        </w:rPr>
        <w:t xml:space="preserve">. The costs associated with maintaining security and rebuilding infrastructure damaged by terrorist attacks placed a </w:t>
      </w:r>
      <w:r w:rsidR="0078628D" w:rsidRPr="000B518C">
        <w:rPr>
          <w:rFonts w:asciiTheme="minorHAnsi" w:hAnsiTheme="minorHAnsi" w:cstheme="minorHAnsi"/>
        </w:rPr>
        <w:lastRenderedPageBreak/>
        <w:t>significant burden on government resources, diverting funding away from essential public services and contributing to economic stagnation</w:t>
      </w:r>
      <w:r w:rsidR="00B63D0C" w:rsidRPr="000B518C">
        <w:rPr>
          <w:rFonts w:asciiTheme="minorHAnsi" w:hAnsiTheme="minorHAnsi" w:cstheme="minorHAnsi"/>
        </w:rPr>
        <w:t xml:space="preserve"> (Woodford, Smith, 2017)</w:t>
      </w:r>
      <w:r w:rsidR="0078628D" w:rsidRPr="000B518C">
        <w:rPr>
          <w:rFonts w:asciiTheme="minorHAnsi" w:hAnsiTheme="minorHAnsi" w:cstheme="minorHAnsi"/>
        </w:rPr>
        <w:t xml:space="preserve">. While the eventual resolution of the </w:t>
      </w:r>
      <w:r w:rsidR="006E741C" w:rsidRPr="000B518C">
        <w:rPr>
          <w:rFonts w:asciiTheme="minorHAnsi" w:hAnsiTheme="minorHAnsi" w:cstheme="minorHAnsi"/>
        </w:rPr>
        <w:t>t</w:t>
      </w:r>
      <w:r w:rsidR="0078628D" w:rsidRPr="000B518C">
        <w:rPr>
          <w:rFonts w:asciiTheme="minorHAnsi" w:hAnsiTheme="minorHAnsi" w:cstheme="minorHAnsi"/>
        </w:rPr>
        <w:t xml:space="preserve">roubles with </w:t>
      </w:r>
      <w:r w:rsidR="006E741C" w:rsidRPr="000B518C">
        <w:rPr>
          <w:rFonts w:asciiTheme="minorHAnsi" w:hAnsiTheme="minorHAnsi" w:cstheme="minorHAnsi"/>
        </w:rPr>
        <w:t xml:space="preserve">the Belfast </w:t>
      </w:r>
      <w:r w:rsidR="002F2EB3" w:rsidRPr="000B518C">
        <w:rPr>
          <w:rFonts w:asciiTheme="minorHAnsi" w:hAnsiTheme="minorHAnsi" w:cstheme="minorHAnsi"/>
        </w:rPr>
        <w:t>A</w:t>
      </w:r>
      <w:r w:rsidR="006E741C" w:rsidRPr="000B518C">
        <w:rPr>
          <w:rFonts w:asciiTheme="minorHAnsi" w:hAnsiTheme="minorHAnsi" w:cstheme="minorHAnsi"/>
        </w:rPr>
        <w:t xml:space="preserve">greement also known as </w:t>
      </w:r>
      <w:r w:rsidR="0078628D" w:rsidRPr="000B518C">
        <w:rPr>
          <w:rFonts w:asciiTheme="minorHAnsi" w:hAnsiTheme="minorHAnsi" w:cstheme="minorHAnsi"/>
        </w:rPr>
        <w:t>the Good Friday Agreement in 1998 brought an end to the violence, the scars of the conflict continue to linger, underscoring the enduring impact of terrorism on society</w:t>
      </w:r>
      <w:r w:rsidR="00B2233A" w:rsidRPr="000B518C">
        <w:rPr>
          <w:rFonts w:asciiTheme="minorHAnsi" w:hAnsiTheme="minorHAnsi" w:cstheme="minorHAnsi"/>
        </w:rPr>
        <w:t xml:space="preserve"> (Northern Ireland Office, 1998)</w:t>
      </w:r>
      <w:r w:rsidR="0078628D" w:rsidRPr="000B518C">
        <w:rPr>
          <w:rFonts w:asciiTheme="minorHAnsi" w:hAnsiTheme="minorHAnsi" w:cstheme="minorHAnsi"/>
        </w:rPr>
        <w:t>.</w:t>
      </w:r>
      <w:r w:rsidR="006F5AC8" w:rsidRPr="000B518C">
        <w:rPr>
          <w:rFonts w:asciiTheme="minorHAnsi" w:hAnsiTheme="minorHAnsi" w:cstheme="minorHAnsi"/>
        </w:rPr>
        <w:t xml:space="preserve"> </w:t>
      </w:r>
      <w:r w:rsidR="00E863D7" w:rsidRPr="000B518C">
        <w:rPr>
          <w:rFonts w:asciiTheme="minorHAnsi" w:hAnsiTheme="minorHAnsi" w:cstheme="minorHAnsi"/>
        </w:rPr>
        <w:t>Socially, the conflict deepened divisions within Northern Irish society, exacerbating sectarian tensions between Catholic Republicans and Protestant Unionists</w:t>
      </w:r>
      <w:r w:rsidR="00922EAF" w:rsidRPr="000B518C">
        <w:rPr>
          <w:rFonts w:asciiTheme="minorHAnsi" w:hAnsiTheme="minorHAnsi" w:cstheme="minorHAnsi"/>
        </w:rPr>
        <w:t xml:space="preserve"> (</w:t>
      </w:r>
      <w:r w:rsidR="0027216F" w:rsidRPr="000B518C">
        <w:rPr>
          <w:rFonts w:asciiTheme="minorHAnsi" w:hAnsiTheme="minorHAnsi" w:cstheme="minorHAnsi"/>
        </w:rPr>
        <w:t>McAuley, Ferguson, 2016)</w:t>
      </w:r>
      <w:r w:rsidR="00E863D7" w:rsidRPr="000B518C">
        <w:rPr>
          <w:rFonts w:asciiTheme="minorHAnsi" w:hAnsiTheme="minorHAnsi" w:cstheme="minorHAnsi"/>
        </w:rPr>
        <w:t>. The IRA's actions fuelled feelings of fear and mistrust, creating a climate of instability and insecurity that affected communities on both sides of the divide. Politically, the Troubles strained relations between the UK and Ireland, complicating efforts to find a resolution to the conflict</w:t>
      </w:r>
      <w:r w:rsidR="0027216F" w:rsidRPr="000B518C">
        <w:rPr>
          <w:rFonts w:asciiTheme="minorHAnsi" w:hAnsiTheme="minorHAnsi" w:cstheme="minorHAnsi"/>
        </w:rPr>
        <w:t xml:space="preserve"> (McAuley, Ferguson, 2016)</w:t>
      </w:r>
      <w:r w:rsidR="00E863D7" w:rsidRPr="000B518C">
        <w:rPr>
          <w:rFonts w:asciiTheme="minorHAnsi" w:hAnsiTheme="minorHAnsi" w:cstheme="minorHAnsi"/>
        </w:rPr>
        <w:t xml:space="preserve">. The British government's response to the IRA's campaign, including the deployment of security forces and the implementation of controversial counterterrorism measures, further polarized public opinion and intensified resistance from Republican groups. </w:t>
      </w:r>
    </w:p>
    <w:p w14:paraId="1C4FE7E1" w14:textId="77777777" w:rsidR="00D90BF9" w:rsidRPr="000B518C" w:rsidRDefault="00D90BF9" w:rsidP="000B518C">
      <w:pPr>
        <w:spacing w:line="360" w:lineRule="auto"/>
        <w:jc w:val="both"/>
        <w:rPr>
          <w:rFonts w:asciiTheme="minorHAnsi" w:hAnsiTheme="minorHAnsi" w:cstheme="minorHAnsi"/>
          <w:u w:val="single"/>
        </w:rPr>
      </w:pPr>
    </w:p>
    <w:p w14:paraId="1DD5F95B" w14:textId="0BDC9BE8" w:rsidR="00A64BFE" w:rsidRPr="000B518C" w:rsidRDefault="00D90BF9" w:rsidP="000B518C">
      <w:pPr>
        <w:spacing w:line="360" w:lineRule="auto"/>
        <w:jc w:val="both"/>
        <w:rPr>
          <w:rFonts w:asciiTheme="minorHAnsi" w:hAnsiTheme="minorHAnsi" w:cstheme="minorHAnsi"/>
        </w:rPr>
      </w:pPr>
      <w:r w:rsidRPr="000B518C">
        <w:rPr>
          <w:rFonts w:asciiTheme="minorHAnsi" w:hAnsiTheme="minorHAnsi" w:cstheme="minorHAnsi"/>
        </w:rPr>
        <w:t>The 7/7 bombings in London on July 7, 2005, provide a stark illustration of terrorism motivated by radical Islamist ideology and perceived grievances against Western foreign policy</w:t>
      </w:r>
      <w:r w:rsidR="00CC5913" w:rsidRPr="000B518C">
        <w:rPr>
          <w:rFonts w:asciiTheme="minorHAnsi" w:hAnsiTheme="minorHAnsi" w:cstheme="minorHAnsi"/>
        </w:rPr>
        <w:t xml:space="preserve"> (Hoskins, 2011).</w:t>
      </w:r>
      <w:r w:rsidRPr="000B518C">
        <w:rPr>
          <w:rFonts w:asciiTheme="minorHAnsi" w:hAnsiTheme="minorHAnsi" w:cstheme="minorHAnsi"/>
        </w:rPr>
        <w:t xml:space="preserve"> The perpetrators, all British citizens of Pakistani descent, were influenced by extremist interpretations of Islam propagated by groups like Al-Qaeda</w:t>
      </w:r>
      <w:r w:rsidR="00121A6C" w:rsidRPr="000B518C">
        <w:rPr>
          <w:rFonts w:asciiTheme="minorHAnsi" w:hAnsiTheme="minorHAnsi" w:cstheme="minorHAnsi"/>
        </w:rPr>
        <w:t xml:space="preserve"> (Tausch, </w:t>
      </w:r>
      <w:r w:rsidR="002F208E" w:rsidRPr="000B518C">
        <w:rPr>
          <w:rFonts w:asciiTheme="minorHAnsi" w:hAnsiTheme="minorHAnsi" w:cstheme="minorHAnsi"/>
        </w:rPr>
        <w:t>Spears, Christ, 2009)</w:t>
      </w:r>
      <w:r w:rsidRPr="000B518C">
        <w:rPr>
          <w:rFonts w:asciiTheme="minorHAnsi" w:hAnsiTheme="minorHAnsi" w:cstheme="minorHAnsi"/>
        </w:rPr>
        <w:t>. Their actions were driven by a belief in a global jihad against Western powers, whom they viewed as oppressors of Muslim nations. The UK's involvement in the Iraq War and its alliance with the United States were particularly contentious issues for the attackers, who saw these actions as evidence of Western aggression against the Muslim world</w:t>
      </w:r>
      <w:r w:rsidR="00D4062D" w:rsidRPr="000B518C">
        <w:rPr>
          <w:rFonts w:asciiTheme="minorHAnsi" w:hAnsiTheme="minorHAnsi" w:cstheme="minorHAnsi"/>
        </w:rPr>
        <w:t xml:space="preserve"> (Tausch, Spears, Christ, 2009)</w:t>
      </w:r>
      <w:r w:rsidRPr="000B518C">
        <w:rPr>
          <w:rFonts w:asciiTheme="minorHAnsi" w:hAnsiTheme="minorHAnsi" w:cstheme="minorHAnsi"/>
        </w:rPr>
        <w:t>. Notably, investigations into the bombings revealed that the perpetrators had been radicalized through exposure to extremist propaganda and online recruitment efforts. The choice of targets—London's public transportation system during the morning rush hour—was deliberate, aiming to maximize casualties and sow fear among the general population</w:t>
      </w:r>
      <w:r w:rsidR="00D4062D" w:rsidRPr="000B518C">
        <w:rPr>
          <w:rFonts w:asciiTheme="minorHAnsi" w:hAnsiTheme="minorHAnsi" w:cstheme="minorHAnsi"/>
        </w:rPr>
        <w:t xml:space="preserve"> (Tausch, Spears, Christ, 2009)</w:t>
      </w:r>
      <w:r w:rsidRPr="000B518C">
        <w:rPr>
          <w:rFonts w:asciiTheme="minorHAnsi" w:hAnsiTheme="minorHAnsi" w:cstheme="minorHAnsi"/>
        </w:rPr>
        <w:t>. The 7/7 bombings exemplify how religious extremism, fuelled by perceived injustices and a sense of religious duty, can motivate individuals to commit acts of terrorism with devastating consequences</w:t>
      </w:r>
      <w:r w:rsidR="00193B78" w:rsidRPr="000B518C">
        <w:rPr>
          <w:rFonts w:asciiTheme="minorHAnsi" w:hAnsiTheme="minorHAnsi" w:cstheme="minorHAnsi"/>
        </w:rPr>
        <w:t xml:space="preserve"> (Hoskins, 2011)</w:t>
      </w:r>
      <w:r w:rsidRPr="000B518C">
        <w:rPr>
          <w:rFonts w:asciiTheme="minorHAnsi" w:hAnsiTheme="minorHAnsi" w:cstheme="minorHAnsi"/>
        </w:rPr>
        <w:t xml:space="preserve">. Moreover, the attack prompted significant introspection and policy changes within the UK, leading to enhanced counterterrorism measures and efforts to address radicalization and </w:t>
      </w:r>
      <w:r w:rsidRPr="000B518C">
        <w:rPr>
          <w:rFonts w:asciiTheme="minorHAnsi" w:hAnsiTheme="minorHAnsi" w:cstheme="minorHAnsi"/>
        </w:rPr>
        <w:lastRenderedPageBreak/>
        <w:t>extremism within British communities</w:t>
      </w:r>
      <w:r w:rsidR="00D71089" w:rsidRPr="000B518C">
        <w:rPr>
          <w:rFonts w:asciiTheme="minorHAnsi" w:hAnsiTheme="minorHAnsi" w:cstheme="minorHAnsi"/>
        </w:rPr>
        <w:t xml:space="preserve"> (Walker, 2015)</w:t>
      </w:r>
      <w:r w:rsidRPr="000B518C">
        <w:rPr>
          <w:rFonts w:asciiTheme="minorHAnsi" w:hAnsiTheme="minorHAnsi" w:cstheme="minorHAnsi"/>
        </w:rPr>
        <w:t xml:space="preserve">. </w:t>
      </w:r>
      <w:r w:rsidR="007C1E4A" w:rsidRPr="000B518C">
        <w:rPr>
          <w:rFonts w:asciiTheme="minorHAnsi" w:hAnsiTheme="minorHAnsi" w:cstheme="minorHAnsi"/>
        </w:rPr>
        <w:t>The attacks led to a reassessment of counterterrorism measures in the UK and prompted efforts to address radicalization and extremism within British communities</w:t>
      </w:r>
      <w:r w:rsidR="00CC5913" w:rsidRPr="000B518C">
        <w:rPr>
          <w:rFonts w:asciiTheme="minorHAnsi" w:hAnsiTheme="minorHAnsi" w:cstheme="minorHAnsi"/>
        </w:rPr>
        <w:t xml:space="preserve"> (Walker, 2015)</w:t>
      </w:r>
      <w:r w:rsidR="007C1E4A" w:rsidRPr="000B518C">
        <w:rPr>
          <w:rFonts w:asciiTheme="minorHAnsi" w:hAnsiTheme="minorHAnsi" w:cstheme="minorHAnsi"/>
        </w:rPr>
        <w:t>.</w:t>
      </w:r>
      <w:r w:rsidR="00D329BD" w:rsidRPr="000B518C">
        <w:rPr>
          <w:rFonts w:asciiTheme="minorHAnsi" w:hAnsiTheme="minorHAnsi" w:cstheme="minorHAnsi"/>
        </w:rPr>
        <w:t xml:space="preserve"> </w:t>
      </w:r>
      <w:r w:rsidR="00A32AEE" w:rsidRPr="000B518C">
        <w:rPr>
          <w:rFonts w:asciiTheme="minorHAnsi" w:hAnsiTheme="minorHAnsi" w:cstheme="minorHAnsi"/>
        </w:rPr>
        <w:t>According to terrorism expert Alex Schmidt</w:t>
      </w:r>
      <w:r w:rsidR="003F5DBE" w:rsidRPr="000B518C">
        <w:rPr>
          <w:rFonts w:asciiTheme="minorHAnsi" w:hAnsiTheme="minorHAnsi" w:cstheme="minorHAnsi"/>
        </w:rPr>
        <w:t xml:space="preserve"> (Rahman, 2013)</w:t>
      </w:r>
      <w:r w:rsidR="00A32AEE" w:rsidRPr="000B518C">
        <w:rPr>
          <w:rFonts w:asciiTheme="minorHAnsi" w:hAnsiTheme="minorHAnsi" w:cstheme="minorHAnsi"/>
        </w:rPr>
        <w:t>, individuals who are willing to give up their lives for causes such as class, race, or religion are offered specific rewards. In religious terrorism, these rewards are believed to be granted in an afterlife, which distinguishes it from other forms of terrorism</w:t>
      </w:r>
      <w:r w:rsidR="00193B78" w:rsidRPr="000B518C">
        <w:rPr>
          <w:rFonts w:asciiTheme="minorHAnsi" w:hAnsiTheme="minorHAnsi" w:cstheme="minorHAnsi"/>
        </w:rPr>
        <w:t xml:space="preserve"> (Rahman, 2013)</w:t>
      </w:r>
      <w:r w:rsidR="00A32AEE" w:rsidRPr="000B518C">
        <w:rPr>
          <w:rFonts w:asciiTheme="minorHAnsi" w:hAnsiTheme="minorHAnsi" w:cstheme="minorHAnsi"/>
        </w:rPr>
        <w:t>. While the goals of terrorism, whether religious or secular, often involve maintaining power on Earth, the incentives promised to those carrying out the violence differ significantly in religious contexts</w:t>
      </w:r>
      <w:r w:rsidR="001169F3" w:rsidRPr="000B518C">
        <w:rPr>
          <w:rFonts w:asciiTheme="minorHAnsi" w:hAnsiTheme="minorHAnsi" w:cstheme="minorHAnsi"/>
        </w:rPr>
        <w:t xml:space="preserve"> (Rahman, 2013),</w:t>
      </w:r>
      <w:r w:rsidR="00E13F55" w:rsidRPr="000B518C">
        <w:rPr>
          <w:rFonts w:asciiTheme="minorHAnsi" w:hAnsiTheme="minorHAnsi" w:cstheme="minorHAnsi"/>
        </w:rPr>
        <w:t xml:space="preserve"> this appears to be the driving force behind individuals' involvement in attacks like the London 7/7 bombings, providing them with the motivation to carry out such actions. It is speculated that the delay between the first three bombs and the last one, which occurred </w:t>
      </w:r>
      <w:r w:rsidR="00D6656D" w:rsidRPr="000B518C">
        <w:rPr>
          <w:rFonts w:asciiTheme="minorHAnsi" w:hAnsiTheme="minorHAnsi" w:cstheme="minorHAnsi"/>
        </w:rPr>
        <w:t>1</w:t>
      </w:r>
      <w:r w:rsidR="00E13F55" w:rsidRPr="000B518C">
        <w:rPr>
          <w:rFonts w:asciiTheme="minorHAnsi" w:hAnsiTheme="minorHAnsi" w:cstheme="minorHAnsi"/>
        </w:rPr>
        <w:t>.5 hours later, might be attributed to the extremist initially hesitating but ultimately proceeding due to the promise of rewards in the afterlife</w:t>
      </w:r>
      <w:r w:rsidR="00EA33EA" w:rsidRPr="000B518C">
        <w:rPr>
          <w:rFonts w:asciiTheme="minorHAnsi" w:hAnsiTheme="minorHAnsi" w:cstheme="minorHAnsi"/>
        </w:rPr>
        <w:t xml:space="preserve"> (Hoskins, 2011).</w:t>
      </w:r>
    </w:p>
    <w:p w14:paraId="55E81B51" w14:textId="77777777" w:rsidR="005A2449" w:rsidRPr="000B518C" w:rsidRDefault="005A2449" w:rsidP="000B518C">
      <w:pPr>
        <w:spacing w:line="360" w:lineRule="auto"/>
        <w:jc w:val="both"/>
        <w:rPr>
          <w:rFonts w:asciiTheme="minorHAnsi" w:hAnsiTheme="minorHAnsi" w:cstheme="minorHAnsi"/>
        </w:rPr>
      </w:pPr>
    </w:p>
    <w:p w14:paraId="06EAC765" w14:textId="24745D73" w:rsidR="005D4CCB" w:rsidRPr="000B518C" w:rsidRDefault="00E81CBF" w:rsidP="000B518C">
      <w:pPr>
        <w:spacing w:line="360" w:lineRule="auto"/>
        <w:jc w:val="both"/>
        <w:rPr>
          <w:rFonts w:asciiTheme="minorHAnsi" w:hAnsiTheme="minorHAnsi" w:cstheme="minorHAnsi"/>
        </w:rPr>
      </w:pPr>
      <w:r w:rsidRPr="000B518C">
        <w:rPr>
          <w:rFonts w:asciiTheme="minorHAnsi" w:hAnsiTheme="minorHAnsi" w:cstheme="minorHAnsi"/>
          <w:color w:val="000000" w:themeColor="text1"/>
          <w:shd w:val="clear" w:color="auto" w:fill="FFFFFF"/>
        </w:rPr>
        <w:t>Counterterrorism strategies play a crucial role in mitigating the threat posed by terrorist organizations and individuals. However, evaluating the effectiveness of these strategies in addressing the motivations behind terrorism is complex and multifaceted</w:t>
      </w:r>
      <w:r w:rsidR="003C223B" w:rsidRPr="000B518C">
        <w:rPr>
          <w:rFonts w:asciiTheme="minorHAnsi" w:hAnsiTheme="minorHAnsi" w:cstheme="minorHAnsi"/>
          <w:color w:val="000000" w:themeColor="text1"/>
          <w:shd w:val="clear" w:color="auto" w:fill="FFFFFF"/>
        </w:rPr>
        <w:t xml:space="preserve"> </w:t>
      </w:r>
      <w:r w:rsidR="003C223B" w:rsidRPr="000B518C">
        <w:rPr>
          <w:rFonts w:asciiTheme="minorHAnsi" w:hAnsiTheme="minorHAnsi" w:cstheme="minorHAnsi"/>
        </w:rPr>
        <w:t>(Parker, Pearce, Lindekilde, Rogers, 2017)</w:t>
      </w:r>
      <w:r w:rsidRPr="000B518C">
        <w:rPr>
          <w:rFonts w:asciiTheme="minorHAnsi" w:hAnsiTheme="minorHAnsi" w:cstheme="minorHAnsi"/>
          <w:color w:val="000000" w:themeColor="text1"/>
          <w:shd w:val="clear" w:color="auto" w:fill="FFFFFF"/>
        </w:rPr>
        <w:t>. While various approaches have been implemented, their impact on addressing the root causes of terrorism remains subject to scrutiny</w:t>
      </w:r>
      <w:r w:rsidR="003C223B" w:rsidRPr="000B518C">
        <w:rPr>
          <w:rFonts w:asciiTheme="minorHAnsi" w:hAnsiTheme="minorHAnsi" w:cstheme="minorHAnsi"/>
          <w:color w:val="000000" w:themeColor="text1"/>
          <w:shd w:val="clear" w:color="auto" w:fill="FFFFFF"/>
        </w:rPr>
        <w:t xml:space="preserve"> </w:t>
      </w:r>
      <w:r w:rsidR="003C223B" w:rsidRPr="000B518C">
        <w:rPr>
          <w:rFonts w:asciiTheme="minorHAnsi" w:hAnsiTheme="minorHAnsi" w:cstheme="minorHAnsi"/>
        </w:rPr>
        <w:t>(Parker, Pearce, Lindekilde, Rogers, 2017)</w:t>
      </w:r>
      <w:r w:rsidRPr="000B518C">
        <w:rPr>
          <w:rFonts w:asciiTheme="minorHAnsi" w:hAnsiTheme="minorHAnsi" w:cstheme="minorHAnsi"/>
          <w:color w:val="000000" w:themeColor="text1"/>
          <w:shd w:val="clear" w:color="auto" w:fill="FFFFFF"/>
        </w:rPr>
        <w:t xml:space="preserve">. </w:t>
      </w:r>
      <w:r w:rsidR="003C223B" w:rsidRPr="000B518C">
        <w:rPr>
          <w:rFonts w:asciiTheme="minorHAnsi" w:hAnsiTheme="minorHAnsi" w:cstheme="minorHAnsi"/>
        </w:rPr>
        <w:t>I</w:t>
      </w:r>
      <w:r w:rsidR="00F811A3" w:rsidRPr="000B518C">
        <w:rPr>
          <w:rFonts w:asciiTheme="minorHAnsi" w:hAnsiTheme="minorHAnsi" w:cstheme="minorHAnsi"/>
        </w:rPr>
        <w:t>n the United Kingdom, the national counterterrorism strategy, known as CONTEST, encompasses various strands of activity aimed at preventing and disrupting radicalization</w:t>
      </w:r>
      <w:r w:rsidR="00CA541B" w:rsidRPr="000B518C">
        <w:rPr>
          <w:rFonts w:asciiTheme="minorHAnsi" w:hAnsiTheme="minorHAnsi" w:cstheme="minorHAnsi"/>
        </w:rPr>
        <w:t xml:space="preserve"> (Gregory, 2009)</w:t>
      </w:r>
      <w:r w:rsidR="00F811A3" w:rsidRPr="000B518C">
        <w:rPr>
          <w:rFonts w:asciiTheme="minorHAnsi" w:hAnsiTheme="minorHAnsi" w:cstheme="minorHAnsi"/>
        </w:rPr>
        <w:t>.</w:t>
      </w:r>
      <w:r w:rsidR="00124AD9" w:rsidRPr="000B518C">
        <w:rPr>
          <w:rFonts w:asciiTheme="minorHAnsi" w:hAnsiTheme="minorHAnsi" w:cstheme="minorHAnsi"/>
        </w:rPr>
        <w:t xml:space="preserve"> It was first introduced in 2003</w:t>
      </w:r>
      <w:r w:rsidR="0006054F" w:rsidRPr="000B518C">
        <w:rPr>
          <w:rFonts w:asciiTheme="minorHAnsi" w:hAnsiTheme="minorHAnsi" w:cstheme="minorHAnsi"/>
        </w:rPr>
        <w:t xml:space="preserve"> and aims to reduce the risk to the UK and its interests overseas from terrorism (Gregory, 2009). </w:t>
      </w:r>
      <w:r w:rsidR="00AE168F" w:rsidRPr="000B518C">
        <w:rPr>
          <w:rFonts w:asciiTheme="minorHAnsi" w:hAnsiTheme="minorHAnsi" w:cstheme="minorHAnsi"/>
        </w:rPr>
        <w:t>The k</w:t>
      </w:r>
      <w:r w:rsidR="00F811A3" w:rsidRPr="000B518C">
        <w:rPr>
          <w:rFonts w:asciiTheme="minorHAnsi" w:hAnsiTheme="minorHAnsi" w:cstheme="minorHAnsi"/>
        </w:rPr>
        <w:t>ey among these is the Prevent strand, which emphasizes the importance of counterterrorism communication in engaging with communities and addressing the root causes of radicalization</w:t>
      </w:r>
      <w:r w:rsidR="00AE168F" w:rsidRPr="000B518C">
        <w:rPr>
          <w:rFonts w:asciiTheme="minorHAnsi" w:hAnsiTheme="minorHAnsi" w:cstheme="minorHAnsi"/>
        </w:rPr>
        <w:t xml:space="preserve"> (Gregory, 2009). </w:t>
      </w:r>
      <w:r w:rsidR="00F811A3" w:rsidRPr="000B518C">
        <w:rPr>
          <w:rFonts w:asciiTheme="minorHAnsi" w:hAnsiTheme="minorHAnsi" w:cstheme="minorHAnsi"/>
        </w:rPr>
        <w:t xml:space="preserve">The UK government has implemented a range of communication products targeting different audiences, including frontline staff and members of vulnerable communities. Notably, </w:t>
      </w:r>
      <w:r w:rsidR="005D4CCB" w:rsidRPr="000B518C">
        <w:rPr>
          <w:rFonts w:asciiTheme="minorHAnsi" w:hAnsiTheme="minorHAnsi" w:cstheme="minorHAnsi"/>
        </w:rPr>
        <w:t>the Prevent Tragedies initiative was a communication campaign aimed at urging women, especially mothers, to engage in conversations with young women to dissuade them from travelling to Syria</w:t>
      </w:r>
      <w:r w:rsidR="00AE6D2C" w:rsidRPr="000B518C">
        <w:rPr>
          <w:rFonts w:asciiTheme="minorHAnsi" w:hAnsiTheme="minorHAnsi" w:cstheme="minorHAnsi"/>
        </w:rPr>
        <w:t xml:space="preserve"> (Andrews, 2020)</w:t>
      </w:r>
      <w:r w:rsidR="005D4CCB" w:rsidRPr="000B518C">
        <w:rPr>
          <w:rFonts w:asciiTheme="minorHAnsi" w:hAnsiTheme="minorHAnsi" w:cstheme="minorHAnsi"/>
        </w:rPr>
        <w:t xml:space="preserve">. Its objective was also to raise awareness among these women about the government's Prevent policy and to </w:t>
      </w:r>
      <w:r w:rsidR="005D4CCB" w:rsidRPr="000B518C">
        <w:rPr>
          <w:rFonts w:asciiTheme="minorHAnsi" w:hAnsiTheme="minorHAnsi" w:cstheme="minorHAnsi"/>
        </w:rPr>
        <w:lastRenderedPageBreak/>
        <w:t>encourage them to report any concerns they may have about the radicalization of individuals close to them to the Prevent program</w:t>
      </w:r>
      <w:r w:rsidR="00AE6D2C" w:rsidRPr="000B518C">
        <w:rPr>
          <w:rFonts w:asciiTheme="minorHAnsi" w:hAnsiTheme="minorHAnsi" w:cstheme="minorHAnsi"/>
        </w:rPr>
        <w:t xml:space="preserve"> (Andrews, 2020)</w:t>
      </w:r>
      <w:r w:rsidR="005D4CCB" w:rsidRPr="000B518C">
        <w:rPr>
          <w:rFonts w:asciiTheme="minorHAnsi" w:hAnsiTheme="minorHAnsi" w:cstheme="minorHAnsi"/>
        </w:rPr>
        <w:t>.</w:t>
      </w:r>
      <w:r w:rsidR="0091561E" w:rsidRPr="000B518C">
        <w:rPr>
          <w:rFonts w:asciiTheme="minorHAnsi" w:hAnsiTheme="minorHAnsi" w:cstheme="minorHAnsi"/>
        </w:rPr>
        <w:t xml:space="preserve"> </w:t>
      </w:r>
      <w:r w:rsidR="0091561E" w:rsidRPr="000B518C">
        <w:rPr>
          <w:rFonts w:asciiTheme="minorHAnsi" w:hAnsiTheme="minorHAnsi" w:cstheme="minorHAnsi"/>
          <w:color w:val="000000" w:themeColor="text1"/>
          <w:shd w:val="clear" w:color="auto" w:fill="FFFFFF"/>
        </w:rPr>
        <w:t>In terms of addressing the motivations behind terrorism, the campaign acknowledges the significant role of social networks and familial relationships in the radicalization process. By leveraging the influence of mothers and women within communities, the campaign aims to disrupt the pathways to extremism and prevent individuals from being drawn into terrorist activities</w:t>
      </w:r>
      <w:r w:rsidR="00AE6D2C" w:rsidRPr="000B518C">
        <w:rPr>
          <w:rFonts w:asciiTheme="minorHAnsi" w:hAnsiTheme="minorHAnsi" w:cstheme="minorHAnsi"/>
          <w:color w:val="000000" w:themeColor="text1"/>
          <w:shd w:val="clear" w:color="auto" w:fill="FFFFFF"/>
        </w:rPr>
        <w:t xml:space="preserve"> </w:t>
      </w:r>
      <w:r w:rsidR="00AE6D2C" w:rsidRPr="000B518C">
        <w:rPr>
          <w:rFonts w:asciiTheme="minorHAnsi" w:hAnsiTheme="minorHAnsi" w:cstheme="minorHAnsi"/>
        </w:rPr>
        <w:t>(Andrews, 2020)</w:t>
      </w:r>
      <w:r w:rsidR="0091561E" w:rsidRPr="000B518C">
        <w:rPr>
          <w:rFonts w:asciiTheme="minorHAnsi" w:hAnsiTheme="minorHAnsi" w:cstheme="minorHAnsi"/>
          <w:color w:val="000000" w:themeColor="text1"/>
          <w:shd w:val="clear" w:color="auto" w:fill="FFFFFF"/>
        </w:rPr>
        <w:t>. It underscores the importance of early intervention and support mechanisms in mitigating the factors that contribute to radicalization.</w:t>
      </w:r>
      <w:r w:rsidR="007C00F9" w:rsidRPr="000B518C">
        <w:rPr>
          <w:rFonts w:asciiTheme="minorHAnsi" w:hAnsiTheme="minorHAnsi" w:cstheme="minorHAnsi"/>
          <w:color w:val="000000" w:themeColor="text1"/>
          <w:shd w:val="clear" w:color="auto" w:fill="FFFFFF"/>
        </w:rPr>
        <w:t xml:space="preserve"> However, the effectiveness of the Prevent Tragedies campaign ultimately depends on its reach, engagement, and the extent to which it resonates with its target audience. Evaluating the impact of such initiatives is crucial for assessing their efficacy in deterring radicalization and promoting community resilience. Additionally, efforts to address the motivations behind terrorism should be multifaceted, encompassing social, economic, and political factors, in addition to communication and awareness campaigns.</w:t>
      </w:r>
    </w:p>
    <w:p w14:paraId="50077011" w14:textId="77777777" w:rsidR="007C00F9" w:rsidRPr="000B518C" w:rsidRDefault="007C00F9" w:rsidP="000B518C">
      <w:pPr>
        <w:spacing w:line="360" w:lineRule="auto"/>
        <w:jc w:val="both"/>
        <w:rPr>
          <w:rFonts w:asciiTheme="minorHAnsi" w:hAnsiTheme="minorHAnsi" w:cstheme="minorHAnsi"/>
        </w:rPr>
      </w:pPr>
    </w:p>
    <w:p w14:paraId="6DD77086" w14:textId="4D160ADE" w:rsidR="00F811A3" w:rsidRPr="000B518C" w:rsidRDefault="00F811A3" w:rsidP="000B518C">
      <w:pPr>
        <w:spacing w:line="360" w:lineRule="auto"/>
        <w:jc w:val="both"/>
        <w:rPr>
          <w:rFonts w:asciiTheme="minorHAnsi" w:hAnsiTheme="minorHAnsi" w:cstheme="minorHAnsi"/>
        </w:rPr>
      </w:pPr>
      <w:r w:rsidRPr="000B518C">
        <w:rPr>
          <w:rFonts w:asciiTheme="minorHAnsi" w:hAnsiTheme="minorHAnsi" w:cstheme="minorHAnsi"/>
        </w:rPr>
        <w:t>Additionally, campaigns like the ACT (Action Counters Terrorism) initiative encourage public vigilance and active participation in reporting suspicious activity, recognizing the crucial role that citizens play in countering the terrorist threat</w:t>
      </w:r>
      <w:r w:rsidR="0026615F" w:rsidRPr="000B518C">
        <w:rPr>
          <w:rFonts w:asciiTheme="minorHAnsi" w:hAnsiTheme="minorHAnsi" w:cstheme="minorHAnsi"/>
        </w:rPr>
        <w:t xml:space="preserve"> (National Counter Terrorism Security Office, 2024)</w:t>
      </w:r>
      <w:r w:rsidRPr="000B518C">
        <w:rPr>
          <w:rFonts w:asciiTheme="minorHAnsi" w:hAnsiTheme="minorHAnsi" w:cstheme="minorHAnsi"/>
        </w:rPr>
        <w:t>. Despite these efforts, detailed evaluations of the effectiveness of these communication strategies remain limited, highlighting the need for continued assessment and refinement to enhance their impact in preventing and disrupting radicalization in the UK</w:t>
      </w:r>
      <w:r w:rsidR="002C223B" w:rsidRPr="000B518C">
        <w:rPr>
          <w:rFonts w:asciiTheme="minorHAnsi" w:hAnsiTheme="minorHAnsi" w:cstheme="minorHAnsi"/>
        </w:rPr>
        <w:t xml:space="preserve"> (Home Office, 2023)</w:t>
      </w:r>
      <w:r w:rsidRPr="000B518C">
        <w:rPr>
          <w:rFonts w:asciiTheme="minorHAnsi" w:hAnsiTheme="minorHAnsi" w:cstheme="minorHAnsi"/>
        </w:rPr>
        <w:t>.</w:t>
      </w:r>
      <w:r w:rsidR="005A2449" w:rsidRPr="000B518C">
        <w:rPr>
          <w:rFonts w:asciiTheme="minorHAnsi" w:hAnsiTheme="minorHAnsi" w:cstheme="minorHAnsi"/>
        </w:rPr>
        <w:t xml:space="preserve"> The approach taken by the United Kingdom's counterterrorism strategy, particularly through its Prevent strand and communication initiatives, indirectly addresses the motivations behind terrorism by focusing on prevention and disruption of radicalization</w:t>
      </w:r>
      <w:r w:rsidR="006870C9" w:rsidRPr="000B518C">
        <w:rPr>
          <w:rFonts w:asciiTheme="minorHAnsi" w:hAnsiTheme="minorHAnsi" w:cstheme="minorHAnsi"/>
        </w:rPr>
        <w:t xml:space="preserve"> (Home Office, 2023)</w:t>
      </w:r>
      <w:r w:rsidR="005A2449" w:rsidRPr="000B518C">
        <w:rPr>
          <w:rFonts w:asciiTheme="minorHAnsi" w:hAnsiTheme="minorHAnsi" w:cstheme="minorHAnsi"/>
        </w:rPr>
        <w:t>. By engaging with communities, providing education, and empowering individuals to recognize signs of extremist behaviour, these efforts aim to address underlying grievances, vulnerabilities, and influences that may lead individuals towards embracing terrorist ideologies</w:t>
      </w:r>
      <w:r w:rsidR="006870C9" w:rsidRPr="000B518C">
        <w:rPr>
          <w:rFonts w:asciiTheme="minorHAnsi" w:hAnsiTheme="minorHAnsi" w:cstheme="minorHAnsi"/>
        </w:rPr>
        <w:t xml:space="preserve"> (National Counter Terrorism Security Office, 2024)</w:t>
      </w:r>
      <w:r w:rsidR="005A2449" w:rsidRPr="000B518C">
        <w:rPr>
          <w:rFonts w:asciiTheme="minorHAnsi" w:hAnsiTheme="minorHAnsi" w:cstheme="minorHAnsi"/>
        </w:rPr>
        <w:t xml:space="preserve">. By promoting awareness, fostering resilience, and encouraging active participation in countering the terrorist threat, these initiatives contribute to undermining the appeal of extremist narratives and ideologies. Additionally, by emphasizing the role of community involvement and support, they seek to build trust and cohesion within society, reducing the sense of marginalization </w:t>
      </w:r>
      <w:r w:rsidR="005A2449" w:rsidRPr="000B518C">
        <w:rPr>
          <w:rFonts w:asciiTheme="minorHAnsi" w:hAnsiTheme="minorHAnsi" w:cstheme="minorHAnsi"/>
        </w:rPr>
        <w:lastRenderedPageBreak/>
        <w:t>and alienation that can contribute to radicalization</w:t>
      </w:r>
      <w:r w:rsidR="00C03F7C" w:rsidRPr="000B518C">
        <w:rPr>
          <w:rFonts w:asciiTheme="minorHAnsi" w:hAnsiTheme="minorHAnsi" w:cstheme="minorHAnsi"/>
        </w:rPr>
        <w:t xml:space="preserve"> (Home Office, 2023)</w:t>
      </w:r>
      <w:r w:rsidR="005A2449" w:rsidRPr="000B518C">
        <w:rPr>
          <w:rFonts w:asciiTheme="minorHAnsi" w:hAnsiTheme="minorHAnsi" w:cstheme="minorHAnsi"/>
        </w:rPr>
        <w:t>. Overall, while not directly targeting the specific motivations of terrorists, these communication strategies work towards creating a more resilient and cohesive society, thereby addressing some of the root causes and motivations behind terrorism.</w:t>
      </w:r>
    </w:p>
    <w:p w14:paraId="48AF0FC8" w14:textId="77777777" w:rsidR="00A72984" w:rsidRDefault="00A72984" w:rsidP="000B518C">
      <w:pPr>
        <w:spacing w:line="360" w:lineRule="auto"/>
        <w:jc w:val="both"/>
        <w:rPr>
          <w:rFonts w:asciiTheme="minorHAnsi" w:hAnsiTheme="minorHAnsi" w:cstheme="minorHAnsi"/>
        </w:rPr>
      </w:pPr>
    </w:p>
    <w:p w14:paraId="5BD093DA" w14:textId="77777777" w:rsidR="00BB5BA4" w:rsidRPr="000B518C" w:rsidRDefault="00BB5BA4" w:rsidP="000B518C">
      <w:pPr>
        <w:spacing w:line="360" w:lineRule="auto"/>
        <w:jc w:val="both"/>
        <w:rPr>
          <w:rFonts w:asciiTheme="minorHAnsi" w:hAnsiTheme="minorHAnsi" w:cstheme="minorHAnsi"/>
        </w:rPr>
      </w:pPr>
    </w:p>
    <w:p w14:paraId="0DC76B95" w14:textId="77777777" w:rsidR="0094474D" w:rsidRDefault="00A72984" w:rsidP="0094474D">
      <w:pPr>
        <w:spacing w:line="360" w:lineRule="auto"/>
        <w:jc w:val="both"/>
        <w:rPr>
          <w:rFonts w:asciiTheme="minorHAnsi" w:hAnsiTheme="minorHAnsi" w:cstheme="minorHAnsi"/>
        </w:rPr>
      </w:pPr>
      <w:r w:rsidRPr="000B518C">
        <w:rPr>
          <w:rFonts w:asciiTheme="minorHAnsi" w:hAnsiTheme="minorHAnsi" w:cstheme="minorHAnsi"/>
        </w:rPr>
        <w:t>The counterterrorism strategies of the United Kingdom and Denmark exhibit both similarities and differences, offering unique insights into how nations approach the multifaceted challenge of combating terrorism</w:t>
      </w:r>
      <w:r w:rsidR="00D83B4B" w:rsidRPr="000B518C">
        <w:rPr>
          <w:rFonts w:asciiTheme="minorHAnsi" w:hAnsiTheme="minorHAnsi" w:cstheme="minorHAnsi"/>
        </w:rPr>
        <w:t xml:space="preserve"> (Parker, Pearce, Lindekilde, Rogers, 2017)</w:t>
      </w:r>
      <w:r w:rsidRPr="000B518C">
        <w:rPr>
          <w:rFonts w:asciiTheme="minorHAnsi" w:hAnsiTheme="minorHAnsi" w:cstheme="minorHAnsi"/>
        </w:rPr>
        <w:t>. While both countries recognize the importance of counterterrorism communication, with initiatives targeting various audiences, such as frontline staff and vulnerable communities, they differ in the scale and scope of their communication efforts</w:t>
      </w:r>
      <w:r w:rsidR="00D83B4B" w:rsidRPr="000B518C">
        <w:rPr>
          <w:rFonts w:asciiTheme="minorHAnsi" w:hAnsiTheme="minorHAnsi" w:cstheme="minorHAnsi"/>
        </w:rPr>
        <w:t xml:space="preserve"> (Parker, Pearce, Lindekilde, Rogers, 2017)</w:t>
      </w:r>
      <w:r w:rsidRPr="000B518C">
        <w:rPr>
          <w:rFonts w:asciiTheme="minorHAnsi" w:hAnsiTheme="minorHAnsi" w:cstheme="minorHAnsi"/>
        </w:rPr>
        <w:t>.</w:t>
      </w:r>
    </w:p>
    <w:p w14:paraId="6E2F8EBF" w14:textId="1F5B548D" w:rsidR="00CE2D36" w:rsidRPr="000B518C" w:rsidRDefault="00906FC0" w:rsidP="0094474D">
      <w:pPr>
        <w:spacing w:line="360" w:lineRule="auto"/>
        <w:jc w:val="both"/>
        <w:rPr>
          <w:rFonts w:asciiTheme="minorHAnsi" w:hAnsiTheme="minorHAnsi" w:cstheme="minorHAnsi"/>
        </w:rPr>
      </w:pPr>
      <w:r w:rsidRPr="00906FC0">
        <w:rPr>
          <w:rFonts w:asciiTheme="minorHAnsi" w:hAnsiTheme="minorHAnsi" w:cstheme="minorHAnsi"/>
        </w:rPr>
        <w:t>The UK adopts a comprehensive approach, utilizing numerous communication products and involving faith organizations and communities to identify signs of radicalization. In contrast, Denmark relies more on localized campaigns, lacking broad interdiction efforts</w:t>
      </w:r>
      <w:r w:rsidR="0094474D">
        <w:rPr>
          <w:rFonts w:asciiTheme="minorHAnsi" w:hAnsiTheme="minorHAnsi" w:cstheme="minorHAnsi"/>
        </w:rPr>
        <w:t xml:space="preserve"> </w:t>
      </w:r>
      <w:r w:rsidR="0094474D" w:rsidRPr="000B518C">
        <w:rPr>
          <w:rFonts w:asciiTheme="minorHAnsi" w:hAnsiTheme="minorHAnsi" w:cstheme="minorHAnsi"/>
        </w:rPr>
        <w:t>(Parker, Pearce, Lindekilde, Rogers, 2017)</w:t>
      </w:r>
      <w:r w:rsidRPr="00906FC0">
        <w:rPr>
          <w:rFonts w:asciiTheme="minorHAnsi" w:hAnsiTheme="minorHAnsi" w:cstheme="minorHAnsi"/>
        </w:rPr>
        <w:t>. The UK prioritizes coproduction in counterterrorism communication, exemplified by initiatives like the ACT campaign, while Denmark's approach is less unified</w:t>
      </w:r>
      <w:r w:rsidR="0094474D">
        <w:rPr>
          <w:rFonts w:asciiTheme="minorHAnsi" w:hAnsiTheme="minorHAnsi" w:cstheme="minorHAnsi"/>
        </w:rPr>
        <w:t xml:space="preserve"> (</w:t>
      </w:r>
      <w:r w:rsidR="0094474D" w:rsidRPr="000B518C">
        <w:rPr>
          <w:rFonts w:asciiTheme="minorHAnsi" w:hAnsiTheme="minorHAnsi" w:cstheme="minorHAnsi"/>
        </w:rPr>
        <w:t>Home Office, 2023)</w:t>
      </w:r>
      <w:r w:rsidRPr="00906FC0">
        <w:rPr>
          <w:rFonts w:asciiTheme="minorHAnsi" w:hAnsiTheme="minorHAnsi" w:cstheme="minorHAnsi"/>
        </w:rPr>
        <w:t>. Both countries face challenges in addressing lone actor terrorism and evaluating communication impact. While the UK's strategy seems stronger in terms of reach and engagement, Denmark's emphasis on local initiatives highlights the importance of tailored approaches. A critical analysis of their strategies reveals opportunities for mutual learning and enhancement in countering terrorism effectively</w:t>
      </w:r>
      <w:r w:rsidR="0094474D">
        <w:rPr>
          <w:rFonts w:asciiTheme="minorHAnsi" w:hAnsiTheme="minorHAnsi" w:cstheme="minorHAnsi"/>
        </w:rPr>
        <w:t xml:space="preserve"> </w:t>
      </w:r>
      <w:r w:rsidR="0094474D" w:rsidRPr="000B518C">
        <w:rPr>
          <w:rFonts w:asciiTheme="minorHAnsi" w:hAnsiTheme="minorHAnsi" w:cstheme="minorHAnsi"/>
        </w:rPr>
        <w:t>(Parker, Pearce, Lindekilde, Rogers, 2017)</w:t>
      </w:r>
      <w:r w:rsidRPr="00906FC0">
        <w:rPr>
          <w:rFonts w:asciiTheme="minorHAnsi" w:hAnsiTheme="minorHAnsi" w:cstheme="minorHAnsi"/>
        </w:rPr>
        <w:t>.</w:t>
      </w:r>
    </w:p>
    <w:p w14:paraId="318420E9" w14:textId="77777777" w:rsidR="00CE2D36" w:rsidRDefault="00CE2D36" w:rsidP="000B518C">
      <w:pPr>
        <w:spacing w:line="360" w:lineRule="auto"/>
        <w:rPr>
          <w:rFonts w:asciiTheme="minorHAnsi" w:hAnsiTheme="minorHAnsi" w:cstheme="minorHAnsi"/>
        </w:rPr>
      </w:pPr>
    </w:p>
    <w:p w14:paraId="7C455B0D" w14:textId="77777777" w:rsidR="00BB5BA4" w:rsidRDefault="00BB5BA4" w:rsidP="000B518C">
      <w:pPr>
        <w:spacing w:line="360" w:lineRule="auto"/>
        <w:rPr>
          <w:rFonts w:asciiTheme="minorHAnsi" w:hAnsiTheme="minorHAnsi" w:cstheme="minorHAnsi"/>
        </w:rPr>
      </w:pPr>
    </w:p>
    <w:p w14:paraId="501A1647" w14:textId="77777777" w:rsidR="00BB5BA4" w:rsidRDefault="00BB5BA4" w:rsidP="000B518C">
      <w:pPr>
        <w:spacing w:line="360" w:lineRule="auto"/>
        <w:rPr>
          <w:rFonts w:asciiTheme="minorHAnsi" w:hAnsiTheme="minorHAnsi" w:cstheme="minorHAnsi"/>
        </w:rPr>
      </w:pPr>
    </w:p>
    <w:p w14:paraId="036CFF91" w14:textId="77777777" w:rsidR="00BB5BA4" w:rsidRDefault="00BB5BA4" w:rsidP="000B518C">
      <w:pPr>
        <w:spacing w:line="360" w:lineRule="auto"/>
        <w:rPr>
          <w:rFonts w:asciiTheme="minorHAnsi" w:hAnsiTheme="minorHAnsi" w:cstheme="minorHAnsi"/>
        </w:rPr>
      </w:pPr>
    </w:p>
    <w:p w14:paraId="0DB294DE" w14:textId="77777777" w:rsidR="0094474D" w:rsidRDefault="0094474D" w:rsidP="000B518C">
      <w:pPr>
        <w:spacing w:line="360" w:lineRule="auto"/>
        <w:rPr>
          <w:rFonts w:asciiTheme="minorHAnsi" w:hAnsiTheme="minorHAnsi" w:cstheme="minorHAnsi"/>
        </w:rPr>
      </w:pPr>
    </w:p>
    <w:p w14:paraId="52F7BED2" w14:textId="77777777" w:rsidR="0094474D" w:rsidRDefault="0094474D" w:rsidP="000B518C">
      <w:pPr>
        <w:spacing w:line="360" w:lineRule="auto"/>
        <w:rPr>
          <w:rFonts w:asciiTheme="minorHAnsi" w:hAnsiTheme="minorHAnsi" w:cstheme="minorHAnsi"/>
        </w:rPr>
      </w:pPr>
    </w:p>
    <w:p w14:paraId="49EDCA0D" w14:textId="77777777" w:rsidR="0094474D" w:rsidRDefault="0094474D" w:rsidP="000B518C">
      <w:pPr>
        <w:spacing w:line="360" w:lineRule="auto"/>
        <w:rPr>
          <w:rFonts w:asciiTheme="minorHAnsi" w:hAnsiTheme="minorHAnsi" w:cstheme="minorHAnsi"/>
        </w:rPr>
      </w:pPr>
    </w:p>
    <w:p w14:paraId="4F92CFD5" w14:textId="77777777" w:rsidR="00902AFD" w:rsidRDefault="00902AFD" w:rsidP="000B518C">
      <w:pPr>
        <w:spacing w:line="360" w:lineRule="auto"/>
        <w:rPr>
          <w:rFonts w:asciiTheme="minorHAnsi" w:hAnsiTheme="minorHAnsi" w:cstheme="minorHAnsi"/>
        </w:rPr>
      </w:pPr>
    </w:p>
    <w:p w14:paraId="51C3FD43" w14:textId="57C4B441" w:rsidR="00E55A14" w:rsidRPr="000B518C" w:rsidRDefault="00CE2D36" w:rsidP="000B518C">
      <w:pPr>
        <w:spacing w:line="360" w:lineRule="auto"/>
        <w:jc w:val="both"/>
        <w:rPr>
          <w:rFonts w:asciiTheme="minorHAnsi" w:hAnsiTheme="minorHAnsi" w:cstheme="minorHAnsi"/>
        </w:rPr>
      </w:pPr>
      <w:r w:rsidRPr="000B518C">
        <w:rPr>
          <w:rFonts w:asciiTheme="minorHAnsi" w:hAnsiTheme="minorHAnsi" w:cstheme="minorHAnsi"/>
        </w:rPr>
        <w:lastRenderedPageBreak/>
        <w:t>In conclusion, the multifaceted nature of terrorism in the United Kingdom demands a nuanced understanding of its root causes and effective counterterrorism strategies. Political oppression, socio-economic disparities, ethnic or religious tensions, and grievances related to foreign policy all contribute to radicalization and the perpetuation of terrorist activities. The examples of the Irish Republican Army (IRA) and the 7/7 bombings in London underscore the diverse motivations behind terrorism and the enduring impact of such acts on society. While counterterrorism efforts, such as the UK's CONTEST strategy and communication initiatives like Prevent Tragedies and ACT, have made strides in preventing and disrupting radicalization, their effectiveness remains subject to evaluation and refinement. Moving forward, a holistic approach that addresses underlying grievances fosters community resilience, and promotes social cohesion is essential in mitigating the root causes of terrorism and building a safer and more inclusive society. By critically analysing the dynamics of terrorism and counterterrorism, we can pave the way for more effective strategies to combat this global challenge and safeguard the well-being of our communities.</w:t>
      </w:r>
    </w:p>
    <w:p w14:paraId="02A48FD5" w14:textId="77777777" w:rsidR="00E55A14" w:rsidRDefault="00E55A14" w:rsidP="000B518C">
      <w:pPr>
        <w:spacing w:line="360" w:lineRule="auto"/>
        <w:rPr>
          <w:rFonts w:asciiTheme="minorHAnsi" w:hAnsiTheme="minorHAnsi" w:cstheme="minorHAnsi"/>
        </w:rPr>
      </w:pPr>
    </w:p>
    <w:p w14:paraId="579B8F47" w14:textId="77777777" w:rsidR="007A2BF9" w:rsidRPr="000B518C" w:rsidRDefault="007A2BF9" w:rsidP="000B518C">
      <w:pPr>
        <w:spacing w:line="360" w:lineRule="auto"/>
        <w:rPr>
          <w:rFonts w:asciiTheme="minorHAnsi" w:hAnsiTheme="minorHAnsi" w:cstheme="minorHAnsi"/>
        </w:rPr>
      </w:pPr>
    </w:p>
    <w:p w14:paraId="35FE0E30" w14:textId="77777777" w:rsidR="00E55A14" w:rsidRDefault="00E55A14" w:rsidP="00A64BFE">
      <w:pPr>
        <w:rPr>
          <w:rFonts w:asciiTheme="minorHAnsi" w:hAnsiTheme="minorHAnsi" w:cstheme="minorHAnsi"/>
          <w:sz w:val="28"/>
          <w:szCs w:val="28"/>
        </w:rPr>
      </w:pPr>
    </w:p>
    <w:p w14:paraId="30B271C2" w14:textId="77777777" w:rsidR="00307B1C" w:rsidRDefault="00307B1C" w:rsidP="00A64BFE">
      <w:pPr>
        <w:rPr>
          <w:rFonts w:asciiTheme="minorHAnsi" w:hAnsiTheme="minorHAnsi" w:cstheme="minorHAnsi"/>
          <w:sz w:val="28"/>
          <w:szCs w:val="28"/>
        </w:rPr>
      </w:pPr>
    </w:p>
    <w:p w14:paraId="7748B39C" w14:textId="77777777" w:rsidR="00307B1C" w:rsidRDefault="00307B1C" w:rsidP="00A64BFE">
      <w:pPr>
        <w:rPr>
          <w:rFonts w:asciiTheme="minorHAnsi" w:hAnsiTheme="minorHAnsi" w:cstheme="minorHAnsi"/>
          <w:sz w:val="28"/>
          <w:szCs w:val="28"/>
        </w:rPr>
      </w:pPr>
    </w:p>
    <w:p w14:paraId="3BD5D118" w14:textId="77777777" w:rsidR="00307B1C" w:rsidRDefault="00307B1C" w:rsidP="00A64BFE">
      <w:pPr>
        <w:rPr>
          <w:rFonts w:asciiTheme="minorHAnsi" w:hAnsiTheme="minorHAnsi" w:cstheme="minorHAnsi"/>
          <w:sz w:val="28"/>
          <w:szCs w:val="28"/>
        </w:rPr>
      </w:pPr>
    </w:p>
    <w:p w14:paraId="26C85C07" w14:textId="77777777" w:rsidR="00307B1C" w:rsidRDefault="00307B1C" w:rsidP="00A64BFE">
      <w:pPr>
        <w:rPr>
          <w:rFonts w:asciiTheme="minorHAnsi" w:hAnsiTheme="minorHAnsi" w:cstheme="minorHAnsi"/>
          <w:sz w:val="28"/>
          <w:szCs w:val="28"/>
        </w:rPr>
      </w:pPr>
    </w:p>
    <w:p w14:paraId="531DE376" w14:textId="77777777" w:rsidR="00E55A14" w:rsidRDefault="00E55A14" w:rsidP="00A64BFE">
      <w:pPr>
        <w:rPr>
          <w:rFonts w:asciiTheme="minorHAnsi" w:hAnsiTheme="minorHAnsi" w:cstheme="minorHAnsi"/>
          <w:sz w:val="28"/>
          <w:szCs w:val="28"/>
        </w:rPr>
      </w:pPr>
    </w:p>
    <w:p w14:paraId="3085B182" w14:textId="77777777" w:rsidR="00E55A14" w:rsidRDefault="00E55A14" w:rsidP="00A64BFE">
      <w:pPr>
        <w:rPr>
          <w:rFonts w:asciiTheme="minorHAnsi" w:hAnsiTheme="minorHAnsi" w:cstheme="minorHAnsi"/>
          <w:sz w:val="28"/>
          <w:szCs w:val="28"/>
        </w:rPr>
      </w:pPr>
    </w:p>
    <w:p w14:paraId="1DFA38E2" w14:textId="77777777" w:rsidR="00E55A14" w:rsidRDefault="00E55A14" w:rsidP="00A64BFE">
      <w:pPr>
        <w:rPr>
          <w:rFonts w:asciiTheme="minorHAnsi" w:hAnsiTheme="minorHAnsi" w:cstheme="minorHAnsi"/>
          <w:sz w:val="28"/>
          <w:szCs w:val="28"/>
        </w:rPr>
      </w:pPr>
    </w:p>
    <w:p w14:paraId="76412C4F" w14:textId="77777777" w:rsidR="00E55A14" w:rsidRDefault="00E55A14" w:rsidP="00A64BFE">
      <w:pPr>
        <w:rPr>
          <w:rFonts w:asciiTheme="minorHAnsi" w:hAnsiTheme="minorHAnsi" w:cstheme="minorHAnsi"/>
          <w:sz w:val="28"/>
          <w:szCs w:val="28"/>
        </w:rPr>
      </w:pPr>
    </w:p>
    <w:p w14:paraId="69FD6390" w14:textId="77777777" w:rsidR="00E55A14" w:rsidRDefault="00E55A14" w:rsidP="00A64BFE">
      <w:pPr>
        <w:rPr>
          <w:rFonts w:asciiTheme="minorHAnsi" w:hAnsiTheme="minorHAnsi" w:cstheme="minorHAnsi"/>
          <w:sz w:val="28"/>
          <w:szCs w:val="28"/>
        </w:rPr>
      </w:pPr>
    </w:p>
    <w:p w14:paraId="3F8CBA4E" w14:textId="77777777" w:rsidR="00E55A14" w:rsidRDefault="00E55A14" w:rsidP="00A64BFE">
      <w:pPr>
        <w:rPr>
          <w:rFonts w:asciiTheme="minorHAnsi" w:hAnsiTheme="minorHAnsi" w:cstheme="minorHAnsi"/>
          <w:sz w:val="28"/>
          <w:szCs w:val="28"/>
        </w:rPr>
      </w:pPr>
    </w:p>
    <w:p w14:paraId="2A80028B" w14:textId="77777777" w:rsidR="00E55A14" w:rsidRDefault="00E55A14" w:rsidP="00A64BFE">
      <w:pPr>
        <w:rPr>
          <w:rFonts w:asciiTheme="minorHAnsi" w:hAnsiTheme="minorHAnsi" w:cstheme="minorHAnsi"/>
          <w:sz w:val="28"/>
          <w:szCs w:val="28"/>
        </w:rPr>
      </w:pPr>
    </w:p>
    <w:p w14:paraId="5325A86C" w14:textId="77777777" w:rsidR="00E55A14" w:rsidRDefault="00E55A14" w:rsidP="00A64BFE">
      <w:pPr>
        <w:rPr>
          <w:rFonts w:asciiTheme="minorHAnsi" w:hAnsiTheme="minorHAnsi" w:cstheme="minorHAnsi"/>
          <w:sz w:val="28"/>
          <w:szCs w:val="28"/>
        </w:rPr>
      </w:pPr>
    </w:p>
    <w:p w14:paraId="34B2933C" w14:textId="77777777" w:rsidR="00E55A14" w:rsidRDefault="00E55A14" w:rsidP="00A64BFE">
      <w:pPr>
        <w:rPr>
          <w:rFonts w:asciiTheme="minorHAnsi" w:hAnsiTheme="minorHAnsi" w:cstheme="minorHAnsi"/>
          <w:sz w:val="28"/>
          <w:szCs w:val="28"/>
        </w:rPr>
      </w:pPr>
    </w:p>
    <w:p w14:paraId="7F1C0745" w14:textId="77777777" w:rsidR="00516073" w:rsidRDefault="00516073" w:rsidP="00A64BFE">
      <w:pPr>
        <w:rPr>
          <w:rFonts w:asciiTheme="minorHAnsi" w:hAnsiTheme="minorHAnsi" w:cstheme="minorHAnsi"/>
          <w:sz w:val="28"/>
          <w:szCs w:val="28"/>
        </w:rPr>
      </w:pPr>
    </w:p>
    <w:p w14:paraId="22742E20" w14:textId="77777777" w:rsidR="00516073" w:rsidRDefault="00516073" w:rsidP="00A64BFE">
      <w:pPr>
        <w:rPr>
          <w:rFonts w:asciiTheme="minorHAnsi" w:hAnsiTheme="minorHAnsi" w:cstheme="minorHAnsi"/>
          <w:sz w:val="28"/>
          <w:szCs w:val="28"/>
        </w:rPr>
      </w:pPr>
    </w:p>
    <w:p w14:paraId="2E5CF927" w14:textId="77777777" w:rsidR="00516073" w:rsidRDefault="00516073" w:rsidP="00A64BFE">
      <w:pPr>
        <w:rPr>
          <w:rFonts w:asciiTheme="minorHAnsi" w:hAnsiTheme="minorHAnsi" w:cstheme="minorHAnsi"/>
          <w:sz w:val="28"/>
          <w:szCs w:val="28"/>
        </w:rPr>
      </w:pPr>
    </w:p>
    <w:p w14:paraId="0838137D" w14:textId="77777777" w:rsidR="00516073" w:rsidRDefault="00516073" w:rsidP="00A64BFE">
      <w:pPr>
        <w:rPr>
          <w:rFonts w:asciiTheme="minorHAnsi" w:hAnsiTheme="minorHAnsi" w:cstheme="minorHAnsi"/>
          <w:sz w:val="28"/>
          <w:szCs w:val="28"/>
        </w:rPr>
      </w:pPr>
    </w:p>
    <w:p w14:paraId="408642C0" w14:textId="77777777" w:rsidR="00CA180B" w:rsidRDefault="00CA180B" w:rsidP="00A64BFE">
      <w:pPr>
        <w:rPr>
          <w:rFonts w:asciiTheme="minorHAnsi" w:hAnsiTheme="minorHAnsi" w:cstheme="minorHAnsi"/>
          <w:sz w:val="28"/>
          <w:szCs w:val="28"/>
        </w:rPr>
      </w:pPr>
    </w:p>
    <w:p w14:paraId="5109A148" w14:textId="68FBB1F2" w:rsidR="003F5DBE" w:rsidRPr="00D64DFF" w:rsidRDefault="003F5DBE" w:rsidP="00D64DFF">
      <w:pPr>
        <w:rPr>
          <w:rFonts w:asciiTheme="minorHAnsi" w:hAnsiTheme="minorHAnsi" w:cstheme="minorHAnsi"/>
          <w:b/>
          <w:bCs/>
          <w:sz w:val="40"/>
          <w:szCs w:val="40"/>
          <w:u w:val="single"/>
        </w:rPr>
      </w:pPr>
      <w:r w:rsidRPr="00D64DFF">
        <w:rPr>
          <w:rFonts w:asciiTheme="minorHAnsi" w:hAnsiTheme="minorHAnsi" w:cstheme="minorHAnsi"/>
          <w:b/>
          <w:bCs/>
          <w:sz w:val="40"/>
          <w:szCs w:val="40"/>
          <w:u w:val="single"/>
        </w:rPr>
        <w:lastRenderedPageBreak/>
        <w:t xml:space="preserve">References: </w:t>
      </w:r>
    </w:p>
    <w:p w14:paraId="1C33C0EB" w14:textId="77777777" w:rsidR="001C19FB" w:rsidRDefault="001C19FB" w:rsidP="00B46BE1">
      <w:pPr>
        <w:rPr>
          <w:rFonts w:asciiTheme="minorHAnsi" w:hAnsiTheme="minorHAnsi" w:cstheme="minorHAnsi"/>
          <w:color w:val="333333"/>
          <w:sz w:val="28"/>
          <w:szCs w:val="28"/>
          <w:shd w:val="clear" w:color="auto" w:fill="FBFBFB"/>
        </w:rPr>
      </w:pPr>
    </w:p>
    <w:p w14:paraId="5803D223" w14:textId="77777777" w:rsidR="00E93234" w:rsidRPr="00335A98" w:rsidRDefault="00E93234" w:rsidP="00E93234">
      <w:pPr>
        <w:rPr>
          <w:rFonts w:asciiTheme="minorHAnsi" w:hAnsiTheme="minorHAnsi" w:cstheme="minorHAnsi"/>
          <w:color w:val="333333"/>
          <w:shd w:val="clear" w:color="auto" w:fill="FBFBFB"/>
        </w:rPr>
      </w:pPr>
      <w:r w:rsidRPr="00335A98">
        <w:rPr>
          <w:rFonts w:asciiTheme="minorHAnsi" w:hAnsiTheme="minorHAnsi" w:cstheme="minorHAnsi"/>
          <w:color w:val="333333"/>
          <w:shd w:val="clear" w:color="auto" w:fill="FBFBFB"/>
        </w:rPr>
        <w:t>Andrews, S. (2020) “</w:t>
      </w:r>
      <w:r w:rsidRPr="00335A98">
        <w:rPr>
          <w:rFonts w:asciiTheme="minorHAnsi" w:hAnsiTheme="minorHAnsi" w:cstheme="minorHAnsi"/>
          <w:i/>
          <w:iCs/>
          <w:color w:val="333333"/>
          <w:shd w:val="clear" w:color="auto" w:fill="FBFBFB"/>
        </w:rPr>
        <w:t>Prevent Tragedies: A Case Study in Female-targeted Strategic Communications in the United Kingdom’s Prevent Counter-terrorism Policy</w:t>
      </w:r>
      <w:r w:rsidRPr="00335A98">
        <w:rPr>
          <w:rFonts w:asciiTheme="minorHAnsi" w:hAnsiTheme="minorHAnsi" w:cstheme="minorHAnsi"/>
          <w:color w:val="333333"/>
          <w:shd w:val="clear" w:color="auto" w:fill="FBFBFB"/>
        </w:rPr>
        <w:t xml:space="preserve">”, </w:t>
      </w:r>
      <w:r w:rsidRPr="00335A98">
        <w:rPr>
          <w:rFonts w:asciiTheme="minorHAnsi" w:hAnsiTheme="minorHAnsi" w:cstheme="minorHAnsi"/>
          <w:i/>
          <w:iCs/>
          <w:color w:val="333333"/>
          <w:shd w:val="clear" w:color="auto" w:fill="FBFBFB"/>
        </w:rPr>
        <w:t xml:space="preserve">Journal </w:t>
      </w:r>
      <w:proofErr w:type="gramStart"/>
      <w:r w:rsidRPr="00335A98">
        <w:rPr>
          <w:rFonts w:asciiTheme="minorHAnsi" w:hAnsiTheme="minorHAnsi" w:cstheme="minorHAnsi"/>
          <w:i/>
          <w:iCs/>
          <w:color w:val="333333"/>
          <w:shd w:val="clear" w:color="auto" w:fill="FBFBFB"/>
        </w:rPr>
        <w:t>For</w:t>
      </w:r>
      <w:proofErr w:type="gramEnd"/>
      <w:r w:rsidRPr="00335A98">
        <w:rPr>
          <w:rFonts w:asciiTheme="minorHAnsi" w:hAnsiTheme="minorHAnsi" w:cstheme="minorHAnsi"/>
          <w:i/>
          <w:iCs/>
          <w:color w:val="333333"/>
          <w:shd w:val="clear" w:color="auto" w:fill="FBFBFB"/>
        </w:rPr>
        <w:t xml:space="preserve"> Deradicalization</w:t>
      </w:r>
      <w:r w:rsidRPr="00335A98">
        <w:rPr>
          <w:rFonts w:asciiTheme="minorHAnsi" w:hAnsiTheme="minorHAnsi" w:cstheme="minorHAnsi"/>
          <w:color w:val="333333"/>
          <w:shd w:val="clear" w:color="auto" w:fill="FBFBFB"/>
        </w:rPr>
        <w:t>, ISSN: 2363-9849, pp. 3-5</w:t>
      </w:r>
    </w:p>
    <w:p w14:paraId="5BAE739F" w14:textId="77777777" w:rsidR="008826D4" w:rsidRPr="00335A98" w:rsidRDefault="008826D4" w:rsidP="00B46BE1">
      <w:pPr>
        <w:rPr>
          <w:rFonts w:asciiTheme="minorHAnsi" w:hAnsiTheme="minorHAnsi" w:cstheme="minorHAnsi"/>
          <w:color w:val="333333"/>
          <w:shd w:val="clear" w:color="auto" w:fill="FBFBFB"/>
        </w:rPr>
      </w:pPr>
    </w:p>
    <w:p w14:paraId="74A9749D" w14:textId="77777777" w:rsidR="00E93234" w:rsidRPr="00335A98" w:rsidRDefault="00E93234" w:rsidP="00E93234">
      <w:pPr>
        <w:rPr>
          <w:rFonts w:asciiTheme="minorHAnsi" w:hAnsiTheme="minorHAnsi" w:cstheme="minorHAnsi"/>
          <w:color w:val="3A3A3A"/>
          <w:shd w:val="clear" w:color="auto" w:fill="FFFFFF"/>
        </w:rPr>
      </w:pPr>
      <w:r w:rsidRPr="00335A98">
        <w:rPr>
          <w:rFonts w:asciiTheme="minorHAnsi" w:hAnsiTheme="minorHAnsi" w:cstheme="minorHAnsi"/>
          <w:color w:val="3A3A3A"/>
          <w:shd w:val="clear" w:color="auto" w:fill="FFFFFF"/>
        </w:rPr>
        <w:t>Crenshaw (1981) “The Causes of Terrorism,”</w:t>
      </w:r>
      <w:r w:rsidRPr="00335A98">
        <w:rPr>
          <w:rStyle w:val="apple-converted-space"/>
          <w:rFonts w:asciiTheme="minorHAnsi" w:hAnsiTheme="minorHAnsi" w:cstheme="minorHAnsi"/>
          <w:color w:val="3A3A3A"/>
          <w:shd w:val="clear" w:color="auto" w:fill="FFFFFF"/>
        </w:rPr>
        <w:t> </w:t>
      </w:r>
      <w:r w:rsidRPr="00335A98">
        <w:rPr>
          <w:rFonts w:asciiTheme="minorHAnsi" w:hAnsiTheme="minorHAnsi" w:cstheme="minorHAnsi"/>
          <w:i/>
          <w:iCs/>
          <w:color w:val="3A3A3A"/>
        </w:rPr>
        <w:t>Comparative Politics.</w:t>
      </w:r>
      <w:r w:rsidRPr="00335A98">
        <w:rPr>
          <w:rFonts w:asciiTheme="minorHAnsi" w:hAnsiTheme="minorHAnsi" w:cstheme="minorHAnsi"/>
          <w:color w:val="3A3A3A"/>
          <w:shd w:val="clear" w:color="auto" w:fill="FFFFFF"/>
        </w:rPr>
        <w:t>, 13(4).</w:t>
      </w:r>
    </w:p>
    <w:p w14:paraId="7D2C47CE" w14:textId="77777777" w:rsidR="008826D4" w:rsidRPr="00335A98" w:rsidRDefault="008826D4" w:rsidP="00B46BE1">
      <w:pPr>
        <w:rPr>
          <w:rFonts w:asciiTheme="minorHAnsi" w:hAnsiTheme="minorHAnsi" w:cstheme="minorHAnsi"/>
          <w:color w:val="333333"/>
          <w:shd w:val="clear" w:color="auto" w:fill="FBFBFB"/>
        </w:rPr>
      </w:pPr>
    </w:p>
    <w:p w14:paraId="15FAD606"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English, R. (2008). </w:t>
      </w:r>
      <w:r w:rsidRPr="008826D4">
        <w:rPr>
          <w:rFonts w:asciiTheme="minorHAnsi" w:hAnsiTheme="minorHAnsi" w:cstheme="minorHAnsi"/>
          <w:i/>
          <w:iCs/>
          <w:color w:val="000000"/>
        </w:rPr>
        <w:t>Armed Struggle: The History of the IRA</w:t>
      </w:r>
      <w:r w:rsidRPr="008826D4">
        <w:rPr>
          <w:rFonts w:asciiTheme="minorHAnsi" w:hAnsiTheme="minorHAnsi" w:cstheme="minorHAnsi"/>
          <w:color w:val="000000"/>
        </w:rPr>
        <w:t>. [online] </w:t>
      </w:r>
      <w:r w:rsidRPr="008826D4">
        <w:rPr>
          <w:rFonts w:asciiTheme="minorHAnsi" w:hAnsiTheme="minorHAnsi" w:cstheme="minorHAnsi"/>
          <w:i/>
          <w:iCs/>
          <w:color w:val="000000"/>
        </w:rPr>
        <w:t>Google Books</w:t>
      </w:r>
      <w:r w:rsidRPr="008826D4">
        <w:rPr>
          <w:rFonts w:asciiTheme="minorHAnsi" w:hAnsiTheme="minorHAnsi" w:cstheme="minorHAnsi"/>
          <w:color w:val="000000"/>
        </w:rPr>
        <w:t>. Pan Macmillan. Available at: https://books.google.co.uk/books?hl=en&amp;lr=&amp;id=K-XsIheKNYIC&amp;oi=fnd&amp;pg=PT11&amp;dq=IRA+&amp;ots=AnkWepeCbz&amp;sig=Eis6FQ9XLU7cjGeNNv-hMUhKUEQ&amp;redir_esc=y#v=onepage&amp;q=IRA&amp;f=false [Accessed 5 Feb. 2024].</w:t>
      </w:r>
    </w:p>
    <w:p w14:paraId="52F161FF"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Gregory, F. (2009). </w:t>
      </w:r>
      <w:r w:rsidRPr="008826D4">
        <w:rPr>
          <w:rFonts w:asciiTheme="minorHAnsi" w:hAnsiTheme="minorHAnsi" w:cstheme="minorHAnsi"/>
          <w:i/>
          <w:iCs/>
          <w:color w:val="000000"/>
        </w:rPr>
        <w:t>CONTEST (2009): An Evaluation of Revisions to the UK Counter-Terrorism Strategy with a Special Focus on the CBRNE Threat (ARI)</w:t>
      </w:r>
      <w:r w:rsidRPr="008826D4">
        <w:rPr>
          <w:rFonts w:asciiTheme="minorHAnsi" w:hAnsiTheme="minorHAnsi" w:cstheme="minorHAnsi"/>
          <w:color w:val="000000"/>
        </w:rPr>
        <w:t>. [online] Available at: https://media.realinstitutoelcano.org/wp-content/uploads/2009/09/ari130-2009-gregory-contest2009-uk-counter-terrorism-strategy.pdf.</w:t>
      </w:r>
    </w:p>
    <w:p w14:paraId="265B72BB" w14:textId="08D48F18" w:rsidR="00E93234" w:rsidRPr="00335A98" w:rsidRDefault="00E93234" w:rsidP="00E93234">
      <w:pPr>
        <w:rPr>
          <w:rFonts w:asciiTheme="minorHAnsi" w:hAnsiTheme="minorHAnsi" w:cstheme="minorHAnsi"/>
          <w:color w:val="333333"/>
          <w:shd w:val="clear" w:color="auto" w:fill="FBFBFB"/>
        </w:rPr>
      </w:pPr>
      <w:r w:rsidRPr="00335A98">
        <w:rPr>
          <w:rFonts w:asciiTheme="minorHAnsi" w:hAnsiTheme="minorHAnsi" w:cstheme="minorHAnsi"/>
          <w:color w:val="333333"/>
          <w:shd w:val="clear" w:color="auto" w:fill="FBFBFB"/>
        </w:rPr>
        <w:t xml:space="preserve">Home Office, Secretary of State for the Home Department (2023), </w:t>
      </w:r>
      <w:r w:rsidRPr="00335A98">
        <w:rPr>
          <w:rFonts w:asciiTheme="minorHAnsi" w:hAnsiTheme="minorHAnsi" w:cstheme="minorHAnsi"/>
          <w:i/>
          <w:iCs/>
          <w:color w:val="333333"/>
          <w:shd w:val="clear" w:color="auto" w:fill="FBFBFB"/>
        </w:rPr>
        <w:t xml:space="preserve">“The United Kingdom’s Strategy for Countering Terrorism 2023”, </w:t>
      </w:r>
      <w:r w:rsidRPr="00335A98">
        <w:rPr>
          <w:rFonts w:asciiTheme="minorHAnsi" w:hAnsiTheme="minorHAnsi" w:cstheme="minorHAnsi"/>
          <w:color w:val="333333"/>
          <w:shd w:val="clear" w:color="auto" w:fill="FBFBFB"/>
        </w:rPr>
        <w:t xml:space="preserve">Available at: </w:t>
      </w:r>
      <w:proofErr w:type="gramStart"/>
      <w:r w:rsidRPr="00335A98">
        <w:rPr>
          <w:rFonts w:asciiTheme="minorHAnsi" w:hAnsiTheme="minorHAnsi" w:cstheme="minorHAnsi"/>
          <w:color w:val="333333"/>
          <w:shd w:val="clear" w:color="auto" w:fill="FBFBFB"/>
        </w:rPr>
        <w:t>https://assets.publishing.service.gov.uk/media/650b1b8d52e73c000d54dc82/CONTEST_2023_English_updated.pdf .</w:t>
      </w:r>
      <w:proofErr w:type="gramEnd"/>
      <w:r w:rsidRPr="00335A98">
        <w:rPr>
          <w:rFonts w:asciiTheme="minorHAnsi" w:hAnsiTheme="minorHAnsi" w:cstheme="minorHAnsi"/>
          <w:color w:val="333333"/>
          <w:shd w:val="clear" w:color="auto" w:fill="FBFBFB"/>
        </w:rPr>
        <w:t xml:space="preserve"> </w:t>
      </w:r>
      <w:r w:rsidR="00805828">
        <w:rPr>
          <w:rFonts w:asciiTheme="minorHAnsi" w:hAnsiTheme="minorHAnsi" w:cstheme="minorHAnsi"/>
          <w:color w:val="333333"/>
          <w:shd w:val="clear" w:color="auto" w:fill="FBFBFB"/>
        </w:rPr>
        <w:t>[</w:t>
      </w:r>
      <w:r w:rsidRPr="00335A98">
        <w:rPr>
          <w:rFonts w:asciiTheme="minorHAnsi" w:hAnsiTheme="minorHAnsi" w:cstheme="minorHAnsi"/>
          <w:color w:val="333333"/>
          <w:shd w:val="clear" w:color="auto" w:fill="FBFBFB"/>
        </w:rPr>
        <w:t>Accessed: 06.01.2024</w:t>
      </w:r>
      <w:r w:rsidR="00805828">
        <w:rPr>
          <w:rFonts w:asciiTheme="minorHAnsi" w:hAnsiTheme="minorHAnsi" w:cstheme="minorHAnsi"/>
          <w:color w:val="333333"/>
          <w:shd w:val="clear" w:color="auto" w:fill="FBFBFB"/>
        </w:rPr>
        <w:t>].</w:t>
      </w:r>
    </w:p>
    <w:p w14:paraId="3F91A3E3" w14:textId="77777777" w:rsidR="00D64DFF" w:rsidRPr="00335A98" w:rsidRDefault="00D64DFF" w:rsidP="00E93234">
      <w:pPr>
        <w:rPr>
          <w:rFonts w:asciiTheme="minorHAnsi" w:hAnsiTheme="minorHAnsi" w:cstheme="minorHAnsi"/>
          <w:color w:val="333333"/>
          <w:shd w:val="clear" w:color="auto" w:fill="FBFBFB"/>
        </w:rPr>
      </w:pPr>
    </w:p>
    <w:p w14:paraId="64792CCE" w14:textId="5DA11040" w:rsidR="00D7795F" w:rsidRPr="00335A98" w:rsidRDefault="00D7795F" w:rsidP="00D7795F">
      <w:pPr>
        <w:rPr>
          <w:rFonts w:asciiTheme="minorHAnsi" w:hAnsiTheme="minorHAnsi" w:cstheme="minorHAnsi"/>
          <w:color w:val="3A3A3A"/>
          <w:shd w:val="clear" w:color="auto" w:fill="FFFFFF"/>
        </w:rPr>
      </w:pPr>
      <w:r w:rsidRPr="00335A98">
        <w:rPr>
          <w:rFonts w:asciiTheme="minorHAnsi" w:hAnsiTheme="minorHAnsi" w:cstheme="minorHAnsi"/>
          <w:color w:val="3A3A3A"/>
          <w:shd w:val="clear" w:color="auto" w:fill="FFFFFF"/>
        </w:rPr>
        <w:t>Hoskins, A. (2011) “7/7 and connective memory: Interactional Trajectories of Remembering in Post-Scarcity Culture,”</w:t>
      </w:r>
      <w:r w:rsidRPr="00335A98">
        <w:rPr>
          <w:rStyle w:val="apple-converted-space"/>
          <w:rFonts w:asciiTheme="minorHAnsi" w:hAnsiTheme="minorHAnsi" w:cstheme="minorHAnsi"/>
          <w:color w:val="3A3A3A"/>
          <w:shd w:val="clear" w:color="auto" w:fill="FFFFFF"/>
        </w:rPr>
        <w:t> </w:t>
      </w:r>
      <w:r w:rsidRPr="00335A98">
        <w:rPr>
          <w:rFonts w:asciiTheme="minorHAnsi" w:hAnsiTheme="minorHAnsi" w:cstheme="minorHAnsi"/>
          <w:i/>
          <w:iCs/>
          <w:color w:val="3A3A3A"/>
        </w:rPr>
        <w:t>Memory Studies</w:t>
      </w:r>
      <w:r w:rsidRPr="00335A98">
        <w:rPr>
          <w:rFonts w:asciiTheme="minorHAnsi" w:hAnsiTheme="minorHAnsi" w:cstheme="minorHAnsi"/>
          <w:color w:val="3A3A3A"/>
          <w:shd w:val="clear" w:color="auto" w:fill="FFFFFF"/>
        </w:rPr>
        <w:t xml:space="preserve">, 4(3), pp. 269–280. </w:t>
      </w:r>
      <w:r w:rsidR="00805828">
        <w:rPr>
          <w:rFonts w:asciiTheme="minorHAnsi" w:hAnsiTheme="minorHAnsi" w:cstheme="minorHAnsi"/>
          <w:color w:val="3A3A3A"/>
          <w:shd w:val="clear" w:color="auto" w:fill="FFFFFF"/>
        </w:rPr>
        <w:t>[</w:t>
      </w:r>
      <w:r w:rsidRPr="00335A98">
        <w:rPr>
          <w:rFonts w:asciiTheme="minorHAnsi" w:hAnsiTheme="minorHAnsi" w:cstheme="minorHAnsi"/>
          <w:color w:val="3A3A3A"/>
          <w:shd w:val="clear" w:color="auto" w:fill="FFFFFF"/>
        </w:rPr>
        <w:t xml:space="preserve">Available at: </w:t>
      </w:r>
      <w:hyperlink r:id="rId5" w:history="1">
        <w:r w:rsidRPr="00335A98">
          <w:rPr>
            <w:rStyle w:val="Hyperlink"/>
            <w:rFonts w:asciiTheme="minorHAnsi" w:hAnsiTheme="minorHAnsi" w:cstheme="minorHAnsi"/>
            <w:shd w:val="clear" w:color="auto" w:fill="FFFFFF"/>
          </w:rPr>
          <w:t>https://doi.org/10.1177/1750698011402570</w:t>
        </w:r>
      </w:hyperlink>
      <w:r w:rsidRPr="00335A98">
        <w:rPr>
          <w:rFonts w:asciiTheme="minorHAnsi" w:hAnsiTheme="minorHAnsi" w:cstheme="minorHAnsi"/>
          <w:color w:val="3A3A3A"/>
          <w:shd w:val="clear" w:color="auto" w:fill="FFFFFF"/>
        </w:rPr>
        <w:t>.]</w:t>
      </w:r>
    </w:p>
    <w:p w14:paraId="4EC89BDC" w14:textId="77777777" w:rsidR="00E93234" w:rsidRPr="00335A98" w:rsidRDefault="00E93234" w:rsidP="00E93234">
      <w:pPr>
        <w:rPr>
          <w:rFonts w:asciiTheme="minorHAnsi" w:hAnsiTheme="minorHAnsi" w:cstheme="minorHAnsi"/>
        </w:rPr>
      </w:pPr>
    </w:p>
    <w:p w14:paraId="456E3129" w14:textId="08824638" w:rsidR="00E93234" w:rsidRDefault="00E93234" w:rsidP="00D7795F">
      <w:pPr>
        <w:rPr>
          <w:rFonts w:asciiTheme="minorHAnsi" w:hAnsiTheme="minorHAnsi" w:cstheme="minorHAnsi"/>
          <w:color w:val="333333"/>
          <w:shd w:val="clear" w:color="auto" w:fill="FBFBFB"/>
        </w:rPr>
      </w:pPr>
      <w:r w:rsidRPr="00335A98">
        <w:rPr>
          <w:rFonts w:asciiTheme="minorHAnsi" w:hAnsiTheme="minorHAnsi" w:cstheme="minorHAnsi"/>
          <w:color w:val="333333"/>
          <w:shd w:val="clear" w:color="auto" w:fill="FBFBFB"/>
        </w:rPr>
        <w:t xml:space="preserve">House of Commons Northern Ireland Affair Committee (2008) </w:t>
      </w:r>
      <w:r w:rsidRPr="00335A98">
        <w:rPr>
          <w:rFonts w:asciiTheme="minorHAnsi" w:hAnsiTheme="minorHAnsi" w:cstheme="minorHAnsi"/>
          <w:i/>
          <w:iCs/>
          <w:color w:val="333333"/>
          <w:shd w:val="clear" w:color="auto" w:fill="FBFBFB"/>
        </w:rPr>
        <w:t>'</w:t>
      </w:r>
      <w:r w:rsidRPr="00335A98">
        <w:rPr>
          <w:rFonts w:asciiTheme="minorHAnsi" w:hAnsiTheme="minorHAnsi" w:cstheme="minorHAnsi"/>
          <w:i/>
          <w:iCs/>
          <w:color w:val="000000"/>
        </w:rPr>
        <w:t>Policing and Criminal Justice in Northern Ireland: the Cost of Policing the Past</w:t>
      </w:r>
      <w:r w:rsidRPr="00335A98">
        <w:rPr>
          <w:rFonts w:asciiTheme="minorHAnsi" w:hAnsiTheme="minorHAnsi" w:cstheme="minorHAnsi"/>
          <w:i/>
          <w:iCs/>
          <w:color w:val="333333"/>
          <w:shd w:val="clear" w:color="auto" w:fill="FBFBFB"/>
        </w:rPr>
        <w:t>'</w:t>
      </w:r>
      <w:r w:rsidRPr="00335A98">
        <w:rPr>
          <w:rFonts w:asciiTheme="minorHAnsi" w:hAnsiTheme="minorHAnsi" w:cstheme="minorHAnsi"/>
          <w:color w:val="333333"/>
          <w:shd w:val="clear" w:color="auto" w:fill="FBFBFB"/>
        </w:rPr>
        <w:t>,</w:t>
      </w:r>
      <w:r w:rsidRPr="00335A98">
        <w:rPr>
          <w:rStyle w:val="apple-converted-space"/>
          <w:rFonts w:asciiTheme="minorHAnsi" w:hAnsiTheme="minorHAnsi" w:cstheme="minorHAnsi"/>
          <w:color w:val="333333"/>
          <w:shd w:val="clear" w:color="auto" w:fill="FBFBFB"/>
        </w:rPr>
        <w:t> </w:t>
      </w:r>
      <w:r w:rsidRPr="00335A98">
        <w:rPr>
          <w:rFonts w:asciiTheme="minorHAnsi" w:hAnsiTheme="minorHAnsi" w:cstheme="minorHAnsi"/>
          <w:i/>
          <w:iCs/>
          <w:color w:val="333333"/>
        </w:rPr>
        <w:t>Available at: </w:t>
      </w:r>
      <w:hyperlink r:id="rId6" w:history="1">
        <w:r w:rsidRPr="00335A98">
          <w:rPr>
            <w:rStyle w:val="Hyperlink"/>
            <w:rFonts w:asciiTheme="minorHAnsi" w:hAnsiTheme="minorHAnsi" w:cstheme="minorHAnsi"/>
            <w:color w:val="20366F"/>
          </w:rPr>
          <w:t>https://publications.parliament.uk/pa/cm200708/cmselect/cmniaf/333/333.pdf</w:t>
        </w:r>
      </w:hyperlink>
      <w:r w:rsidRPr="00335A98">
        <w:rPr>
          <w:rFonts w:asciiTheme="minorHAnsi" w:hAnsiTheme="minorHAnsi" w:cstheme="minorHAnsi"/>
          <w:color w:val="333333"/>
          <w:shd w:val="clear" w:color="auto" w:fill="FBFBFB"/>
        </w:rPr>
        <w:t> </w:t>
      </w:r>
      <w:r w:rsidR="00805828">
        <w:rPr>
          <w:rFonts w:asciiTheme="minorHAnsi" w:hAnsiTheme="minorHAnsi" w:cstheme="minorHAnsi"/>
          <w:color w:val="333333"/>
          <w:shd w:val="clear" w:color="auto" w:fill="FBFBFB"/>
        </w:rPr>
        <w:t>[</w:t>
      </w:r>
      <w:r w:rsidRPr="00335A98">
        <w:rPr>
          <w:rFonts w:asciiTheme="minorHAnsi" w:hAnsiTheme="minorHAnsi" w:cstheme="minorHAnsi"/>
          <w:color w:val="333333"/>
          <w:shd w:val="clear" w:color="auto" w:fill="FBFBFB"/>
        </w:rPr>
        <w:t>Accessed: 05.02.2024</w:t>
      </w:r>
      <w:r w:rsidR="00805828">
        <w:rPr>
          <w:rFonts w:asciiTheme="minorHAnsi" w:hAnsiTheme="minorHAnsi" w:cstheme="minorHAnsi"/>
          <w:color w:val="333333"/>
          <w:shd w:val="clear" w:color="auto" w:fill="FBFBFB"/>
        </w:rPr>
        <w:t>].</w:t>
      </w:r>
    </w:p>
    <w:p w14:paraId="2C5896E1" w14:textId="77777777" w:rsidR="00805828" w:rsidRPr="00805828" w:rsidRDefault="00805828" w:rsidP="00D7795F">
      <w:pPr>
        <w:rPr>
          <w:rFonts w:asciiTheme="minorHAnsi" w:hAnsiTheme="minorHAnsi" w:cstheme="minorHAnsi"/>
          <w:color w:val="333333"/>
          <w:shd w:val="clear" w:color="auto" w:fill="FBFBFB"/>
        </w:rPr>
      </w:pPr>
    </w:p>
    <w:p w14:paraId="114947DC" w14:textId="3384B81E"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Hughes, K. (2014). </w:t>
      </w:r>
      <w:r w:rsidRPr="008826D4">
        <w:rPr>
          <w:rFonts w:asciiTheme="minorHAnsi" w:hAnsiTheme="minorHAnsi" w:cstheme="minorHAnsi"/>
          <w:i/>
          <w:iCs/>
          <w:color w:val="000000"/>
        </w:rPr>
        <w:t>Terror Attack Brighton: Blowing up the Iron Lady</w:t>
      </w:r>
      <w:r w:rsidRPr="008826D4">
        <w:rPr>
          <w:rFonts w:asciiTheme="minorHAnsi" w:hAnsiTheme="minorHAnsi" w:cstheme="minorHAnsi"/>
          <w:color w:val="000000"/>
        </w:rPr>
        <w:t>. [online] </w:t>
      </w:r>
      <w:r w:rsidRPr="008826D4">
        <w:rPr>
          <w:rFonts w:asciiTheme="minorHAnsi" w:hAnsiTheme="minorHAnsi" w:cstheme="minorHAnsi"/>
          <w:i/>
          <w:iCs/>
          <w:color w:val="000000"/>
        </w:rPr>
        <w:t>Google Books</w:t>
      </w:r>
      <w:r w:rsidRPr="008826D4">
        <w:rPr>
          <w:rFonts w:asciiTheme="minorHAnsi" w:hAnsiTheme="minorHAnsi" w:cstheme="minorHAnsi"/>
          <w:color w:val="000000"/>
        </w:rPr>
        <w:t>. Pen and Sword. Available at:</w:t>
      </w:r>
      <w:r w:rsidR="00E93234" w:rsidRPr="00335A98">
        <w:rPr>
          <w:rFonts w:asciiTheme="minorHAnsi" w:hAnsiTheme="minorHAnsi" w:cstheme="minorHAnsi"/>
          <w:color w:val="000000"/>
        </w:rPr>
        <w:t xml:space="preserve"> </w:t>
      </w:r>
      <w:hyperlink r:id="rId7" w:anchor="v=onepage&amp;q=IRA%20brighton%20hotel%20bombing&amp;f=false" w:history="1">
        <w:r w:rsidR="00335A98" w:rsidRPr="008826D4">
          <w:rPr>
            <w:rStyle w:val="Hyperlink"/>
            <w:rFonts w:asciiTheme="minorHAnsi" w:hAnsiTheme="minorHAnsi" w:cstheme="minorHAnsi"/>
          </w:rPr>
          <w:t>https://books.google.co.uk/books?hl=en&amp;lr=&amp;id=izQRBQAAQBAJ&amp;oi=fnd&amp;pg=PT7&amp;dq=IRA+brighton+hotel+bombing+&amp;ots=Qgwh-hgeUS&amp;sig=Xaff_nKanCZbzKUmUYUxKE_Jtnk&amp;redir_esc=y#v=onepage&amp;q=IRA%20brighton%20hotel%20bombing&amp;f=false</w:t>
        </w:r>
      </w:hyperlink>
      <w:r w:rsidR="00335A98">
        <w:rPr>
          <w:rFonts w:asciiTheme="minorHAnsi" w:hAnsiTheme="minorHAnsi" w:cstheme="minorHAnsi"/>
          <w:color w:val="000000"/>
        </w:rPr>
        <w:t xml:space="preserve"> </w:t>
      </w:r>
      <w:r w:rsidRPr="008826D4">
        <w:rPr>
          <w:rFonts w:asciiTheme="minorHAnsi" w:hAnsiTheme="minorHAnsi" w:cstheme="minorHAnsi"/>
          <w:color w:val="000000"/>
        </w:rPr>
        <w:t xml:space="preserve"> [Accessed 5 Feb. 2024].</w:t>
      </w:r>
    </w:p>
    <w:p w14:paraId="696300F1" w14:textId="77777777" w:rsidR="00D64DFF" w:rsidRPr="00335A98" w:rsidRDefault="00D64DFF" w:rsidP="00D64DFF">
      <w:pPr>
        <w:rPr>
          <w:rFonts w:asciiTheme="minorHAnsi" w:hAnsiTheme="minorHAnsi" w:cstheme="minorHAnsi"/>
          <w:color w:val="3A3A3A"/>
          <w:shd w:val="clear" w:color="auto" w:fill="FFFFFF"/>
        </w:rPr>
      </w:pPr>
      <w:r w:rsidRPr="00335A98">
        <w:rPr>
          <w:rFonts w:asciiTheme="minorHAnsi" w:hAnsiTheme="minorHAnsi" w:cstheme="minorHAnsi"/>
          <w:color w:val="3A3A3A"/>
          <w:shd w:val="clear" w:color="auto" w:fill="FFFFFF"/>
        </w:rPr>
        <w:t>Kydd, A.H. and Walter, B.F. (2006) “The Strategies of Terrorism,”</w:t>
      </w:r>
      <w:r w:rsidRPr="00335A98">
        <w:rPr>
          <w:rStyle w:val="apple-converted-space"/>
          <w:rFonts w:asciiTheme="minorHAnsi" w:hAnsiTheme="minorHAnsi" w:cstheme="minorHAnsi"/>
          <w:color w:val="3A3A3A"/>
          <w:shd w:val="clear" w:color="auto" w:fill="FFFFFF"/>
        </w:rPr>
        <w:t> </w:t>
      </w:r>
      <w:r w:rsidRPr="00335A98">
        <w:rPr>
          <w:rFonts w:asciiTheme="minorHAnsi" w:hAnsiTheme="minorHAnsi" w:cstheme="minorHAnsi"/>
          <w:i/>
          <w:iCs/>
          <w:color w:val="3A3A3A"/>
        </w:rPr>
        <w:t>International Security.</w:t>
      </w:r>
      <w:r w:rsidRPr="00335A98">
        <w:rPr>
          <w:rFonts w:asciiTheme="minorHAnsi" w:hAnsiTheme="minorHAnsi" w:cstheme="minorHAnsi"/>
          <w:color w:val="3A3A3A"/>
          <w:shd w:val="clear" w:color="auto" w:fill="FFFFFF"/>
        </w:rPr>
        <w:t xml:space="preserve">, 31(1), pp. 49–80. Available at: </w:t>
      </w:r>
      <w:hyperlink r:id="rId8" w:history="1">
        <w:r w:rsidRPr="00335A98">
          <w:rPr>
            <w:rStyle w:val="Hyperlink"/>
            <w:rFonts w:asciiTheme="minorHAnsi" w:hAnsiTheme="minorHAnsi" w:cstheme="minorHAnsi"/>
            <w:shd w:val="clear" w:color="auto" w:fill="FFFFFF"/>
          </w:rPr>
          <w:t>https://doi.org/10.1162/isec.2006.31.1.49</w:t>
        </w:r>
      </w:hyperlink>
      <w:r w:rsidRPr="00335A98">
        <w:rPr>
          <w:rFonts w:asciiTheme="minorHAnsi" w:hAnsiTheme="minorHAnsi" w:cstheme="minorHAnsi"/>
          <w:color w:val="3A3A3A"/>
          <w:shd w:val="clear" w:color="auto" w:fill="FFFFFF"/>
        </w:rPr>
        <w:t>.</w:t>
      </w:r>
    </w:p>
    <w:p w14:paraId="0826E50E" w14:textId="77777777" w:rsidR="00D64DFF" w:rsidRPr="00335A98" w:rsidRDefault="00D64DFF" w:rsidP="00D64DFF">
      <w:pPr>
        <w:rPr>
          <w:rFonts w:asciiTheme="minorHAnsi" w:hAnsiTheme="minorHAnsi" w:cstheme="minorHAnsi"/>
          <w:color w:val="3A3A3A"/>
          <w:shd w:val="clear" w:color="auto" w:fill="FFFFFF"/>
        </w:rPr>
      </w:pPr>
    </w:p>
    <w:p w14:paraId="43567CB1" w14:textId="61098E8F"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lastRenderedPageBreak/>
        <w:t>McAuley, J.W. and Ferguson, N. (2016). ‘Us’ and ‘Them’: Ulster Loyalist Perspectives on the IRA and Irish Republicanism. </w:t>
      </w:r>
      <w:r w:rsidRPr="008826D4">
        <w:rPr>
          <w:rFonts w:asciiTheme="minorHAnsi" w:hAnsiTheme="minorHAnsi" w:cstheme="minorHAnsi"/>
          <w:i/>
          <w:iCs/>
          <w:color w:val="000000"/>
        </w:rPr>
        <w:t>Terrorism and Political Violence</w:t>
      </w:r>
      <w:r w:rsidRPr="008826D4">
        <w:rPr>
          <w:rFonts w:asciiTheme="minorHAnsi" w:hAnsiTheme="minorHAnsi" w:cstheme="minorHAnsi"/>
          <w:color w:val="000000"/>
        </w:rPr>
        <w:t xml:space="preserve">, 28(3), pp.561–575. </w:t>
      </w:r>
      <w:proofErr w:type="spellStart"/>
      <w:proofErr w:type="gramStart"/>
      <w:r w:rsidRPr="008826D4">
        <w:rPr>
          <w:rFonts w:asciiTheme="minorHAnsi" w:hAnsiTheme="minorHAnsi" w:cstheme="minorHAnsi"/>
          <w:color w:val="000000"/>
        </w:rPr>
        <w:t>doi:https</w:t>
      </w:r>
      <w:proofErr w:type="spellEnd"/>
      <w:r w:rsidRPr="008826D4">
        <w:rPr>
          <w:rFonts w:asciiTheme="minorHAnsi" w:hAnsiTheme="minorHAnsi" w:cstheme="minorHAnsi"/>
          <w:color w:val="000000"/>
        </w:rPr>
        <w:t>://doi.org/10.1080/09546553.2016.1155938</w:t>
      </w:r>
      <w:proofErr w:type="gramEnd"/>
      <w:r w:rsidR="00335A98">
        <w:rPr>
          <w:rFonts w:asciiTheme="minorHAnsi" w:hAnsiTheme="minorHAnsi" w:cstheme="minorHAnsi"/>
          <w:color w:val="000000"/>
        </w:rPr>
        <w:t xml:space="preserve">. </w:t>
      </w:r>
    </w:p>
    <w:p w14:paraId="67FA6DDC"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National Counter Terrorism Security Office (2024). </w:t>
      </w:r>
      <w:r w:rsidRPr="008826D4">
        <w:rPr>
          <w:rFonts w:asciiTheme="minorHAnsi" w:hAnsiTheme="minorHAnsi" w:cstheme="minorHAnsi"/>
          <w:i/>
          <w:iCs/>
          <w:color w:val="000000"/>
        </w:rPr>
        <w:t>https://www.protectuk.police.uk/</w:t>
      </w:r>
      <w:r w:rsidRPr="008826D4">
        <w:rPr>
          <w:rFonts w:asciiTheme="minorHAnsi" w:hAnsiTheme="minorHAnsi" w:cstheme="minorHAnsi"/>
          <w:color w:val="000000"/>
        </w:rPr>
        <w:t xml:space="preserve">. [online] </w:t>
      </w:r>
      <w:proofErr w:type="spellStart"/>
      <w:r w:rsidRPr="008826D4">
        <w:rPr>
          <w:rFonts w:asciiTheme="minorHAnsi" w:hAnsiTheme="minorHAnsi" w:cstheme="minorHAnsi"/>
          <w:color w:val="000000"/>
        </w:rPr>
        <w:t>ProtectUK</w:t>
      </w:r>
      <w:proofErr w:type="spellEnd"/>
      <w:r w:rsidRPr="008826D4">
        <w:rPr>
          <w:rFonts w:asciiTheme="minorHAnsi" w:hAnsiTheme="minorHAnsi" w:cstheme="minorHAnsi"/>
          <w:color w:val="000000"/>
        </w:rPr>
        <w:t>. Available at: https://www.protectuk.police.uk.</w:t>
      </w:r>
    </w:p>
    <w:p w14:paraId="0D558FC7"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Newman, E. (2006). Exploring the ‘Root Causes’ of Terrorism. </w:t>
      </w:r>
      <w:r w:rsidRPr="008826D4">
        <w:rPr>
          <w:rFonts w:asciiTheme="minorHAnsi" w:hAnsiTheme="minorHAnsi" w:cstheme="minorHAnsi"/>
          <w:i/>
          <w:iCs/>
          <w:color w:val="000000"/>
        </w:rPr>
        <w:t>Studies in Conflict &amp; Terrorism</w:t>
      </w:r>
      <w:r w:rsidRPr="008826D4">
        <w:rPr>
          <w:rFonts w:asciiTheme="minorHAnsi" w:hAnsiTheme="minorHAnsi" w:cstheme="minorHAnsi"/>
          <w:color w:val="000000"/>
        </w:rPr>
        <w:t>, 29(8), pp.749–772.</w:t>
      </w:r>
    </w:p>
    <w:p w14:paraId="5F970EB5" w14:textId="63D90C94" w:rsidR="00D64DFF" w:rsidRPr="00335A98" w:rsidRDefault="008826D4" w:rsidP="00335A98">
      <w:pPr>
        <w:spacing w:after="240" w:line="360" w:lineRule="atLeast"/>
        <w:rPr>
          <w:rFonts w:asciiTheme="minorHAnsi" w:hAnsiTheme="minorHAnsi" w:cstheme="minorHAnsi"/>
          <w:color w:val="000000"/>
        </w:rPr>
      </w:pPr>
      <w:r w:rsidRPr="008826D4">
        <w:rPr>
          <w:rFonts w:asciiTheme="minorHAnsi" w:hAnsiTheme="minorHAnsi" w:cstheme="minorHAnsi"/>
          <w:color w:val="000000"/>
        </w:rPr>
        <w:t>Northern Ireland Office (1998). </w:t>
      </w:r>
      <w:r w:rsidRPr="008826D4">
        <w:rPr>
          <w:rFonts w:asciiTheme="minorHAnsi" w:hAnsiTheme="minorHAnsi" w:cstheme="minorHAnsi"/>
          <w:i/>
          <w:iCs/>
          <w:color w:val="000000"/>
        </w:rPr>
        <w:t>The Belfast Agreement</w:t>
      </w:r>
      <w:r w:rsidRPr="008826D4">
        <w:rPr>
          <w:rFonts w:asciiTheme="minorHAnsi" w:hAnsiTheme="minorHAnsi" w:cstheme="minorHAnsi"/>
          <w:color w:val="000000"/>
        </w:rPr>
        <w:t>. [online] GOV.UK. Available at: https://www.gov.uk/government/publications/the-belfast-agreement.</w:t>
      </w:r>
    </w:p>
    <w:p w14:paraId="2014ACF8" w14:textId="2D788356"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Parker, D., Pearce, J.M., Lindekilde, L. and Rogers, M.B. (2017). Challenges for Effective Counterterrorism Communication: Practitioner Insights and Policy Implications for Preventing Radicalization, Disrupting Attack Planning, and Mitigating Terrorist Attacks. </w:t>
      </w:r>
      <w:r w:rsidRPr="008826D4">
        <w:rPr>
          <w:rFonts w:asciiTheme="minorHAnsi" w:hAnsiTheme="minorHAnsi" w:cstheme="minorHAnsi"/>
          <w:i/>
          <w:iCs/>
          <w:color w:val="000000"/>
        </w:rPr>
        <w:t>Studies in Conflict &amp; Terrorism</w:t>
      </w:r>
      <w:r w:rsidRPr="008826D4">
        <w:rPr>
          <w:rFonts w:asciiTheme="minorHAnsi" w:hAnsiTheme="minorHAnsi" w:cstheme="minorHAnsi"/>
          <w:color w:val="000000"/>
        </w:rPr>
        <w:t xml:space="preserve">, 42(3), pp.264–291. </w:t>
      </w:r>
      <w:proofErr w:type="spellStart"/>
      <w:proofErr w:type="gramStart"/>
      <w:r w:rsidRPr="008826D4">
        <w:rPr>
          <w:rFonts w:asciiTheme="minorHAnsi" w:hAnsiTheme="minorHAnsi" w:cstheme="minorHAnsi"/>
          <w:color w:val="000000"/>
        </w:rPr>
        <w:t>doi:https</w:t>
      </w:r>
      <w:proofErr w:type="spellEnd"/>
      <w:r w:rsidRPr="008826D4">
        <w:rPr>
          <w:rFonts w:asciiTheme="minorHAnsi" w:hAnsiTheme="minorHAnsi" w:cstheme="minorHAnsi"/>
          <w:color w:val="000000"/>
        </w:rPr>
        <w:t>://doi.org/10.1080/1057610x.2017.1373427</w:t>
      </w:r>
      <w:proofErr w:type="gramEnd"/>
      <w:r w:rsidRPr="008826D4">
        <w:rPr>
          <w:rFonts w:asciiTheme="minorHAnsi" w:hAnsiTheme="minorHAnsi" w:cstheme="minorHAnsi"/>
          <w:color w:val="000000"/>
        </w:rPr>
        <w:t>.</w:t>
      </w:r>
    </w:p>
    <w:p w14:paraId="4AA1A205" w14:textId="77777777" w:rsidR="00D7795F" w:rsidRPr="00335A98" w:rsidRDefault="00D7795F" w:rsidP="00D7795F">
      <w:pPr>
        <w:rPr>
          <w:rFonts w:asciiTheme="minorHAnsi" w:hAnsiTheme="minorHAnsi" w:cstheme="minorHAnsi"/>
          <w:color w:val="3A3A3A"/>
          <w:shd w:val="clear" w:color="auto" w:fill="FFFFFF"/>
        </w:rPr>
      </w:pPr>
      <w:r w:rsidRPr="00335A98">
        <w:rPr>
          <w:rFonts w:asciiTheme="minorHAnsi" w:hAnsiTheme="minorHAnsi" w:cstheme="minorHAnsi"/>
          <w:color w:val="3A3A3A"/>
          <w:shd w:val="clear" w:color="auto" w:fill="FFFFFF"/>
        </w:rPr>
        <w:t>Rahman (2013) “Motivations for Pakistani Religious Extremists to Become Terrorists,”</w:t>
      </w:r>
      <w:r w:rsidRPr="00335A98">
        <w:rPr>
          <w:rStyle w:val="apple-converted-space"/>
          <w:rFonts w:asciiTheme="minorHAnsi" w:hAnsiTheme="minorHAnsi" w:cstheme="minorHAnsi"/>
          <w:color w:val="3A3A3A"/>
          <w:shd w:val="clear" w:color="auto" w:fill="FFFFFF"/>
        </w:rPr>
        <w:t> </w:t>
      </w:r>
      <w:r w:rsidRPr="00335A98">
        <w:rPr>
          <w:rFonts w:asciiTheme="minorHAnsi" w:hAnsiTheme="minorHAnsi" w:cstheme="minorHAnsi"/>
          <w:i/>
          <w:iCs/>
          <w:color w:val="3A3A3A"/>
        </w:rPr>
        <w:t>Pakistan Journal of Criminology.</w:t>
      </w:r>
      <w:r w:rsidRPr="00335A98">
        <w:rPr>
          <w:rFonts w:asciiTheme="minorHAnsi" w:hAnsiTheme="minorHAnsi" w:cstheme="minorHAnsi"/>
          <w:color w:val="3A3A3A"/>
          <w:shd w:val="clear" w:color="auto" w:fill="FFFFFF"/>
        </w:rPr>
        <w:t>, 5(2).</w:t>
      </w:r>
    </w:p>
    <w:p w14:paraId="3495217B" w14:textId="77777777" w:rsidR="00D7795F" w:rsidRPr="00335A98" w:rsidRDefault="00D7795F" w:rsidP="00D7795F">
      <w:pPr>
        <w:rPr>
          <w:rFonts w:asciiTheme="minorHAnsi" w:hAnsiTheme="minorHAnsi" w:cstheme="minorHAnsi"/>
          <w:color w:val="3A3A3A"/>
          <w:shd w:val="clear" w:color="auto" w:fill="FFFFFF"/>
        </w:rPr>
      </w:pPr>
    </w:p>
    <w:p w14:paraId="543C6D93"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Richards, A. (2001). Terrorist Groups and Political Fronts: The IRA, Sinn Fein, the Peace Process and Democracy. </w:t>
      </w:r>
      <w:r w:rsidRPr="008826D4">
        <w:rPr>
          <w:rFonts w:asciiTheme="minorHAnsi" w:hAnsiTheme="minorHAnsi" w:cstheme="minorHAnsi"/>
          <w:i/>
          <w:iCs/>
          <w:color w:val="000000"/>
        </w:rPr>
        <w:t>Terrorism and Political Violence</w:t>
      </w:r>
      <w:r w:rsidRPr="008826D4">
        <w:rPr>
          <w:rFonts w:asciiTheme="minorHAnsi" w:hAnsiTheme="minorHAnsi" w:cstheme="minorHAnsi"/>
          <w:color w:val="000000"/>
        </w:rPr>
        <w:t xml:space="preserve">, 13(4), pp.72–89. </w:t>
      </w:r>
      <w:proofErr w:type="spellStart"/>
      <w:proofErr w:type="gramStart"/>
      <w:r w:rsidRPr="008826D4">
        <w:rPr>
          <w:rFonts w:asciiTheme="minorHAnsi" w:hAnsiTheme="minorHAnsi" w:cstheme="minorHAnsi"/>
          <w:color w:val="000000"/>
        </w:rPr>
        <w:t>doi:https</w:t>
      </w:r>
      <w:proofErr w:type="spellEnd"/>
      <w:r w:rsidRPr="008826D4">
        <w:rPr>
          <w:rFonts w:asciiTheme="minorHAnsi" w:hAnsiTheme="minorHAnsi" w:cstheme="minorHAnsi"/>
          <w:color w:val="000000"/>
        </w:rPr>
        <w:t>://doi.org/10.1080/09546550109609700</w:t>
      </w:r>
      <w:proofErr w:type="gramEnd"/>
      <w:r w:rsidRPr="008826D4">
        <w:rPr>
          <w:rFonts w:asciiTheme="minorHAnsi" w:hAnsiTheme="minorHAnsi" w:cstheme="minorHAnsi"/>
          <w:color w:val="000000"/>
        </w:rPr>
        <w:t>.</w:t>
      </w:r>
    </w:p>
    <w:p w14:paraId="271B97B1" w14:textId="77777777" w:rsidR="00CC1483" w:rsidRPr="00335A98" w:rsidRDefault="00CC1483" w:rsidP="00CC1483">
      <w:pPr>
        <w:rPr>
          <w:rFonts w:asciiTheme="minorHAnsi" w:hAnsiTheme="minorHAnsi" w:cstheme="minorHAnsi"/>
          <w:color w:val="333333"/>
          <w:shd w:val="clear" w:color="auto" w:fill="FBFBFB"/>
        </w:rPr>
      </w:pPr>
      <w:r w:rsidRPr="00335A98">
        <w:rPr>
          <w:rFonts w:asciiTheme="minorHAnsi" w:hAnsiTheme="minorHAnsi" w:cstheme="minorHAnsi"/>
          <w:color w:val="333333"/>
          <w:shd w:val="clear" w:color="auto" w:fill="FBFBFB"/>
        </w:rPr>
        <w:t>Romaniuk, N, S. (2012) 'Al Qaeda's Human Bombs: The Strategic Impact of the 7/7 Suicide Terrorist Attacks',</w:t>
      </w:r>
      <w:r w:rsidRPr="00335A98">
        <w:rPr>
          <w:rStyle w:val="apple-converted-space"/>
          <w:rFonts w:asciiTheme="minorHAnsi" w:hAnsiTheme="minorHAnsi" w:cstheme="minorHAnsi"/>
          <w:color w:val="333333"/>
          <w:shd w:val="clear" w:color="auto" w:fill="FBFBFB"/>
        </w:rPr>
        <w:t> </w:t>
      </w:r>
      <w:r w:rsidRPr="00335A98">
        <w:rPr>
          <w:rFonts w:asciiTheme="minorHAnsi" w:hAnsiTheme="minorHAnsi" w:cstheme="minorHAnsi"/>
          <w:i/>
          <w:iCs/>
          <w:color w:val="333333"/>
        </w:rPr>
        <w:t>European Journal of Humanities and Social Sciences</w:t>
      </w:r>
      <w:r w:rsidRPr="00335A98">
        <w:rPr>
          <w:rFonts w:asciiTheme="minorHAnsi" w:hAnsiTheme="minorHAnsi" w:cstheme="minorHAnsi"/>
          <w:color w:val="333333"/>
          <w:shd w:val="clear" w:color="auto" w:fill="FBFBFB"/>
        </w:rPr>
        <w:t>, Vol.12, No 1, pp. 537-540.</w:t>
      </w:r>
    </w:p>
    <w:p w14:paraId="27254DA7" w14:textId="77777777" w:rsidR="00335A98" w:rsidRPr="00335A98" w:rsidRDefault="00335A98" w:rsidP="00CC1483">
      <w:pPr>
        <w:rPr>
          <w:rFonts w:asciiTheme="minorHAnsi" w:hAnsiTheme="minorHAnsi" w:cstheme="minorHAnsi"/>
          <w:color w:val="333333"/>
          <w:shd w:val="clear" w:color="auto" w:fill="FBFBFB"/>
        </w:rPr>
      </w:pPr>
    </w:p>
    <w:p w14:paraId="2D44852F"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Tausch, N., Spears, R. and Christ, O. (2009). Religious and National Identity as Predictors of Attitudes towards the 7/7 Bombings among British Muslims: An Analysis of UK Opinion Poll Data. </w:t>
      </w:r>
      <w:r w:rsidRPr="008826D4">
        <w:rPr>
          <w:rFonts w:asciiTheme="minorHAnsi" w:hAnsiTheme="minorHAnsi" w:cstheme="minorHAnsi"/>
          <w:i/>
          <w:iCs/>
          <w:color w:val="000000"/>
        </w:rPr>
        <w:t xml:space="preserve">Revue Internationale De </w:t>
      </w:r>
      <w:proofErr w:type="spellStart"/>
      <w:r w:rsidRPr="008826D4">
        <w:rPr>
          <w:rFonts w:asciiTheme="minorHAnsi" w:hAnsiTheme="minorHAnsi" w:cstheme="minorHAnsi"/>
          <w:i/>
          <w:iCs/>
          <w:color w:val="000000"/>
        </w:rPr>
        <w:t>Psychologie</w:t>
      </w:r>
      <w:proofErr w:type="spellEnd"/>
      <w:r w:rsidRPr="008826D4">
        <w:rPr>
          <w:rFonts w:asciiTheme="minorHAnsi" w:hAnsiTheme="minorHAnsi" w:cstheme="minorHAnsi"/>
          <w:i/>
          <w:iCs/>
          <w:color w:val="000000"/>
        </w:rPr>
        <w:t xml:space="preserve"> </w:t>
      </w:r>
      <w:proofErr w:type="spellStart"/>
      <w:r w:rsidRPr="008826D4">
        <w:rPr>
          <w:rFonts w:asciiTheme="minorHAnsi" w:hAnsiTheme="minorHAnsi" w:cstheme="minorHAnsi"/>
          <w:i/>
          <w:iCs/>
          <w:color w:val="000000"/>
        </w:rPr>
        <w:t>Sociale</w:t>
      </w:r>
      <w:proofErr w:type="spellEnd"/>
      <w:r w:rsidRPr="008826D4">
        <w:rPr>
          <w:rFonts w:asciiTheme="minorHAnsi" w:hAnsiTheme="minorHAnsi" w:cstheme="minorHAnsi"/>
          <w:i/>
          <w:iCs/>
          <w:color w:val="000000"/>
        </w:rPr>
        <w:t>-international Review of Social Psychology</w:t>
      </w:r>
      <w:r w:rsidRPr="008826D4">
        <w:rPr>
          <w:rFonts w:asciiTheme="minorHAnsi" w:hAnsiTheme="minorHAnsi" w:cstheme="minorHAnsi"/>
          <w:color w:val="000000"/>
        </w:rPr>
        <w:t>, 22(3), pp.103–126.</w:t>
      </w:r>
    </w:p>
    <w:p w14:paraId="38B61B51"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t>Walker, C. (2015). </w:t>
      </w:r>
      <w:r w:rsidRPr="008826D4">
        <w:rPr>
          <w:rFonts w:asciiTheme="minorHAnsi" w:hAnsiTheme="minorHAnsi" w:cstheme="minorHAnsi"/>
          <w:i/>
          <w:iCs/>
          <w:color w:val="000000"/>
        </w:rPr>
        <w:t>Decennium 7/7: The United Kingdom Terrorist Attacks on July 7, 2005, and the Evolution of Anti-Terrorism Policies, Laws, and Practices</w:t>
      </w:r>
      <w:r w:rsidRPr="008826D4">
        <w:rPr>
          <w:rFonts w:asciiTheme="minorHAnsi" w:hAnsiTheme="minorHAnsi" w:cstheme="minorHAnsi"/>
          <w:color w:val="000000"/>
        </w:rPr>
        <w:t>. [online] papers.ssrn.com. Available at: https://papers.ssrn.com/sol3/papers.cfm?abstract_id=2792579.</w:t>
      </w:r>
    </w:p>
    <w:p w14:paraId="26A534DB" w14:textId="1CC069FC" w:rsidR="00E93234" w:rsidRPr="00335A98" w:rsidRDefault="00E93234" w:rsidP="00E93234">
      <w:pPr>
        <w:rPr>
          <w:rFonts w:asciiTheme="minorHAnsi" w:hAnsiTheme="minorHAnsi" w:cstheme="minorHAnsi"/>
          <w:color w:val="000000"/>
        </w:rPr>
      </w:pPr>
      <w:r w:rsidRPr="00335A98">
        <w:rPr>
          <w:rFonts w:asciiTheme="minorHAnsi" w:hAnsiTheme="minorHAnsi" w:cstheme="minorHAnsi"/>
          <w:color w:val="000000"/>
        </w:rPr>
        <w:t>Whiting, M. (2018)</w:t>
      </w:r>
      <w:r w:rsidRPr="00335A98">
        <w:rPr>
          <w:rStyle w:val="apple-converted-space"/>
          <w:rFonts w:asciiTheme="minorHAnsi" w:hAnsiTheme="minorHAnsi" w:cstheme="minorHAnsi"/>
          <w:color w:val="000000"/>
        </w:rPr>
        <w:t> </w:t>
      </w:r>
      <w:r w:rsidRPr="00335A98">
        <w:rPr>
          <w:rFonts w:asciiTheme="minorHAnsi" w:hAnsiTheme="minorHAnsi" w:cstheme="minorHAnsi"/>
          <w:i/>
          <w:iCs/>
          <w:color w:val="000000"/>
        </w:rPr>
        <w:t>Sinn Fǐn and the IRA: From Revolution to Moderation</w:t>
      </w:r>
      <w:r w:rsidRPr="00335A98">
        <w:rPr>
          <w:rFonts w:asciiTheme="minorHAnsi" w:hAnsiTheme="minorHAnsi" w:cstheme="minorHAnsi"/>
          <w:color w:val="000000"/>
        </w:rPr>
        <w:t xml:space="preserve">. Edinburgh: Edinburgh University Press. Available at: </w:t>
      </w:r>
      <w:hyperlink r:id="rId9" w:history="1">
        <w:r w:rsidRPr="00335A98">
          <w:rPr>
            <w:rStyle w:val="Hyperlink"/>
            <w:rFonts w:asciiTheme="minorHAnsi" w:hAnsiTheme="minorHAnsi" w:cstheme="minorHAnsi"/>
          </w:rPr>
          <w:t>https://doi.org/10.1515/9781474420556</w:t>
        </w:r>
      </w:hyperlink>
      <w:r w:rsidRPr="00335A98">
        <w:rPr>
          <w:rFonts w:asciiTheme="minorHAnsi" w:hAnsiTheme="minorHAnsi" w:cstheme="minorHAnsi"/>
          <w:color w:val="000000"/>
        </w:rPr>
        <w:t>.</w:t>
      </w:r>
    </w:p>
    <w:p w14:paraId="31ABE53B" w14:textId="77777777" w:rsidR="00E93234" w:rsidRPr="00335A98" w:rsidRDefault="00E93234" w:rsidP="00E93234">
      <w:pPr>
        <w:rPr>
          <w:rFonts w:asciiTheme="minorHAnsi" w:hAnsiTheme="minorHAnsi" w:cstheme="minorHAnsi"/>
          <w:color w:val="000000"/>
        </w:rPr>
      </w:pPr>
    </w:p>
    <w:p w14:paraId="3D42B197" w14:textId="77777777" w:rsidR="008826D4" w:rsidRPr="008826D4" w:rsidRDefault="008826D4" w:rsidP="008826D4">
      <w:pPr>
        <w:spacing w:after="240" w:line="360" w:lineRule="atLeast"/>
        <w:rPr>
          <w:rFonts w:asciiTheme="minorHAnsi" w:hAnsiTheme="minorHAnsi" w:cstheme="minorHAnsi"/>
          <w:color w:val="000000"/>
        </w:rPr>
      </w:pPr>
      <w:r w:rsidRPr="008826D4">
        <w:rPr>
          <w:rFonts w:asciiTheme="minorHAnsi" w:hAnsiTheme="minorHAnsi" w:cstheme="minorHAnsi"/>
          <w:color w:val="000000"/>
        </w:rPr>
        <w:lastRenderedPageBreak/>
        <w:t xml:space="preserve">Woodford, </w:t>
      </w:r>
      <w:proofErr w:type="gramStart"/>
      <w:r w:rsidRPr="008826D4">
        <w:rPr>
          <w:rFonts w:asciiTheme="minorHAnsi" w:hAnsiTheme="minorHAnsi" w:cstheme="minorHAnsi"/>
          <w:color w:val="000000"/>
        </w:rPr>
        <w:t>I.</w:t>
      </w:r>
      <w:proofErr w:type="gramEnd"/>
      <w:r w:rsidRPr="008826D4">
        <w:rPr>
          <w:rFonts w:asciiTheme="minorHAnsi" w:hAnsiTheme="minorHAnsi" w:cstheme="minorHAnsi"/>
          <w:color w:val="000000"/>
        </w:rPr>
        <w:t xml:space="preserve"> and Smith, M.L.R. (2017). The Political Economy of the Provos: Inside the Finances of the Provisional IRA—A Revision. </w:t>
      </w:r>
      <w:r w:rsidRPr="008826D4">
        <w:rPr>
          <w:rFonts w:asciiTheme="minorHAnsi" w:hAnsiTheme="minorHAnsi" w:cstheme="minorHAnsi"/>
          <w:i/>
          <w:iCs/>
          <w:color w:val="000000"/>
        </w:rPr>
        <w:t>Studies in Conflict &amp; Terrorism</w:t>
      </w:r>
      <w:r w:rsidRPr="008826D4">
        <w:rPr>
          <w:rFonts w:asciiTheme="minorHAnsi" w:hAnsiTheme="minorHAnsi" w:cstheme="minorHAnsi"/>
          <w:color w:val="000000"/>
        </w:rPr>
        <w:t xml:space="preserve">, 41(3), pp.213–240. </w:t>
      </w:r>
      <w:proofErr w:type="spellStart"/>
      <w:proofErr w:type="gramStart"/>
      <w:r w:rsidRPr="008826D4">
        <w:rPr>
          <w:rFonts w:asciiTheme="minorHAnsi" w:hAnsiTheme="minorHAnsi" w:cstheme="minorHAnsi"/>
          <w:color w:val="000000"/>
        </w:rPr>
        <w:t>doi:https</w:t>
      </w:r>
      <w:proofErr w:type="spellEnd"/>
      <w:r w:rsidRPr="008826D4">
        <w:rPr>
          <w:rFonts w:asciiTheme="minorHAnsi" w:hAnsiTheme="minorHAnsi" w:cstheme="minorHAnsi"/>
          <w:color w:val="000000"/>
        </w:rPr>
        <w:t>://doi.org/10.1080/1057610x.2017.1283195</w:t>
      </w:r>
      <w:proofErr w:type="gramEnd"/>
      <w:r w:rsidRPr="008826D4">
        <w:rPr>
          <w:rFonts w:asciiTheme="minorHAnsi" w:hAnsiTheme="minorHAnsi" w:cstheme="minorHAnsi"/>
          <w:color w:val="000000"/>
        </w:rPr>
        <w:t>.</w:t>
      </w:r>
    </w:p>
    <w:p w14:paraId="6B503585" w14:textId="5AD11228" w:rsidR="008826D4" w:rsidRPr="00733A27" w:rsidRDefault="008826D4" w:rsidP="00B46BE1">
      <w:pPr>
        <w:rPr>
          <w:rFonts w:asciiTheme="minorHAnsi" w:hAnsiTheme="minorHAnsi" w:cstheme="minorHAnsi"/>
          <w:sz w:val="28"/>
          <w:szCs w:val="28"/>
        </w:rPr>
      </w:pPr>
    </w:p>
    <w:sectPr w:rsidR="008826D4" w:rsidRPr="00733A27" w:rsidSect="00D80D0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8CD1E73"/>
    <w:multiLevelType w:val="hybridMultilevel"/>
    <w:tmpl w:val="AD6C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303889"/>
    <w:multiLevelType w:val="hybridMultilevel"/>
    <w:tmpl w:val="03FC429A"/>
    <w:lvl w:ilvl="0" w:tplc="B7C20466">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4660392">
    <w:abstractNumId w:val="1"/>
  </w:num>
  <w:num w:numId="2" w16cid:durableId="886722116">
    <w:abstractNumId w:val="2"/>
  </w:num>
  <w:num w:numId="3" w16cid:durableId="811748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B47"/>
    <w:rsid w:val="0006054F"/>
    <w:rsid w:val="00080545"/>
    <w:rsid w:val="00097A44"/>
    <w:rsid w:val="000B518C"/>
    <w:rsid w:val="000C0992"/>
    <w:rsid w:val="000C3B9F"/>
    <w:rsid w:val="000E5EC2"/>
    <w:rsid w:val="000F59B4"/>
    <w:rsid w:val="00103DD5"/>
    <w:rsid w:val="001169F3"/>
    <w:rsid w:val="00121A6C"/>
    <w:rsid w:val="00124AD9"/>
    <w:rsid w:val="001472B9"/>
    <w:rsid w:val="00151030"/>
    <w:rsid w:val="00154973"/>
    <w:rsid w:val="00170DB7"/>
    <w:rsid w:val="001726AD"/>
    <w:rsid w:val="00193B78"/>
    <w:rsid w:val="001A7F38"/>
    <w:rsid w:val="001C19FB"/>
    <w:rsid w:val="001D4392"/>
    <w:rsid w:val="001E693F"/>
    <w:rsid w:val="00234CBD"/>
    <w:rsid w:val="0024096D"/>
    <w:rsid w:val="00245AA0"/>
    <w:rsid w:val="00247EE1"/>
    <w:rsid w:val="002573DD"/>
    <w:rsid w:val="0026615F"/>
    <w:rsid w:val="0027216F"/>
    <w:rsid w:val="00285BB4"/>
    <w:rsid w:val="0029658F"/>
    <w:rsid w:val="002C223B"/>
    <w:rsid w:val="002D2D1F"/>
    <w:rsid w:val="002E0673"/>
    <w:rsid w:val="002F208E"/>
    <w:rsid w:val="002F2EB3"/>
    <w:rsid w:val="002F4234"/>
    <w:rsid w:val="00307B1C"/>
    <w:rsid w:val="003116CB"/>
    <w:rsid w:val="00320D6C"/>
    <w:rsid w:val="00335A98"/>
    <w:rsid w:val="00340C0A"/>
    <w:rsid w:val="0037647C"/>
    <w:rsid w:val="00377C1C"/>
    <w:rsid w:val="00393661"/>
    <w:rsid w:val="00397394"/>
    <w:rsid w:val="003C0A60"/>
    <w:rsid w:val="003C223B"/>
    <w:rsid w:val="003D1175"/>
    <w:rsid w:val="003F5DBE"/>
    <w:rsid w:val="004069C2"/>
    <w:rsid w:val="00406AA6"/>
    <w:rsid w:val="00430639"/>
    <w:rsid w:val="00466345"/>
    <w:rsid w:val="00474E48"/>
    <w:rsid w:val="004A5005"/>
    <w:rsid w:val="00507C41"/>
    <w:rsid w:val="00510665"/>
    <w:rsid w:val="00516073"/>
    <w:rsid w:val="00526F1F"/>
    <w:rsid w:val="0053175C"/>
    <w:rsid w:val="0053545A"/>
    <w:rsid w:val="00540194"/>
    <w:rsid w:val="005579A1"/>
    <w:rsid w:val="0059163E"/>
    <w:rsid w:val="00596465"/>
    <w:rsid w:val="005A2449"/>
    <w:rsid w:val="005C16B3"/>
    <w:rsid w:val="005D4CCB"/>
    <w:rsid w:val="00617544"/>
    <w:rsid w:val="00660C34"/>
    <w:rsid w:val="006832DD"/>
    <w:rsid w:val="006870C9"/>
    <w:rsid w:val="006A1A2D"/>
    <w:rsid w:val="006A3A51"/>
    <w:rsid w:val="006E6F89"/>
    <w:rsid w:val="006E741C"/>
    <w:rsid w:val="006F5AC8"/>
    <w:rsid w:val="006F6C6D"/>
    <w:rsid w:val="00707B02"/>
    <w:rsid w:val="007102A4"/>
    <w:rsid w:val="00733A27"/>
    <w:rsid w:val="007779A3"/>
    <w:rsid w:val="0078231F"/>
    <w:rsid w:val="0078628D"/>
    <w:rsid w:val="007A2BF9"/>
    <w:rsid w:val="007A315F"/>
    <w:rsid w:val="007B0981"/>
    <w:rsid w:val="007C00F9"/>
    <w:rsid w:val="007C1E4A"/>
    <w:rsid w:val="007D0176"/>
    <w:rsid w:val="007E2B47"/>
    <w:rsid w:val="00801DC7"/>
    <w:rsid w:val="00805828"/>
    <w:rsid w:val="00811BBE"/>
    <w:rsid w:val="00823570"/>
    <w:rsid w:val="008826D4"/>
    <w:rsid w:val="008B3AE0"/>
    <w:rsid w:val="008E7C2E"/>
    <w:rsid w:val="009012A1"/>
    <w:rsid w:val="00902AFD"/>
    <w:rsid w:val="009035B0"/>
    <w:rsid w:val="00906FC0"/>
    <w:rsid w:val="0091561E"/>
    <w:rsid w:val="00922EAF"/>
    <w:rsid w:val="0093432B"/>
    <w:rsid w:val="0094474D"/>
    <w:rsid w:val="00963583"/>
    <w:rsid w:val="00964477"/>
    <w:rsid w:val="00966AEB"/>
    <w:rsid w:val="00976229"/>
    <w:rsid w:val="009A5043"/>
    <w:rsid w:val="009B2D65"/>
    <w:rsid w:val="009C4D9B"/>
    <w:rsid w:val="009D039B"/>
    <w:rsid w:val="009E56CB"/>
    <w:rsid w:val="00A32AEE"/>
    <w:rsid w:val="00A476BC"/>
    <w:rsid w:val="00A54469"/>
    <w:rsid w:val="00A64BFE"/>
    <w:rsid w:val="00A65668"/>
    <w:rsid w:val="00A72984"/>
    <w:rsid w:val="00A72FB1"/>
    <w:rsid w:val="00A7352A"/>
    <w:rsid w:val="00A967F8"/>
    <w:rsid w:val="00AB339E"/>
    <w:rsid w:val="00AD660A"/>
    <w:rsid w:val="00AE168F"/>
    <w:rsid w:val="00AE6D2C"/>
    <w:rsid w:val="00B2233A"/>
    <w:rsid w:val="00B367C4"/>
    <w:rsid w:val="00B36B51"/>
    <w:rsid w:val="00B46BE1"/>
    <w:rsid w:val="00B606CE"/>
    <w:rsid w:val="00B63D0C"/>
    <w:rsid w:val="00B91804"/>
    <w:rsid w:val="00BB5448"/>
    <w:rsid w:val="00BB5BA4"/>
    <w:rsid w:val="00BD2422"/>
    <w:rsid w:val="00C03F7C"/>
    <w:rsid w:val="00C05EE2"/>
    <w:rsid w:val="00C110C5"/>
    <w:rsid w:val="00C3387F"/>
    <w:rsid w:val="00C46C3F"/>
    <w:rsid w:val="00C75B0C"/>
    <w:rsid w:val="00CA180B"/>
    <w:rsid w:val="00CA541B"/>
    <w:rsid w:val="00CC1483"/>
    <w:rsid w:val="00CC5913"/>
    <w:rsid w:val="00CE2D36"/>
    <w:rsid w:val="00CF75EC"/>
    <w:rsid w:val="00D001E7"/>
    <w:rsid w:val="00D04113"/>
    <w:rsid w:val="00D100EC"/>
    <w:rsid w:val="00D26AF9"/>
    <w:rsid w:val="00D329BD"/>
    <w:rsid w:val="00D337BB"/>
    <w:rsid w:val="00D34A6C"/>
    <w:rsid w:val="00D4062D"/>
    <w:rsid w:val="00D64DFF"/>
    <w:rsid w:val="00D6642A"/>
    <w:rsid w:val="00D6656D"/>
    <w:rsid w:val="00D71089"/>
    <w:rsid w:val="00D7795F"/>
    <w:rsid w:val="00D80D08"/>
    <w:rsid w:val="00D823E4"/>
    <w:rsid w:val="00D83B4B"/>
    <w:rsid w:val="00D90BF9"/>
    <w:rsid w:val="00DA07FE"/>
    <w:rsid w:val="00DA3278"/>
    <w:rsid w:val="00DB6288"/>
    <w:rsid w:val="00DE1B20"/>
    <w:rsid w:val="00E13F55"/>
    <w:rsid w:val="00E335A1"/>
    <w:rsid w:val="00E5420D"/>
    <w:rsid w:val="00E55A14"/>
    <w:rsid w:val="00E67F21"/>
    <w:rsid w:val="00E81CBF"/>
    <w:rsid w:val="00E863D7"/>
    <w:rsid w:val="00E93234"/>
    <w:rsid w:val="00EA33EA"/>
    <w:rsid w:val="00EB4739"/>
    <w:rsid w:val="00EC4210"/>
    <w:rsid w:val="00EC4212"/>
    <w:rsid w:val="00EE2142"/>
    <w:rsid w:val="00F11A5D"/>
    <w:rsid w:val="00F236ED"/>
    <w:rsid w:val="00F4291A"/>
    <w:rsid w:val="00F811A3"/>
    <w:rsid w:val="00F92E07"/>
    <w:rsid w:val="00FA1C4E"/>
    <w:rsid w:val="00FA3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DDECE"/>
  <w15:chartTrackingRefBased/>
  <w15:docId w15:val="{7FF28443-4F7B-2148-92C1-34C21F114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DD5"/>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8826D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043"/>
    <w:pPr>
      <w:ind w:left="720"/>
      <w:contextualSpacing/>
    </w:pPr>
    <w:rPr>
      <w:sz w:val="20"/>
      <w:szCs w:val="20"/>
    </w:rPr>
  </w:style>
  <w:style w:type="character" w:customStyle="1" w:styleId="apple-converted-space">
    <w:name w:val="apple-converted-space"/>
    <w:basedOn w:val="DefaultParagraphFont"/>
    <w:rsid w:val="003F5DBE"/>
  </w:style>
  <w:style w:type="character" w:customStyle="1" w:styleId="Title1">
    <w:name w:val="Title1"/>
    <w:basedOn w:val="DefaultParagraphFont"/>
    <w:rsid w:val="00707B02"/>
  </w:style>
  <w:style w:type="character" w:styleId="Hyperlink">
    <w:name w:val="Hyperlink"/>
    <w:basedOn w:val="DefaultParagraphFont"/>
    <w:uiPriority w:val="99"/>
    <w:unhideWhenUsed/>
    <w:rsid w:val="000C0992"/>
    <w:rPr>
      <w:color w:val="0563C1" w:themeColor="hyperlink"/>
      <w:u w:val="single"/>
    </w:rPr>
  </w:style>
  <w:style w:type="character" w:styleId="UnresolvedMention">
    <w:name w:val="Unresolved Mention"/>
    <w:basedOn w:val="DefaultParagraphFont"/>
    <w:uiPriority w:val="99"/>
    <w:semiHidden/>
    <w:unhideWhenUsed/>
    <w:rsid w:val="000C0992"/>
    <w:rPr>
      <w:color w:val="605E5C"/>
      <w:shd w:val="clear" w:color="auto" w:fill="E1DFDD"/>
    </w:rPr>
  </w:style>
  <w:style w:type="paragraph" w:styleId="NormalWeb">
    <w:name w:val="Normal (Web)"/>
    <w:basedOn w:val="Normal"/>
    <w:uiPriority w:val="99"/>
    <w:semiHidden/>
    <w:unhideWhenUsed/>
    <w:rsid w:val="00103DD5"/>
    <w:pPr>
      <w:spacing w:before="100" w:beforeAutospacing="1" w:after="100" w:afterAutospacing="1"/>
    </w:pPr>
  </w:style>
  <w:style w:type="character" w:customStyle="1" w:styleId="Heading1Char">
    <w:name w:val="Heading 1 Char"/>
    <w:basedOn w:val="DefaultParagraphFont"/>
    <w:link w:val="Heading1"/>
    <w:uiPriority w:val="9"/>
    <w:rsid w:val="008826D4"/>
    <w:rPr>
      <w:rFonts w:ascii="Times New Roman" w:eastAsia="Times New Roman" w:hAnsi="Times New Roman" w:cs="Times New Roman"/>
      <w:b/>
      <w:bCs/>
      <w:kern w:val="36"/>
      <w:sz w:val="48"/>
      <w:szCs w:val="48"/>
      <w:lang w:eastAsia="en-GB"/>
      <w14:ligatures w14:val="none"/>
    </w:rPr>
  </w:style>
  <w:style w:type="paragraph" w:styleId="NoSpacing">
    <w:name w:val="No Spacing"/>
    <w:link w:val="NoSpacingChar"/>
    <w:uiPriority w:val="1"/>
    <w:qFormat/>
    <w:rsid w:val="00335A9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35A98"/>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28877">
      <w:bodyDiv w:val="1"/>
      <w:marLeft w:val="0"/>
      <w:marRight w:val="0"/>
      <w:marTop w:val="0"/>
      <w:marBottom w:val="0"/>
      <w:divBdr>
        <w:top w:val="none" w:sz="0" w:space="0" w:color="auto"/>
        <w:left w:val="none" w:sz="0" w:space="0" w:color="auto"/>
        <w:bottom w:val="none" w:sz="0" w:space="0" w:color="auto"/>
        <w:right w:val="none" w:sz="0" w:space="0" w:color="auto"/>
      </w:divBdr>
      <w:divsChild>
        <w:div w:id="139925333">
          <w:marLeft w:val="0"/>
          <w:marRight w:val="0"/>
          <w:marTop w:val="0"/>
          <w:marBottom w:val="0"/>
          <w:divBdr>
            <w:top w:val="none" w:sz="0" w:space="0" w:color="auto"/>
            <w:left w:val="none" w:sz="0" w:space="0" w:color="auto"/>
            <w:bottom w:val="none" w:sz="0" w:space="0" w:color="auto"/>
            <w:right w:val="none" w:sz="0" w:space="0" w:color="auto"/>
          </w:divBdr>
        </w:div>
      </w:divsChild>
    </w:div>
    <w:div w:id="1205560362">
      <w:bodyDiv w:val="1"/>
      <w:marLeft w:val="0"/>
      <w:marRight w:val="0"/>
      <w:marTop w:val="0"/>
      <w:marBottom w:val="0"/>
      <w:divBdr>
        <w:top w:val="none" w:sz="0" w:space="0" w:color="auto"/>
        <w:left w:val="none" w:sz="0" w:space="0" w:color="auto"/>
        <w:bottom w:val="none" w:sz="0" w:space="0" w:color="auto"/>
        <w:right w:val="none" w:sz="0" w:space="0" w:color="auto"/>
      </w:divBdr>
    </w:div>
    <w:div w:id="1304579666">
      <w:bodyDiv w:val="1"/>
      <w:marLeft w:val="0"/>
      <w:marRight w:val="0"/>
      <w:marTop w:val="0"/>
      <w:marBottom w:val="0"/>
      <w:divBdr>
        <w:top w:val="none" w:sz="0" w:space="0" w:color="auto"/>
        <w:left w:val="none" w:sz="0" w:space="0" w:color="auto"/>
        <w:bottom w:val="none" w:sz="0" w:space="0" w:color="auto"/>
        <w:right w:val="none" w:sz="0" w:space="0" w:color="auto"/>
      </w:divBdr>
    </w:div>
    <w:div w:id="1435444231">
      <w:bodyDiv w:val="1"/>
      <w:marLeft w:val="0"/>
      <w:marRight w:val="0"/>
      <w:marTop w:val="0"/>
      <w:marBottom w:val="0"/>
      <w:divBdr>
        <w:top w:val="none" w:sz="0" w:space="0" w:color="auto"/>
        <w:left w:val="none" w:sz="0" w:space="0" w:color="auto"/>
        <w:bottom w:val="none" w:sz="0" w:space="0" w:color="auto"/>
        <w:right w:val="none" w:sz="0" w:space="0" w:color="auto"/>
      </w:divBdr>
      <w:divsChild>
        <w:div w:id="695157406">
          <w:marLeft w:val="0"/>
          <w:marRight w:val="0"/>
          <w:marTop w:val="0"/>
          <w:marBottom w:val="0"/>
          <w:divBdr>
            <w:top w:val="none" w:sz="0" w:space="0" w:color="auto"/>
            <w:left w:val="none" w:sz="0" w:space="0" w:color="auto"/>
            <w:bottom w:val="none" w:sz="0" w:space="0" w:color="auto"/>
            <w:right w:val="none" w:sz="0" w:space="0" w:color="auto"/>
          </w:divBdr>
        </w:div>
      </w:divsChild>
    </w:div>
    <w:div w:id="170343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62/isec.2006.31.1.49" TargetMode="External"/><Relationship Id="rId3" Type="http://schemas.openxmlformats.org/officeDocument/2006/relationships/settings" Target="settings.xml"/><Relationship Id="rId7" Type="http://schemas.openxmlformats.org/officeDocument/2006/relationships/hyperlink" Target="https://books.google.co.uk/books?hl=en&amp;lr=&amp;id=izQRBQAAQBAJ&amp;oi=fnd&amp;pg=PT7&amp;dq=IRA+brighton+hotel+bombing+&amp;ots=Qgwh-hgeUS&amp;sig=Xaff_nKanCZbzKUmUYUxKE_Jtnk&amp;redir_es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lications.parliament.uk/pa/cm200708/cmselect/cmniaf/333/333.pdf" TargetMode="External"/><Relationship Id="rId11" Type="http://schemas.openxmlformats.org/officeDocument/2006/relationships/theme" Target="theme/theme1.xml"/><Relationship Id="rId5" Type="http://schemas.openxmlformats.org/officeDocument/2006/relationships/hyperlink" Target="https://doi.org/10.1177/175069801140257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515/97814744205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11</Pages>
  <Words>3246</Words>
  <Characters>18507</Characters>
  <Application>Microsoft Office Word</Application>
  <DocSecurity>0</DocSecurity>
  <Lines>154</Lines>
  <Paragraphs>43</Paragraphs>
  <ScaleCrop>false</ScaleCrop>
  <Company/>
  <LinksUpToDate>false</LinksUpToDate>
  <CharactersWithSpaces>21710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motivates groups or individuals to engage in acts of terrorism? Answers should reference specific perpetrators and incidents as examples.</dc:title>
  <dc:subject/>
  <dc:creator>Kimberley Collins (2223837)</dc:creator>
  <cp:keywords/>
  <dc:description/>
  <cp:lastModifiedBy>Kimberley Collins (2223837)</cp:lastModifiedBy>
  <cp:revision>210</cp:revision>
  <dcterms:created xsi:type="dcterms:W3CDTF">2024-01-29T12:00:00Z</dcterms:created>
  <dcterms:modified xsi:type="dcterms:W3CDTF">2024-02-26T14:26:00Z</dcterms:modified>
</cp:coreProperties>
</file>