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29E96" w14:textId="77777777" w:rsidR="00A23410" w:rsidRDefault="00A23410">
      <w:pPr>
        <w:spacing w:after="160" w:line="360" w:lineRule="auto"/>
        <w:jc w:val="center"/>
        <w:rPr>
          <w:rFonts w:ascii="Times New Roman" w:eastAsia="Times New Roman" w:hAnsi="Times New Roman" w:cs="Times New Roman"/>
          <w:sz w:val="24"/>
          <w:szCs w:val="24"/>
        </w:rPr>
      </w:pPr>
    </w:p>
    <w:p w14:paraId="687A9431" w14:textId="77777777" w:rsidR="00A23410" w:rsidRDefault="00305111">
      <w:pPr>
        <w:spacing w:after="160" w:line="360" w:lineRule="auto"/>
        <w:jc w:val="center"/>
        <w:rPr>
          <w:rFonts w:ascii="Times New Roman" w:eastAsia="Times New Roman" w:hAnsi="Times New Roman" w:cs="Times New Roman"/>
          <w:sz w:val="24"/>
          <w:szCs w:val="24"/>
        </w:rPr>
      </w:pPr>
      <w:r>
        <w:rPr>
          <w:noProof/>
        </w:rPr>
        <w:drawing>
          <wp:inline distT="0" distB="0" distL="0" distR="0" wp14:anchorId="628303AE" wp14:editId="573123D2">
            <wp:extent cx="3726180" cy="12192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726180" cy="1219200"/>
                    </a:xfrm>
                    <a:prstGeom prst="rect">
                      <a:avLst/>
                    </a:prstGeom>
                    <a:ln/>
                  </pic:spPr>
                </pic:pic>
              </a:graphicData>
            </a:graphic>
          </wp:inline>
        </w:drawing>
      </w:r>
    </w:p>
    <w:p w14:paraId="41940261" w14:textId="77777777" w:rsidR="00A23410" w:rsidRDefault="00305111">
      <w:pPr>
        <w:spacing w:after="240" w:line="360" w:lineRule="auto"/>
        <w:jc w:val="both"/>
        <w:rPr>
          <w:rFonts w:ascii="Times New Roman" w:eastAsia="Times New Roman" w:hAnsi="Times New Roman" w:cs="Times New Roman"/>
          <w:sz w:val="24"/>
          <w:szCs w:val="24"/>
        </w:rPr>
      </w:pPr>
      <w:r>
        <w:rPr>
          <w:b/>
          <w:bCs/>
          <w:sz w:val="30"/>
          <w:szCs w:val="30"/>
        </w:rPr>
        <w:t>BA (Hons) Leadership and Management Skills for the Workplace </w:t>
      </w:r>
    </w:p>
    <w:p w14:paraId="662C1043" w14:textId="77777777" w:rsidR="00A23410" w:rsidRDefault="00A23410">
      <w:pPr>
        <w:spacing w:line="360" w:lineRule="auto"/>
        <w:rPr>
          <w:rFonts w:ascii="Times New Roman" w:eastAsia="Times New Roman" w:hAnsi="Times New Roman" w:cs="Times New Roman"/>
          <w:sz w:val="24"/>
          <w:szCs w:val="24"/>
        </w:rPr>
      </w:pPr>
    </w:p>
    <w:p w14:paraId="4378D00D" w14:textId="77777777" w:rsidR="00A23410" w:rsidRDefault="00305111">
      <w:pPr>
        <w:spacing w:after="240" w:line="360" w:lineRule="auto"/>
        <w:jc w:val="both"/>
        <w:rPr>
          <w:rFonts w:ascii="Times New Roman" w:eastAsia="Times New Roman" w:hAnsi="Times New Roman" w:cs="Times New Roman"/>
          <w:sz w:val="24"/>
          <w:szCs w:val="24"/>
        </w:rPr>
      </w:pPr>
      <w:r>
        <w:rPr>
          <w:b/>
          <w:bCs/>
          <w:i/>
          <w:iCs/>
          <w:sz w:val="24"/>
          <w:szCs w:val="24"/>
        </w:rPr>
        <w:t xml:space="preserve">Student Name: </w:t>
      </w:r>
      <w:proofErr w:type="spellStart"/>
      <w:r>
        <w:rPr>
          <w:i/>
          <w:iCs/>
          <w:sz w:val="24"/>
          <w:szCs w:val="24"/>
        </w:rPr>
        <w:t>Cotoi</w:t>
      </w:r>
      <w:proofErr w:type="spellEnd"/>
      <w:r>
        <w:rPr>
          <w:i/>
          <w:iCs/>
          <w:sz w:val="24"/>
          <w:szCs w:val="24"/>
        </w:rPr>
        <w:t xml:space="preserve"> </w:t>
      </w:r>
      <w:proofErr w:type="spellStart"/>
      <w:r>
        <w:rPr>
          <w:i/>
          <w:iCs/>
          <w:sz w:val="24"/>
          <w:szCs w:val="24"/>
        </w:rPr>
        <w:t>Aurel</w:t>
      </w:r>
      <w:proofErr w:type="spellEnd"/>
      <w:r>
        <w:rPr>
          <w:i/>
          <w:iCs/>
          <w:sz w:val="24"/>
          <w:szCs w:val="24"/>
        </w:rPr>
        <w:t xml:space="preserve"> </w:t>
      </w:r>
      <w:proofErr w:type="spellStart"/>
      <w:r>
        <w:rPr>
          <w:i/>
          <w:iCs/>
          <w:sz w:val="24"/>
          <w:szCs w:val="24"/>
        </w:rPr>
        <w:t>Dumitru</w:t>
      </w:r>
      <w:proofErr w:type="spellEnd"/>
    </w:p>
    <w:p w14:paraId="0CD26A47" w14:textId="1B74DDFC" w:rsidR="00A23410" w:rsidRDefault="00305111">
      <w:pPr>
        <w:spacing w:after="240" w:line="360" w:lineRule="auto"/>
        <w:jc w:val="both"/>
        <w:rPr>
          <w:rFonts w:ascii="Times New Roman" w:eastAsia="Times New Roman" w:hAnsi="Times New Roman" w:cs="Times New Roman"/>
          <w:sz w:val="24"/>
          <w:szCs w:val="24"/>
        </w:rPr>
      </w:pPr>
      <w:r>
        <w:rPr>
          <w:b/>
          <w:bCs/>
          <w:i/>
          <w:iCs/>
          <w:sz w:val="24"/>
          <w:szCs w:val="24"/>
        </w:rPr>
        <w:t>Student Number: </w:t>
      </w:r>
      <w:r w:rsidR="00D8199F">
        <w:rPr>
          <w:b/>
          <w:bCs/>
          <w:i/>
          <w:iCs/>
          <w:sz w:val="24"/>
          <w:szCs w:val="24"/>
        </w:rPr>
        <w:t>2418192</w:t>
      </w:r>
    </w:p>
    <w:p w14:paraId="7F43DA50" w14:textId="77777777" w:rsidR="00A23410" w:rsidRDefault="00305111">
      <w:pPr>
        <w:spacing w:after="240" w:line="360" w:lineRule="auto"/>
        <w:jc w:val="both"/>
        <w:rPr>
          <w:rFonts w:ascii="Times New Roman" w:eastAsia="Times New Roman" w:hAnsi="Times New Roman" w:cs="Times New Roman"/>
          <w:sz w:val="24"/>
          <w:szCs w:val="24"/>
        </w:rPr>
      </w:pPr>
      <w:bookmarkStart w:id="0" w:name="_heading=h.tgxplra78mec" w:colFirst="0" w:colLast="0"/>
      <w:bookmarkEnd w:id="0"/>
      <w:r>
        <w:rPr>
          <w:b/>
          <w:bCs/>
          <w:i/>
          <w:iCs/>
          <w:sz w:val="24"/>
          <w:szCs w:val="24"/>
        </w:rPr>
        <w:t>Course Name:</w:t>
      </w:r>
      <w:r>
        <w:rPr>
          <w:i/>
          <w:iCs/>
          <w:sz w:val="24"/>
          <w:szCs w:val="24"/>
        </w:rPr>
        <w:t xml:space="preserve"> Developing and Managing Individuals and Teams LCLM5002</w:t>
      </w:r>
    </w:p>
    <w:p w14:paraId="54D6DF85" w14:textId="7A1B08EE" w:rsidR="00A23410" w:rsidRPr="00C20FFE" w:rsidRDefault="00305111">
      <w:pPr>
        <w:spacing w:after="240" w:line="360" w:lineRule="auto"/>
        <w:jc w:val="both"/>
        <w:rPr>
          <w:i/>
          <w:iCs/>
          <w:sz w:val="24"/>
          <w:szCs w:val="24"/>
        </w:rPr>
      </w:pPr>
      <w:r>
        <w:rPr>
          <w:b/>
          <w:bCs/>
          <w:i/>
          <w:iCs/>
          <w:sz w:val="24"/>
          <w:szCs w:val="24"/>
        </w:rPr>
        <w:t xml:space="preserve">Lecturer Name/Module Leader: </w:t>
      </w:r>
      <w:r>
        <w:rPr>
          <w:i/>
          <w:iCs/>
          <w:sz w:val="24"/>
          <w:szCs w:val="24"/>
        </w:rPr>
        <w:t xml:space="preserve">Doreen </w:t>
      </w:r>
      <w:proofErr w:type="spellStart"/>
      <w:r>
        <w:rPr>
          <w:i/>
          <w:iCs/>
          <w:sz w:val="24"/>
          <w:szCs w:val="24"/>
        </w:rPr>
        <w:t>Nyaa</w:t>
      </w:r>
      <w:proofErr w:type="spellEnd"/>
      <w:r>
        <w:rPr>
          <w:i/>
          <w:iCs/>
          <w:sz w:val="24"/>
          <w:szCs w:val="24"/>
        </w:rPr>
        <w:t xml:space="preserve"> </w:t>
      </w:r>
      <w:proofErr w:type="spellStart"/>
      <w:r>
        <w:rPr>
          <w:i/>
          <w:iCs/>
          <w:sz w:val="24"/>
          <w:szCs w:val="24"/>
        </w:rPr>
        <w:t>Amundam</w:t>
      </w:r>
      <w:proofErr w:type="spellEnd"/>
      <w:r w:rsidR="00C20FFE">
        <w:rPr>
          <w:i/>
          <w:iCs/>
          <w:sz w:val="24"/>
          <w:szCs w:val="24"/>
        </w:rPr>
        <w:t xml:space="preserve">, </w:t>
      </w:r>
      <w:r>
        <w:rPr>
          <w:i/>
          <w:iCs/>
          <w:sz w:val="24"/>
          <w:szCs w:val="24"/>
        </w:rPr>
        <w:t xml:space="preserve">Nishi </w:t>
      </w:r>
      <w:proofErr w:type="spellStart"/>
      <w:r>
        <w:rPr>
          <w:i/>
          <w:iCs/>
          <w:sz w:val="24"/>
          <w:szCs w:val="24"/>
        </w:rPr>
        <w:t>Ramsurrun</w:t>
      </w:r>
      <w:proofErr w:type="spellEnd"/>
    </w:p>
    <w:p w14:paraId="2A386E93" w14:textId="1AA6CF69" w:rsidR="00A23410" w:rsidRPr="00D8199F" w:rsidRDefault="00305111" w:rsidP="00D8199F">
      <w:pPr>
        <w:spacing w:after="240" w:line="360" w:lineRule="auto"/>
        <w:jc w:val="both"/>
        <w:rPr>
          <w:i/>
          <w:iCs/>
          <w:sz w:val="24"/>
          <w:szCs w:val="24"/>
        </w:rPr>
      </w:pPr>
      <w:r>
        <w:rPr>
          <w:b/>
          <w:bCs/>
          <w:i/>
          <w:iCs/>
          <w:sz w:val="24"/>
          <w:szCs w:val="24"/>
        </w:rPr>
        <w:t xml:space="preserve">Assignment Title: </w:t>
      </w:r>
      <w:r w:rsidRPr="0044374A">
        <w:rPr>
          <w:i/>
          <w:iCs/>
          <w:sz w:val="24"/>
          <w:szCs w:val="24"/>
        </w:rPr>
        <w:t xml:space="preserve">Component 2- Individual Report: Critical evaluation of HR issues at HSBC </w:t>
      </w:r>
      <w:r>
        <w:br w:type="page"/>
      </w:r>
    </w:p>
    <w:p w14:paraId="51F6D225" w14:textId="77777777" w:rsidR="00A23410" w:rsidRDefault="00A23410">
      <w:pPr>
        <w:spacing w:line="360" w:lineRule="auto"/>
        <w:rPr>
          <w:i/>
          <w:iCs/>
          <w:sz w:val="24"/>
          <w:szCs w:val="24"/>
        </w:rPr>
      </w:pPr>
    </w:p>
    <w:p w14:paraId="04E8BFFE" w14:textId="77777777" w:rsidR="00A23410" w:rsidRPr="00C20FFE" w:rsidRDefault="00305111" w:rsidP="00C20FFE">
      <w:pPr>
        <w:keepNext/>
        <w:keepLines/>
        <w:pBdr>
          <w:top w:val="nil"/>
          <w:left w:val="nil"/>
          <w:bottom w:val="nil"/>
          <w:right w:val="nil"/>
          <w:between w:val="nil"/>
        </w:pBdr>
        <w:spacing w:before="480" w:after="240" w:line="360" w:lineRule="auto"/>
        <w:jc w:val="center"/>
        <w:rPr>
          <w:b/>
          <w:bCs/>
          <w:sz w:val="24"/>
          <w:szCs w:val="24"/>
        </w:rPr>
      </w:pPr>
      <w:r w:rsidRPr="00C20FFE">
        <w:rPr>
          <w:b/>
          <w:bCs/>
          <w:sz w:val="24"/>
          <w:szCs w:val="24"/>
        </w:rPr>
        <w:t>Table of Contents</w:t>
      </w:r>
    </w:p>
    <w:sdt>
      <w:sdtPr>
        <w:id w:val="642074841"/>
        <w:docPartObj>
          <w:docPartGallery w:val="Table of Contents"/>
          <w:docPartUnique/>
        </w:docPartObj>
      </w:sdtPr>
      <w:sdtEndPr/>
      <w:sdtContent>
        <w:p w14:paraId="64D465C9" w14:textId="4A081716" w:rsidR="003E30BE" w:rsidRDefault="00305111" w:rsidP="003E30BE">
          <w:pPr>
            <w:pStyle w:val="TOC1"/>
            <w:tabs>
              <w:tab w:val="right" w:leader="dot" w:pos="9019"/>
            </w:tabs>
            <w:spacing w:line="360" w:lineRule="auto"/>
            <w:jc w:val="both"/>
            <w:rPr>
              <w:noProof/>
            </w:rPr>
          </w:pPr>
          <w:r>
            <w:fldChar w:fldCharType="begin"/>
          </w:r>
          <w:r>
            <w:instrText xml:space="preserve"> TOC \h \u \z \t "Heading 1,1,Heading 2,2,Heading 3,3,"</w:instrText>
          </w:r>
          <w:r>
            <w:fldChar w:fldCharType="separate"/>
          </w:r>
          <w:hyperlink w:anchor="_Toc227073884" w:history="1">
            <w:r w:rsidR="003E30BE" w:rsidRPr="003E7A0C">
              <w:rPr>
                <w:rStyle w:val="Hyperlink"/>
                <w:noProof/>
              </w:rPr>
              <w:t>1.0 Introduction</w:t>
            </w:r>
            <w:r w:rsidR="003E30BE">
              <w:rPr>
                <w:noProof/>
                <w:webHidden/>
              </w:rPr>
              <w:tab/>
            </w:r>
            <w:r w:rsidR="003E30BE">
              <w:rPr>
                <w:noProof/>
                <w:webHidden/>
              </w:rPr>
              <w:fldChar w:fldCharType="begin"/>
            </w:r>
            <w:r w:rsidR="003E30BE">
              <w:rPr>
                <w:noProof/>
                <w:webHidden/>
              </w:rPr>
              <w:instrText xml:space="preserve"> PAGEREF _Toc227073884 \h </w:instrText>
            </w:r>
            <w:r w:rsidR="003E30BE">
              <w:rPr>
                <w:noProof/>
                <w:webHidden/>
              </w:rPr>
            </w:r>
            <w:r w:rsidR="003E30BE">
              <w:rPr>
                <w:noProof/>
                <w:webHidden/>
              </w:rPr>
              <w:fldChar w:fldCharType="separate"/>
            </w:r>
            <w:r w:rsidR="003E30BE">
              <w:rPr>
                <w:noProof/>
                <w:webHidden/>
              </w:rPr>
              <w:t>3</w:t>
            </w:r>
            <w:r w:rsidR="003E30BE">
              <w:rPr>
                <w:noProof/>
                <w:webHidden/>
              </w:rPr>
              <w:fldChar w:fldCharType="end"/>
            </w:r>
          </w:hyperlink>
        </w:p>
        <w:p w14:paraId="4351C595" w14:textId="1716E5FA" w:rsidR="003E30BE" w:rsidRDefault="003E30BE" w:rsidP="003E30BE">
          <w:pPr>
            <w:pStyle w:val="TOC2"/>
            <w:tabs>
              <w:tab w:val="right" w:leader="dot" w:pos="9019"/>
            </w:tabs>
            <w:spacing w:line="360" w:lineRule="auto"/>
            <w:jc w:val="both"/>
            <w:rPr>
              <w:noProof/>
            </w:rPr>
          </w:pPr>
          <w:hyperlink w:anchor="_Toc227073885" w:history="1">
            <w:r w:rsidRPr="003E7A0C">
              <w:rPr>
                <w:rStyle w:val="Hyperlink"/>
                <w:noProof/>
              </w:rPr>
              <w:t>1.1 Topic Overview</w:t>
            </w:r>
            <w:r>
              <w:rPr>
                <w:noProof/>
                <w:webHidden/>
              </w:rPr>
              <w:tab/>
            </w:r>
            <w:r>
              <w:rPr>
                <w:noProof/>
                <w:webHidden/>
              </w:rPr>
              <w:fldChar w:fldCharType="begin"/>
            </w:r>
            <w:r>
              <w:rPr>
                <w:noProof/>
                <w:webHidden/>
              </w:rPr>
              <w:instrText xml:space="preserve"> PAGEREF _Toc227073885 \h </w:instrText>
            </w:r>
            <w:r>
              <w:rPr>
                <w:noProof/>
                <w:webHidden/>
              </w:rPr>
            </w:r>
            <w:r>
              <w:rPr>
                <w:noProof/>
                <w:webHidden/>
              </w:rPr>
              <w:fldChar w:fldCharType="separate"/>
            </w:r>
            <w:r>
              <w:rPr>
                <w:noProof/>
                <w:webHidden/>
              </w:rPr>
              <w:t>3</w:t>
            </w:r>
            <w:r>
              <w:rPr>
                <w:noProof/>
                <w:webHidden/>
              </w:rPr>
              <w:fldChar w:fldCharType="end"/>
            </w:r>
          </w:hyperlink>
        </w:p>
        <w:p w14:paraId="3315BEBF" w14:textId="53E589C5" w:rsidR="003E30BE" w:rsidRDefault="003E30BE" w:rsidP="003E30BE">
          <w:pPr>
            <w:pStyle w:val="TOC2"/>
            <w:tabs>
              <w:tab w:val="right" w:leader="dot" w:pos="9019"/>
            </w:tabs>
            <w:spacing w:line="360" w:lineRule="auto"/>
            <w:jc w:val="both"/>
            <w:rPr>
              <w:noProof/>
            </w:rPr>
          </w:pPr>
          <w:hyperlink w:anchor="_Toc227073886" w:history="1">
            <w:r w:rsidRPr="003E7A0C">
              <w:rPr>
                <w:rStyle w:val="Hyperlink"/>
                <w:noProof/>
              </w:rPr>
              <w:t>1.2 Structure of the Report</w:t>
            </w:r>
            <w:r>
              <w:rPr>
                <w:noProof/>
                <w:webHidden/>
              </w:rPr>
              <w:tab/>
            </w:r>
            <w:r>
              <w:rPr>
                <w:noProof/>
                <w:webHidden/>
              </w:rPr>
              <w:fldChar w:fldCharType="begin"/>
            </w:r>
            <w:r>
              <w:rPr>
                <w:noProof/>
                <w:webHidden/>
              </w:rPr>
              <w:instrText xml:space="preserve"> PAGEREF _Toc227073886 \h </w:instrText>
            </w:r>
            <w:r>
              <w:rPr>
                <w:noProof/>
                <w:webHidden/>
              </w:rPr>
            </w:r>
            <w:r>
              <w:rPr>
                <w:noProof/>
                <w:webHidden/>
              </w:rPr>
              <w:fldChar w:fldCharType="separate"/>
            </w:r>
            <w:r>
              <w:rPr>
                <w:noProof/>
                <w:webHidden/>
              </w:rPr>
              <w:t>3</w:t>
            </w:r>
            <w:r>
              <w:rPr>
                <w:noProof/>
                <w:webHidden/>
              </w:rPr>
              <w:fldChar w:fldCharType="end"/>
            </w:r>
          </w:hyperlink>
        </w:p>
        <w:p w14:paraId="64436227" w14:textId="4FC79DA7" w:rsidR="003E30BE" w:rsidRDefault="003E30BE" w:rsidP="003E30BE">
          <w:pPr>
            <w:pStyle w:val="TOC1"/>
            <w:tabs>
              <w:tab w:val="right" w:leader="dot" w:pos="9019"/>
            </w:tabs>
            <w:spacing w:line="360" w:lineRule="auto"/>
            <w:jc w:val="both"/>
            <w:rPr>
              <w:noProof/>
            </w:rPr>
          </w:pPr>
          <w:hyperlink w:anchor="_Toc227073887" w:history="1">
            <w:r w:rsidRPr="003E7A0C">
              <w:rPr>
                <w:rStyle w:val="Hyperlink"/>
                <w:noProof/>
              </w:rPr>
              <w:t>2.0 Identify HR Issues at HSBC</w:t>
            </w:r>
            <w:r>
              <w:rPr>
                <w:noProof/>
                <w:webHidden/>
              </w:rPr>
              <w:tab/>
            </w:r>
            <w:r>
              <w:rPr>
                <w:noProof/>
                <w:webHidden/>
              </w:rPr>
              <w:fldChar w:fldCharType="begin"/>
            </w:r>
            <w:r>
              <w:rPr>
                <w:noProof/>
                <w:webHidden/>
              </w:rPr>
              <w:instrText xml:space="preserve"> PAGEREF _Toc227073887 \h </w:instrText>
            </w:r>
            <w:r>
              <w:rPr>
                <w:noProof/>
                <w:webHidden/>
              </w:rPr>
            </w:r>
            <w:r>
              <w:rPr>
                <w:noProof/>
                <w:webHidden/>
              </w:rPr>
              <w:fldChar w:fldCharType="separate"/>
            </w:r>
            <w:r>
              <w:rPr>
                <w:noProof/>
                <w:webHidden/>
              </w:rPr>
              <w:t>3</w:t>
            </w:r>
            <w:r>
              <w:rPr>
                <w:noProof/>
                <w:webHidden/>
              </w:rPr>
              <w:fldChar w:fldCharType="end"/>
            </w:r>
          </w:hyperlink>
        </w:p>
        <w:p w14:paraId="081957ED" w14:textId="3BB4DE2F" w:rsidR="003E30BE" w:rsidRDefault="003E30BE" w:rsidP="003E30BE">
          <w:pPr>
            <w:pStyle w:val="TOC2"/>
            <w:tabs>
              <w:tab w:val="right" w:leader="dot" w:pos="9019"/>
            </w:tabs>
            <w:spacing w:line="360" w:lineRule="auto"/>
            <w:jc w:val="both"/>
            <w:rPr>
              <w:noProof/>
            </w:rPr>
          </w:pPr>
          <w:hyperlink w:anchor="_Toc227073888" w:history="1">
            <w:r w:rsidRPr="003E7A0C">
              <w:rPr>
                <w:rStyle w:val="Hyperlink"/>
                <w:noProof/>
              </w:rPr>
              <w:t>2.1 Meeting up with Technological Advancement</w:t>
            </w:r>
            <w:r>
              <w:rPr>
                <w:noProof/>
                <w:webHidden/>
              </w:rPr>
              <w:tab/>
            </w:r>
            <w:r>
              <w:rPr>
                <w:noProof/>
                <w:webHidden/>
              </w:rPr>
              <w:fldChar w:fldCharType="begin"/>
            </w:r>
            <w:r>
              <w:rPr>
                <w:noProof/>
                <w:webHidden/>
              </w:rPr>
              <w:instrText xml:space="preserve"> PAGEREF _Toc227073888 \h </w:instrText>
            </w:r>
            <w:r>
              <w:rPr>
                <w:noProof/>
                <w:webHidden/>
              </w:rPr>
            </w:r>
            <w:r>
              <w:rPr>
                <w:noProof/>
                <w:webHidden/>
              </w:rPr>
              <w:fldChar w:fldCharType="separate"/>
            </w:r>
            <w:r>
              <w:rPr>
                <w:noProof/>
                <w:webHidden/>
              </w:rPr>
              <w:t>3</w:t>
            </w:r>
            <w:r>
              <w:rPr>
                <w:noProof/>
                <w:webHidden/>
              </w:rPr>
              <w:fldChar w:fldCharType="end"/>
            </w:r>
          </w:hyperlink>
        </w:p>
        <w:p w14:paraId="4F4EC5D6" w14:textId="714697E0" w:rsidR="003E30BE" w:rsidRDefault="003E30BE" w:rsidP="003E30BE">
          <w:pPr>
            <w:pStyle w:val="TOC2"/>
            <w:tabs>
              <w:tab w:val="right" w:leader="dot" w:pos="9019"/>
            </w:tabs>
            <w:spacing w:line="360" w:lineRule="auto"/>
            <w:jc w:val="both"/>
            <w:rPr>
              <w:noProof/>
            </w:rPr>
          </w:pPr>
          <w:hyperlink w:anchor="_Toc227073889" w:history="1">
            <w:r w:rsidRPr="003E7A0C">
              <w:rPr>
                <w:rStyle w:val="Hyperlink"/>
                <w:noProof/>
              </w:rPr>
              <w:t>2.2 Talent Acquisition and Retention</w:t>
            </w:r>
            <w:r>
              <w:rPr>
                <w:noProof/>
                <w:webHidden/>
              </w:rPr>
              <w:tab/>
            </w:r>
            <w:r>
              <w:rPr>
                <w:noProof/>
                <w:webHidden/>
              </w:rPr>
              <w:fldChar w:fldCharType="begin"/>
            </w:r>
            <w:r>
              <w:rPr>
                <w:noProof/>
                <w:webHidden/>
              </w:rPr>
              <w:instrText xml:space="preserve"> PAGEREF _Toc227073889 \h </w:instrText>
            </w:r>
            <w:r>
              <w:rPr>
                <w:noProof/>
                <w:webHidden/>
              </w:rPr>
            </w:r>
            <w:r>
              <w:rPr>
                <w:noProof/>
                <w:webHidden/>
              </w:rPr>
              <w:fldChar w:fldCharType="separate"/>
            </w:r>
            <w:r>
              <w:rPr>
                <w:noProof/>
                <w:webHidden/>
              </w:rPr>
              <w:t>5</w:t>
            </w:r>
            <w:r>
              <w:rPr>
                <w:noProof/>
                <w:webHidden/>
              </w:rPr>
              <w:fldChar w:fldCharType="end"/>
            </w:r>
          </w:hyperlink>
        </w:p>
        <w:p w14:paraId="1C087910" w14:textId="17C3C63F" w:rsidR="003E30BE" w:rsidRDefault="003E30BE" w:rsidP="003E30BE">
          <w:pPr>
            <w:pStyle w:val="TOC2"/>
            <w:tabs>
              <w:tab w:val="right" w:leader="dot" w:pos="9019"/>
            </w:tabs>
            <w:spacing w:line="360" w:lineRule="auto"/>
            <w:jc w:val="both"/>
            <w:rPr>
              <w:noProof/>
            </w:rPr>
          </w:pPr>
          <w:hyperlink w:anchor="_Toc227073890" w:history="1">
            <w:r w:rsidRPr="003E7A0C">
              <w:rPr>
                <w:rStyle w:val="Hyperlink"/>
                <w:noProof/>
              </w:rPr>
              <w:t>2.3 Diversity, Equity and Inclusion (DEI)</w:t>
            </w:r>
            <w:r>
              <w:rPr>
                <w:noProof/>
                <w:webHidden/>
              </w:rPr>
              <w:tab/>
            </w:r>
            <w:r>
              <w:rPr>
                <w:noProof/>
                <w:webHidden/>
              </w:rPr>
              <w:fldChar w:fldCharType="begin"/>
            </w:r>
            <w:r>
              <w:rPr>
                <w:noProof/>
                <w:webHidden/>
              </w:rPr>
              <w:instrText xml:space="preserve"> PAGEREF _Toc227073890 \h </w:instrText>
            </w:r>
            <w:r>
              <w:rPr>
                <w:noProof/>
                <w:webHidden/>
              </w:rPr>
            </w:r>
            <w:r>
              <w:rPr>
                <w:noProof/>
                <w:webHidden/>
              </w:rPr>
              <w:fldChar w:fldCharType="separate"/>
            </w:r>
            <w:r>
              <w:rPr>
                <w:noProof/>
                <w:webHidden/>
              </w:rPr>
              <w:t>6</w:t>
            </w:r>
            <w:r>
              <w:rPr>
                <w:noProof/>
                <w:webHidden/>
              </w:rPr>
              <w:fldChar w:fldCharType="end"/>
            </w:r>
          </w:hyperlink>
        </w:p>
        <w:p w14:paraId="0C1917E2" w14:textId="2A844760" w:rsidR="003E30BE" w:rsidRDefault="003E30BE" w:rsidP="003E30BE">
          <w:pPr>
            <w:pStyle w:val="TOC1"/>
            <w:tabs>
              <w:tab w:val="right" w:leader="dot" w:pos="9019"/>
            </w:tabs>
            <w:spacing w:line="360" w:lineRule="auto"/>
            <w:jc w:val="both"/>
            <w:rPr>
              <w:noProof/>
            </w:rPr>
          </w:pPr>
          <w:hyperlink w:anchor="_Toc227073891" w:history="1">
            <w:r w:rsidRPr="003E7A0C">
              <w:rPr>
                <w:rStyle w:val="Hyperlink"/>
                <w:noProof/>
              </w:rPr>
              <w:t>3.0 Evaluation of Different Contemporary HR Practices to Address Issues</w:t>
            </w:r>
            <w:r>
              <w:rPr>
                <w:noProof/>
                <w:webHidden/>
              </w:rPr>
              <w:tab/>
            </w:r>
            <w:r>
              <w:rPr>
                <w:noProof/>
                <w:webHidden/>
              </w:rPr>
              <w:fldChar w:fldCharType="begin"/>
            </w:r>
            <w:r>
              <w:rPr>
                <w:noProof/>
                <w:webHidden/>
              </w:rPr>
              <w:instrText xml:space="preserve"> PAGEREF _Toc227073891 \h </w:instrText>
            </w:r>
            <w:r>
              <w:rPr>
                <w:noProof/>
                <w:webHidden/>
              </w:rPr>
            </w:r>
            <w:r>
              <w:rPr>
                <w:noProof/>
                <w:webHidden/>
              </w:rPr>
              <w:fldChar w:fldCharType="separate"/>
            </w:r>
            <w:r>
              <w:rPr>
                <w:noProof/>
                <w:webHidden/>
              </w:rPr>
              <w:t>7</w:t>
            </w:r>
            <w:r>
              <w:rPr>
                <w:noProof/>
                <w:webHidden/>
              </w:rPr>
              <w:fldChar w:fldCharType="end"/>
            </w:r>
          </w:hyperlink>
        </w:p>
        <w:p w14:paraId="39B5EE00" w14:textId="0255A7FE" w:rsidR="003E30BE" w:rsidRDefault="003E30BE" w:rsidP="003E30BE">
          <w:pPr>
            <w:pStyle w:val="TOC2"/>
            <w:tabs>
              <w:tab w:val="right" w:leader="dot" w:pos="9019"/>
            </w:tabs>
            <w:spacing w:line="360" w:lineRule="auto"/>
            <w:jc w:val="both"/>
            <w:rPr>
              <w:noProof/>
            </w:rPr>
          </w:pPr>
          <w:hyperlink w:anchor="_Toc227073892" w:history="1">
            <w:r w:rsidRPr="003E7A0C">
              <w:rPr>
                <w:rStyle w:val="Hyperlink"/>
                <w:noProof/>
              </w:rPr>
              <w:t>3.1 Agile Workforce and Digital Up-Skilling: Technological ADVANCEMENT</w:t>
            </w:r>
            <w:r>
              <w:rPr>
                <w:noProof/>
                <w:webHidden/>
              </w:rPr>
              <w:tab/>
            </w:r>
            <w:r>
              <w:rPr>
                <w:noProof/>
                <w:webHidden/>
              </w:rPr>
              <w:fldChar w:fldCharType="begin"/>
            </w:r>
            <w:r>
              <w:rPr>
                <w:noProof/>
                <w:webHidden/>
              </w:rPr>
              <w:instrText xml:space="preserve"> PAGEREF _Toc227073892 \h </w:instrText>
            </w:r>
            <w:r>
              <w:rPr>
                <w:noProof/>
                <w:webHidden/>
              </w:rPr>
            </w:r>
            <w:r>
              <w:rPr>
                <w:noProof/>
                <w:webHidden/>
              </w:rPr>
              <w:fldChar w:fldCharType="separate"/>
            </w:r>
            <w:r>
              <w:rPr>
                <w:noProof/>
                <w:webHidden/>
              </w:rPr>
              <w:t>7</w:t>
            </w:r>
            <w:r>
              <w:rPr>
                <w:noProof/>
                <w:webHidden/>
              </w:rPr>
              <w:fldChar w:fldCharType="end"/>
            </w:r>
          </w:hyperlink>
        </w:p>
        <w:p w14:paraId="137858FC" w14:textId="30372C01" w:rsidR="003E30BE" w:rsidRDefault="003E30BE" w:rsidP="003E30BE">
          <w:pPr>
            <w:pStyle w:val="TOC2"/>
            <w:tabs>
              <w:tab w:val="right" w:leader="dot" w:pos="9019"/>
            </w:tabs>
            <w:spacing w:line="360" w:lineRule="auto"/>
            <w:jc w:val="both"/>
            <w:rPr>
              <w:noProof/>
            </w:rPr>
          </w:pPr>
          <w:hyperlink w:anchor="_Toc227073893" w:history="1">
            <w:r w:rsidRPr="003E7A0C">
              <w:rPr>
                <w:rStyle w:val="Hyperlink"/>
                <w:noProof/>
              </w:rPr>
              <w:t>3.2 Branding of Employers with Flexible Working Infrastructure: Talent Acquisition and Retention</w:t>
            </w:r>
            <w:r>
              <w:rPr>
                <w:noProof/>
                <w:webHidden/>
              </w:rPr>
              <w:tab/>
            </w:r>
            <w:r>
              <w:rPr>
                <w:noProof/>
                <w:webHidden/>
              </w:rPr>
              <w:fldChar w:fldCharType="begin"/>
            </w:r>
            <w:r>
              <w:rPr>
                <w:noProof/>
                <w:webHidden/>
              </w:rPr>
              <w:instrText xml:space="preserve"> PAGEREF _Toc227073893 \h </w:instrText>
            </w:r>
            <w:r>
              <w:rPr>
                <w:noProof/>
                <w:webHidden/>
              </w:rPr>
            </w:r>
            <w:r>
              <w:rPr>
                <w:noProof/>
                <w:webHidden/>
              </w:rPr>
              <w:fldChar w:fldCharType="separate"/>
            </w:r>
            <w:r>
              <w:rPr>
                <w:noProof/>
                <w:webHidden/>
              </w:rPr>
              <w:t>8</w:t>
            </w:r>
            <w:r>
              <w:rPr>
                <w:noProof/>
                <w:webHidden/>
              </w:rPr>
              <w:fldChar w:fldCharType="end"/>
            </w:r>
          </w:hyperlink>
        </w:p>
        <w:p w14:paraId="0AFA6D01" w14:textId="44314FE1" w:rsidR="003E30BE" w:rsidRDefault="003E30BE" w:rsidP="003E30BE">
          <w:pPr>
            <w:pStyle w:val="TOC2"/>
            <w:tabs>
              <w:tab w:val="right" w:leader="dot" w:pos="9019"/>
            </w:tabs>
            <w:spacing w:line="360" w:lineRule="auto"/>
            <w:jc w:val="both"/>
            <w:rPr>
              <w:noProof/>
            </w:rPr>
          </w:pPr>
          <w:hyperlink w:anchor="_Toc227073894" w:history="1">
            <w:r w:rsidRPr="003E7A0C">
              <w:rPr>
                <w:rStyle w:val="Hyperlink"/>
                <w:noProof/>
              </w:rPr>
              <w:t>3.3 Fair Leadership and Paying Infrastructure: DEI</w:t>
            </w:r>
            <w:r>
              <w:rPr>
                <w:noProof/>
                <w:webHidden/>
              </w:rPr>
              <w:tab/>
            </w:r>
            <w:r>
              <w:rPr>
                <w:noProof/>
                <w:webHidden/>
              </w:rPr>
              <w:fldChar w:fldCharType="begin"/>
            </w:r>
            <w:r>
              <w:rPr>
                <w:noProof/>
                <w:webHidden/>
              </w:rPr>
              <w:instrText xml:space="preserve"> PAGEREF _Toc227073894 \h </w:instrText>
            </w:r>
            <w:r>
              <w:rPr>
                <w:noProof/>
                <w:webHidden/>
              </w:rPr>
            </w:r>
            <w:r>
              <w:rPr>
                <w:noProof/>
                <w:webHidden/>
              </w:rPr>
              <w:fldChar w:fldCharType="separate"/>
            </w:r>
            <w:r>
              <w:rPr>
                <w:noProof/>
                <w:webHidden/>
              </w:rPr>
              <w:t>8</w:t>
            </w:r>
            <w:r>
              <w:rPr>
                <w:noProof/>
                <w:webHidden/>
              </w:rPr>
              <w:fldChar w:fldCharType="end"/>
            </w:r>
          </w:hyperlink>
        </w:p>
        <w:p w14:paraId="44346E58" w14:textId="45928AFA" w:rsidR="003E30BE" w:rsidRDefault="003E30BE" w:rsidP="003E30BE">
          <w:pPr>
            <w:pStyle w:val="TOC1"/>
            <w:tabs>
              <w:tab w:val="right" w:leader="dot" w:pos="9019"/>
            </w:tabs>
            <w:spacing w:line="360" w:lineRule="auto"/>
            <w:jc w:val="both"/>
            <w:rPr>
              <w:noProof/>
            </w:rPr>
          </w:pPr>
          <w:hyperlink w:anchor="_Toc227073895" w:history="1">
            <w:r w:rsidRPr="003E7A0C">
              <w:rPr>
                <w:rStyle w:val="Hyperlink"/>
                <w:noProof/>
              </w:rPr>
              <w:t>4.0 Role of Departmental Managers to Implement Contemporary Practices</w:t>
            </w:r>
            <w:r>
              <w:rPr>
                <w:noProof/>
                <w:webHidden/>
              </w:rPr>
              <w:tab/>
            </w:r>
            <w:r>
              <w:rPr>
                <w:noProof/>
                <w:webHidden/>
              </w:rPr>
              <w:fldChar w:fldCharType="begin"/>
            </w:r>
            <w:r>
              <w:rPr>
                <w:noProof/>
                <w:webHidden/>
              </w:rPr>
              <w:instrText xml:space="preserve"> PAGEREF _Toc227073895 \h </w:instrText>
            </w:r>
            <w:r>
              <w:rPr>
                <w:noProof/>
                <w:webHidden/>
              </w:rPr>
            </w:r>
            <w:r>
              <w:rPr>
                <w:noProof/>
                <w:webHidden/>
              </w:rPr>
              <w:fldChar w:fldCharType="separate"/>
            </w:r>
            <w:r>
              <w:rPr>
                <w:noProof/>
                <w:webHidden/>
              </w:rPr>
              <w:t>9</w:t>
            </w:r>
            <w:r>
              <w:rPr>
                <w:noProof/>
                <w:webHidden/>
              </w:rPr>
              <w:fldChar w:fldCharType="end"/>
            </w:r>
          </w:hyperlink>
        </w:p>
        <w:p w14:paraId="2A79FB8A" w14:textId="37972D97" w:rsidR="003E30BE" w:rsidRDefault="003E30BE" w:rsidP="003E30BE">
          <w:pPr>
            <w:pStyle w:val="TOC1"/>
            <w:tabs>
              <w:tab w:val="right" w:leader="dot" w:pos="9019"/>
            </w:tabs>
            <w:spacing w:line="360" w:lineRule="auto"/>
            <w:jc w:val="both"/>
            <w:rPr>
              <w:noProof/>
            </w:rPr>
          </w:pPr>
          <w:hyperlink w:anchor="_Toc227073896" w:history="1">
            <w:r w:rsidRPr="003E7A0C">
              <w:rPr>
                <w:rStyle w:val="Hyperlink"/>
                <w:noProof/>
              </w:rPr>
              <w:t>5.0 Conclusion and Recommendation</w:t>
            </w:r>
            <w:r>
              <w:rPr>
                <w:noProof/>
                <w:webHidden/>
              </w:rPr>
              <w:tab/>
            </w:r>
            <w:r>
              <w:rPr>
                <w:noProof/>
                <w:webHidden/>
              </w:rPr>
              <w:fldChar w:fldCharType="begin"/>
            </w:r>
            <w:r>
              <w:rPr>
                <w:noProof/>
                <w:webHidden/>
              </w:rPr>
              <w:instrText xml:space="preserve"> PAGEREF _Toc227073896 \h </w:instrText>
            </w:r>
            <w:r>
              <w:rPr>
                <w:noProof/>
                <w:webHidden/>
              </w:rPr>
            </w:r>
            <w:r>
              <w:rPr>
                <w:noProof/>
                <w:webHidden/>
              </w:rPr>
              <w:fldChar w:fldCharType="separate"/>
            </w:r>
            <w:r>
              <w:rPr>
                <w:noProof/>
                <w:webHidden/>
              </w:rPr>
              <w:t>10</w:t>
            </w:r>
            <w:r>
              <w:rPr>
                <w:noProof/>
                <w:webHidden/>
              </w:rPr>
              <w:fldChar w:fldCharType="end"/>
            </w:r>
          </w:hyperlink>
        </w:p>
        <w:p w14:paraId="00ABC39D" w14:textId="24B3A13F" w:rsidR="00A23410" w:rsidRDefault="00305111" w:rsidP="003E30BE">
          <w:pPr>
            <w:spacing w:line="360" w:lineRule="auto"/>
            <w:jc w:val="both"/>
          </w:pPr>
          <w:r>
            <w:fldChar w:fldCharType="end"/>
          </w:r>
        </w:p>
      </w:sdtContent>
    </w:sdt>
    <w:p w14:paraId="587C1422" w14:textId="77777777" w:rsidR="00A23410" w:rsidRDefault="00A23410">
      <w:pPr>
        <w:spacing w:line="360" w:lineRule="auto"/>
      </w:pPr>
    </w:p>
    <w:p w14:paraId="2B1D3BBD" w14:textId="77777777" w:rsidR="00A23410" w:rsidRDefault="00A23410">
      <w:pPr>
        <w:spacing w:line="360" w:lineRule="auto"/>
        <w:jc w:val="both"/>
      </w:pPr>
    </w:p>
    <w:p w14:paraId="1B89895E" w14:textId="77777777" w:rsidR="00A23410" w:rsidRDefault="00305111">
      <w:pPr>
        <w:spacing w:line="360" w:lineRule="auto"/>
        <w:rPr>
          <w:b/>
          <w:bCs/>
        </w:rPr>
      </w:pPr>
      <w:r>
        <w:br w:type="page"/>
      </w:r>
    </w:p>
    <w:p w14:paraId="0667AE79" w14:textId="77777777" w:rsidR="00A23410" w:rsidRPr="003E30BE" w:rsidRDefault="00305111" w:rsidP="00804FF8">
      <w:pPr>
        <w:pStyle w:val="Heading1"/>
      </w:pPr>
      <w:bookmarkStart w:id="1" w:name="_Toc227073884"/>
      <w:r w:rsidRPr="003E30BE">
        <w:t>1.0 Introduction</w:t>
      </w:r>
      <w:bookmarkEnd w:id="1"/>
      <w:r w:rsidRPr="003E30BE">
        <w:t xml:space="preserve"> </w:t>
      </w:r>
    </w:p>
    <w:p w14:paraId="529D0AD5" w14:textId="63DD7914" w:rsidR="00A23410" w:rsidRPr="003E30BE" w:rsidRDefault="00305111" w:rsidP="003E30BE">
      <w:pPr>
        <w:pStyle w:val="Heading2"/>
      </w:pPr>
      <w:bookmarkStart w:id="2" w:name="_Toc227073885"/>
      <w:r w:rsidRPr="003E30BE">
        <w:t xml:space="preserve">1.1 Topic </w:t>
      </w:r>
      <w:r w:rsidR="0053407E" w:rsidRPr="003E30BE">
        <w:t>Overview</w:t>
      </w:r>
      <w:bookmarkEnd w:id="2"/>
      <w:r w:rsidR="0053407E" w:rsidRPr="003E30BE">
        <w:t xml:space="preserve"> </w:t>
      </w:r>
    </w:p>
    <w:p w14:paraId="6DB57407" w14:textId="10BDA730" w:rsidR="00A23410" w:rsidRDefault="00305111" w:rsidP="00EA6CAC">
      <w:pPr>
        <w:spacing w:after="240" w:line="360" w:lineRule="auto"/>
        <w:jc w:val="both"/>
      </w:pPr>
      <w:r>
        <w:t xml:space="preserve">Human resources (HR) is always considered one of the most valuable organisational resources. </w:t>
      </w:r>
      <w:r w:rsidR="006D65BE">
        <w:t xml:space="preserve">The capability of </w:t>
      </w:r>
      <w:r>
        <w:t>HR helps optimise organisational commitment, productivity and potential to ensure positive impact on organisational performance (</w:t>
      </w:r>
      <w:proofErr w:type="spellStart"/>
      <w:r>
        <w:t>Agustian</w:t>
      </w:r>
      <w:proofErr w:type="spellEnd"/>
      <w:r>
        <w:t xml:space="preserve"> </w:t>
      </w:r>
      <w:r w:rsidR="00315824" w:rsidRPr="00315824">
        <w:t>et al</w:t>
      </w:r>
      <w:r>
        <w:rPr>
          <w:i/>
          <w:iCs/>
        </w:rPr>
        <w:t xml:space="preserve">., </w:t>
      </w:r>
      <w:r>
        <w:t xml:space="preserve">2023; Armstrong, 2020; Lawler and Albers, 2003). However, in the recent 21st-century era, HR departments of organisations are dealing with multiple challenges due to external and internal business environmental factors. </w:t>
      </w:r>
    </w:p>
    <w:p w14:paraId="65312AE6" w14:textId="4FF6BCD7" w:rsidR="00A23410" w:rsidRDefault="00305111" w:rsidP="003E30BE">
      <w:pPr>
        <w:pStyle w:val="Heading2"/>
      </w:pPr>
      <w:bookmarkStart w:id="3" w:name="_Toc227073886"/>
      <w:r>
        <w:t xml:space="preserve">1.2 Structure of the </w:t>
      </w:r>
      <w:r w:rsidR="0053407E">
        <w:t>Report</w:t>
      </w:r>
      <w:bookmarkEnd w:id="3"/>
      <w:r w:rsidR="0053407E">
        <w:t xml:space="preserve"> </w:t>
      </w:r>
    </w:p>
    <w:p w14:paraId="2A47AB39" w14:textId="77777777" w:rsidR="00A23410" w:rsidRDefault="00305111" w:rsidP="00EA6CAC">
      <w:pPr>
        <w:spacing w:after="240" w:line="360" w:lineRule="auto"/>
        <w:jc w:val="both"/>
      </w:pPr>
      <w:r>
        <w:t xml:space="preserve">Considering the above context, the present report aims to critically examine major HR issues linked to a few factors. The structure of this report is going to explore the role of departmental managers and contemporary HR practices to resolve underlying risks. HSBC is considered the chosen organisation to discover HR issues with real-world evidence. </w:t>
      </w:r>
    </w:p>
    <w:p w14:paraId="1A80723D" w14:textId="03834647" w:rsidR="00A23410" w:rsidRDefault="00305111" w:rsidP="00804FF8">
      <w:pPr>
        <w:pStyle w:val="Heading1"/>
      </w:pPr>
      <w:bookmarkStart w:id="4" w:name="_Toc227073887"/>
      <w:r>
        <w:t xml:space="preserve">2.0 Identify HR </w:t>
      </w:r>
      <w:r w:rsidR="0053407E">
        <w:t xml:space="preserve">Issues </w:t>
      </w:r>
      <w:r>
        <w:t>at HSBC</w:t>
      </w:r>
      <w:bookmarkEnd w:id="4"/>
      <w:r>
        <w:t xml:space="preserve"> </w:t>
      </w:r>
    </w:p>
    <w:p w14:paraId="4CAB6168" w14:textId="77777777" w:rsidR="00A23410" w:rsidRDefault="00305111" w:rsidP="00EA6CAC">
      <w:pPr>
        <w:spacing w:after="240" w:line="360" w:lineRule="auto"/>
        <w:jc w:val="center"/>
      </w:pPr>
      <w:r>
        <w:rPr>
          <w:noProof/>
        </w:rPr>
        <w:drawing>
          <wp:inline distT="114300" distB="114300" distL="114300" distR="114300" wp14:anchorId="13380190" wp14:editId="43CD0CB7">
            <wp:extent cx="3703955" cy="2225040"/>
            <wp:effectExtent l="0" t="0" r="0" b="381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704166" cy="2225167"/>
                    </a:xfrm>
                    <a:prstGeom prst="rect">
                      <a:avLst/>
                    </a:prstGeom>
                    <a:ln/>
                  </pic:spPr>
                </pic:pic>
              </a:graphicData>
            </a:graphic>
          </wp:inline>
        </w:drawing>
      </w:r>
    </w:p>
    <w:p w14:paraId="65C4A50D" w14:textId="77777777" w:rsidR="00A23410" w:rsidRDefault="00305111" w:rsidP="00EA6CAC">
      <w:pPr>
        <w:spacing w:after="240" w:line="360" w:lineRule="auto"/>
        <w:jc w:val="center"/>
        <w:rPr>
          <w:b/>
          <w:bCs/>
        </w:rPr>
      </w:pPr>
      <w:r>
        <w:rPr>
          <w:b/>
          <w:bCs/>
        </w:rPr>
        <w:t xml:space="preserve">Figure 1: HSBC in the UK </w:t>
      </w:r>
    </w:p>
    <w:p w14:paraId="43FCCE7F" w14:textId="77777777" w:rsidR="00A23410" w:rsidRDefault="00305111" w:rsidP="00EA6CAC">
      <w:pPr>
        <w:spacing w:after="240" w:line="360" w:lineRule="auto"/>
        <w:jc w:val="center"/>
      </w:pPr>
      <w:r>
        <w:t>(Source: Almeida, 2025)</w:t>
      </w:r>
    </w:p>
    <w:p w14:paraId="548AB1C1" w14:textId="4AB5CDE5" w:rsidR="00A23410" w:rsidRDefault="00305111" w:rsidP="003E30BE">
      <w:pPr>
        <w:pStyle w:val="Heading2"/>
      </w:pPr>
      <w:bookmarkStart w:id="5" w:name="_Toc227073888"/>
      <w:r>
        <w:t xml:space="preserve">2.1 Meeting up with </w:t>
      </w:r>
      <w:r w:rsidR="00325CF5">
        <w:t>Technological Advancement</w:t>
      </w:r>
      <w:bookmarkEnd w:id="5"/>
    </w:p>
    <w:p w14:paraId="67D22E39" w14:textId="2BDB0230" w:rsidR="00A23410" w:rsidRDefault="00305111" w:rsidP="00EA6CAC">
      <w:pPr>
        <w:spacing w:after="240" w:line="360" w:lineRule="auto"/>
        <w:jc w:val="both"/>
      </w:pPr>
      <w:r>
        <w:t xml:space="preserve">Overall, the workforce of HSBC is controlled by modern technology, and AI adoption to bring digital transformation. This resulted in 10% workforce reduction, with an expected 20000 job cuts from </w:t>
      </w:r>
      <w:r w:rsidR="00325CF5">
        <w:t>back-office</w:t>
      </w:r>
      <w:r>
        <w:t xml:space="preserve"> roles and </w:t>
      </w:r>
      <w:r w:rsidR="007D241B">
        <w:t>non-client-facing</w:t>
      </w:r>
      <w:r>
        <w:t xml:space="preserve"> middle roles of 210000 employees based in the workplace (MLQ, 2026). As per the CEO, Pam Kaur's statement, the key ambition is to implement AI just because of productivity growth and cost reduction in areas such as transaction monitoring and consumer services (MLQ, 2026). </w:t>
      </w:r>
      <w:r w:rsidR="00A13652" w:rsidRPr="00A13652">
        <w:t>The theoretical</w:t>
      </w:r>
      <w:r w:rsidRPr="00A13652">
        <w:t xml:space="preserve"> model of CIPD Smart/Agile Working Framework helps to explain that </w:t>
      </w:r>
      <w:r w:rsidR="00A13652" w:rsidRPr="00A13652">
        <w:t xml:space="preserve">advancement in technologies restructures infrastructure through AI-structured tasks </w:t>
      </w:r>
      <w:r w:rsidRPr="00A13652">
        <w:t>and automation.</w:t>
      </w:r>
      <w:r>
        <w:t xml:space="preserve"> This projection t</w:t>
      </w:r>
      <w:r>
        <w:t xml:space="preserve">ransforms routine roles to higher-skilled tech-capable operations, which may result in role ambiguity, intensifying standard working methods with skill gaps. Application of the HR planning process helps to visualise an imbalance structured between supply and demand through the decline in demand for </w:t>
      </w:r>
      <w:r w:rsidR="00A13652">
        <w:t>back-office</w:t>
      </w:r>
      <w:r>
        <w:t xml:space="preserve"> tasks and an increase in demand for more analytic and tech-powered skills. </w:t>
      </w:r>
    </w:p>
    <w:p w14:paraId="05443D3E" w14:textId="77777777" w:rsidR="00A23410" w:rsidRDefault="00305111" w:rsidP="00EA6CAC">
      <w:pPr>
        <w:spacing w:after="240" w:line="360" w:lineRule="auto"/>
        <w:jc w:val="center"/>
      </w:pPr>
      <w:r>
        <w:rPr>
          <w:noProof/>
        </w:rPr>
        <w:drawing>
          <wp:inline distT="114300" distB="114300" distL="114300" distR="114300" wp14:anchorId="3E684DD4" wp14:editId="5E5BEAC4">
            <wp:extent cx="3498215" cy="3101340"/>
            <wp:effectExtent l="0" t="0" r="6985" b="381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498416" cy="3101518"/>
                    </a:xfrm>
                    <a:prstGeom prst="rect">
                      <a:avLst/>
                    </a:prstGeom>
                    <a:ln/>
                  </pic:spPr>
                </pic:pic>
              </a:graphicData>
            </a:graphic>
          </wp:inline>
        </w:drawing>
      </w:r>
    </w:p>
    <w:p w14:paraId="25EE22A8" w14:textId="77777777" w:rsidR="00A23410" w:rsidRDefault="00305111" w:rsidP="00EA6CAC">
      <w:pPr>
        <w:spacing w:after="240" w:line="360" w:lineRule="auto"/>
        <w:jc w:val="center"/>
        <w:rPr>
          <w:b/>
          <w:bCs/>
        </w:rPr>
      </w:pPr>
      <w:r>
        <w:rPr>
          <w:b/>
          <w:bCs/>
        </w:rPr>
        <w:t xml:space="preserve">Figure 2: Future working dimension at HSBC </w:t>
      </w:r>
    </w:p>
    <w:p w14:paraId="3BB4442C" w14:textId="77777777" w:rsidR="00A23410" w:rsidRDefault="00305111" w:rsidP="00EA6CAC">
      <w:pPr>
        <w:spacing w:after="240" w:line="360" w:lineRule="auto"/>
        <w:jc w:val="center"/>
      </w:pPr>
      <w:r>
        <w:t>(Source: Pomeroy, 2023)</w:t>
      </w:r>
    </w:p>
    <w:p w14:paraId="0DA82E38" w14:textId="3DFFF8DC" w:rsidR="00A23410" w:rsidRDefault="00305111" w:rsidP="00EA6CAC">
      <w:pPr>
        <w:spacing w:after="240" w:line="360" w:lineRule="auto"/>
        <w:jc w:val="both"/>
      </w:pPr>
      <w:r>
        <w:t>As a supporting statement, another news report also mentioned planning job cuts into their broader transformational strategy with a shift to artificial intelligence to bring automation to repetitive workflow (Pomeroy, 2023). This is resulting in blurred HR strategies</w:t>
      </w:r>
      <w:r w:rsidR="00EA6CAC">
        <w:t>,</w:t>
      </w:r>
      <w:r>
        <w:t xml:space="preserve"> which </w:t>
      </w:r>
      <w:r w:rsidR="009C1067">
        <w:t>increase</w:t>
      </w:r>
      <w:r>
        <w:t xml:space="preserve"> turnover, staff disengagement, and </w:t>
      </w:r>
      <w:r w:rsidR="005E3685">
        <w:t>hinder</w:t>
      </w:r>
      <w:r>
        <w:t xml:space="preserve"> human-centric productivity at HSBC.</w:t>
      </w:r>
      <w:r w:rsidR="00210380">
        <w:t xml:space="preserve"> </w:t>
      </w:r>
      <w:r w:rsidR="00210380" w:rsidRPr="00210380">
        <w:t xml:space="preserve">However, this approach may </w:t>
      </w:r>
      <w:r w:rsidR="00210380">
        <w:t>expand</w:t>
      </w:r>
      <w:r w:rsidR="00210380" w:rsidRPr="00210380">
        <w:t xml:space="preserve"> </w:t>
      </w:r>
      <w:r w:rsidR="009C1067">
        <w:t xml:space="preserve">the </w:t>
      </w:r>
      <w:r w:rsidR="00210380" w:rsidRPr="00210380">
        <w:t xml:space="preserve">resistance </w:t>
      </w:r>
      <w:r w:rsidR="009C1067">
        <w:t xml:space="preserve">level </w:t>
      </w:r>
      <w:r w:rsidR="00210380">
        <w:t>because of</w:t>
      </w:r>
      <w:r w:rsidR="00210380" w:rsidRPr="00210380">
        <w:t xml:space="preserve"> perceived </w:t>
      </w:r>
      <w:r w:rsidR="00210380">
        <w:t xml:space="preserve">insecurity </w:t>
      </w:r>
      <w:r w:rsidR="009C1067">
        <w:t>in</w:t>
      </w:r>
      <w:r w:rsidR="00210380">
        <w:t xml:space="preserve"> </w:t>
      </w:r>
      <w:r w:rsidR="00210380" w:rsidRPr="00210380">
        <w:t>job</w:t>
      </w:r>
      <w:r w:rsidR="00210380">
        <w:t>s</w:t>
      </w:r>
      <w:r w:rsidR="00210380" w:rsidRPr="00210380">
        <w:t>.</w:t>
      </w:r>
    </w:p>
    <w:tbl>
      <w:tblPr>
        <w:tblStyle w:val="a"/>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3260"/>
        <w:gridCol w:w="3340"/>
      </w:tblGrid>
      <w:tr w:rsidR="00A23410" w14:paraId="40114E4A" w14:textId="77777777" w:rsidTr="006D37EB">
        <w:trPr>
          <w:jc w:val="center"/>
        </w:trPr>
        <w:tc>
          <w:tcPr>
            <w:tcW w:w="2400" w:type="dxa"/>
            <w:tcMar>
              <w:top w:w="100" w:type="dxa"/>
              <w:left w:w="100" w:type="dxa"/>
              <w:bottom w:w="100" w:type="dxa"/>
              <w:right w:w="100" w:type="dxa"/>
            </w:tcMar>
          </w:tcPr>
          <w:p w14:paraId="0801D2D8" w14:textId="6CDD723A" w:rsidR="00A23410" w:rsidRDefault="00305111" w:rsidP="00857174">
            <w:pPr>
              <w:widowControl w:val="0"/>
              <w:pBdr>
                <w:top w:val="nil"/>
                <w:left w:val="nil"/>
                <w:bottom w:val="nil"/>
                <w:right w:val="nil"/>
                <w:between w:val="nil"/>
              </w:pBdr>
              <w:spacing w:after="240" w:line="360" w:lineRule="auto"/>
              <w:jc w:val="center"/>
              <w:rPr>
                <w:b/>
                <w:bCs/>
              </w:rPr>
            </w:pPr>
            <w:r>
              <w:rPr>
                <w:b/>
                <w:bCs/>
              </w:rPr>
              <w:t>Stages</w:t>
            </w:r>
          </w:p>
        </w:tc>
        <w:tc>
          <w:tcPr>
            <w:tcW w:w="3260" w:type="dxa"/>
            <w:tcMar>
              <w:top w:w="100" w:type="dxa"/>
              <w:left w:w="100" w:type="dxa"/>
              <w:bottom w:w="100" w:type="dxa"/>
              <w:right w:w="100" w:type="dxa"/>
            </w:tcMar>
          </w:tcPr>
          <w:p w14:paraId="49025A4C" w14:textId="77777777" w:rsidR="00A23410" w:rsidRDefault="00305111" w:rsidP="00857174">
            <w:pPr>
              <w:widowControl w:val="0"/>
              <w:pBdr>
                <w:top w:val="nil"/>
                <w:left w:val="nil"/>
                <w:bottom w:val="nil"/>
                <w:right w:val="nil"/>
                <w:between w:val="nil"/>
              </w:pBdr>
              <w:spacing w:after="240" w:line="360" w:lineRule="auto"/>
              <w:jc w:val="center"/>
              <w:rPr>
                <w:b/>
                <w:bCs/>
              </w:rPr>
            </w:pPr>
            <w:r>
              <w:rPr>
                <w:b/>
                <w:bCs/>
              </w:rPr>
              <w:t xml:space="preserve">Operational case </w:t>
            </w:r>
          </w:p>
        </w:tc>
        <w:tc>
          <w:tcPr>
            <w:tcW w:w="3340" w:type="dxa"/>
            <w:tcMar>
              <w:top w:w="100" w:type="dxa"/>
              <w:left w:w="100" w:type="dxa"/>
              <w:bottom w:w="100" w:type="dxa"/>
              <w:right w:w="100" w:type="dxa"/>
            </w:tcMar>
          </w:tcPr>
          <w:p w14:paraId="7A4EE76E" w14:textId="77777777" w:rsidR="00A23410" w:rsidRDefault="00305111" w:rsidP="00857174">
            <w:pPr>
              <w:widowControl w:val="0"/>
              <w:pBdr>
                <w:top w:val="nil"/>
                <w:left w:val="nil"/>
                <w:bottom w:val="nil"/>
                <w:right w:val="nil"/>
                <w:between w:val="nil"/>
              </w:pBdr>
              <w:spacing w:after="240" w:line="360" w:lineRule="auto"/>
              <w:jc w:val="center"/>
              <w:rPr>
                <w:b/>
                <w:bCs/>
              </w:rPr>
            </w:pPr>
            <w:r>
              <w:rPr>
                <w:b/>
                <w:bCs/>
              </w:rPr>
              <w:t xml:space="preserve">HR issues </w:t>
            </w:r>
          </w:p>
        </w:tc>
      </w:tr>
      <w:tr w:rsidR="00A23410" w14:paraId="44062F6D" w14:textId="77777777" w:rsidTr="006D37EB">
        <w:trPr>
          <w:jc w:val="center"/>
        </w:trPr>
        <w:tc>
          <w:tcPr>
            <w:tcW w:w="2400" w:type="dxa"/>
            <w:tcMar>
              <w:top w:w="100" w:type="dxa"/>
              <w:left w:w="100" w:type="dxa"/>
              <w:bottom w:w="100" w:type="dxa"/>
              <w:right w:w="100" w:type="dxa"/>
            </w:tcMar>
          </w:tcPr>
          <w:p w14:paraId="72F532F0" w14:textId="06740E77" w:rsidR="00A23410" w:rsidRDefault="00305111" w:rsidP="00857174">
            <w:pPr>
              <w:widowControl w:val="0"/>
              <w:pBdr>
                <w:top w:val="nil"/>
                <w:left w:val="nil"/>
                <w:bottom w:val="nil"/>
                <w:right w:val="nil"/>
                <w:between w:val="nil"/>
              </w:pBdr>
              <w:spacing w:after="240" w:line="360" w:lineRule="auto"/>
              <w:jc w:val="center"/>
            </w:pPr>
            <w:r>
              <w:t>Investigation</w:t>
            </w:r>
          </w:p>
        </w:tc>
        <w:tc>
          <w:tcPr>
            <w:tcW w:w="3260" w:type="dxa"/>
            <w:tcMar>
              <w:top w:w="100" w:type="dxa"/>
              <w:left w:w="100" w:type="dxa"/>
              <w:bottom w:w="100" w:type="dxa"/>
              <w:right w:w="100" w:type="dxa"/>
            </w:tcMar>
          </w:tcPr>
          <w:p w14:paraId="43B01B05" w14:textId="77777777" w:rsidR="00A23410" w:rsidRDefault="00305111" w:rsidP="00857174">
            <w:pPr>
              <w:widowControl w:val="0"/>
              <w:pBdr>
                <w:top w:val="nil"/>
                <w:left w:val="nil"/>
                <w:bottom w:val="nil"/>
                <w:right w:val="nil"/>
                <w:between w:val="nil"/>
              </w:pBdr>
              <w:spacing w:after="240" w:line="360" w:lineRule="auto"/>
              <w:jc w:val="both"/>
            </w:pPr>
            <w:r>
              <w:t xml:space="preserve">AI implementation resulting in 20000 job cuts </w:t>
            </w:r>
          </w:p>
        </w:tc>
        <w:tc>
          <w:tcPr>
            <w:tcW w:w="3340" w:type="dxa"/>
            <w:tcMar>
              <w:top w:w="100" w:type="dxa"/>
              <w:left w:w="100" w:type="dxa"/>
              <w:bottom w:w="100" w:type="dxa"/>
              <w:right w:w="100" w:type="dxa"/>
            </w:tcMar>
          </w:tcPr>
          <w:p w14:paraId="56097624" w14:textId="77777777" w:rsidR="00A23410" w:rsidRDefault="00305111" w:rsidP="00857174">
            <w:pPr>
              <w:widowControl w:val="0"/>
              <w:pBdr>
                <w:top w:val="nil"/>
                <w:left w:val="nil"/>
                <w:bottom w:val="nil"/>
                <w:right w:val="nil"/>
                <w:between w:val="nil"/>
              </w:pBdr>
              <w:spacing w:after="240" w:line="360" w:lineRule="auto"/>
              <w:jc w:val="both"/>
            </w:pPr>
            <w:r>
              <w:t xml:space="preserve">Staff feel stressed with uncertainty, with resistance </w:t>
            </w:r>
          </w:p>
        </w:tc>
      </w:tr>
      <w:tr w:rsidR="00A23410" w14:paraId="1F0443B3" w14:textId="77777777" w:rsidTr="006D37EB">
        <w:trPr>
          <w:jc w:val="center"/>
        </w:trPr>
        <w:tc>
          <w:tcPr>
            <w:tcW w:w="2400" w:type="dxa"/>
            <w:tcMar>
              <w:top w:w="100" w:type="dxa"/>
              <w:left w:w="100" w:type="dxa"/>
              <w:bottom w:w="100" w:type="dxa"/>
              <w:right w:w="100" w:type="dxa"/>
            </w:tcMar>
          </w:tcPr>
          <w:p w14:paraId="3C56351A" w14:textId="2D5B9438" w:rsidR="00A23410" w:rsidRDefault="00305111" w:rsidP="00857174">
            <w:pPr>
              <w:widowControl w:val="0"/>
              <w:pBdr>
                <w:top w:val="nil"/>
                <w:left w:val="nil"/>
                <w:bottom w:val="nil"/>
                <w:right w:val="nil"/>
                <w:between w:val="nil"/>
              </w:pBdr>
              <w:spacing w:after="240" w:line="360" w:lineRule="auto"/>
              <w:jc w:val="center"/>
            </w:pPr>
            <w:r>
              <w:t>Forecasting</w:t>
            </w:r>
          </w:p>
        </w:tc>
        <w:tc>
          <w:tcPr>
            <w:tcW w:w="3260" w:type="dxa"/>
            <w:tcMar>
              <w:top w:w="100" w:type="dxa"/>
              <w:left w:w="100" w:type="dxa"/>
              <w:bottom w:w="100" w:type="dxa"/>
              <w:right w:w="100" w:type="dxa"/>
            </w:tcMar>
          </w:tcPr>
          <w:p w14:paraId="523FEB61" w14:textId="77777777" w:rsidR="00A23410" w:rsidRDefault="00305111" w:rsidP="00857174">
            <w:pPr>
              <w:widowControl w:val="0"/>
              <w:pBdr>
                <w:top w:val="nil"/>
                <w:left w:val="nil"/>
                <w:bottom w:val="nil"/>
                <w:right w:val="nil"/>
                <w:between w:val="nil"/>
              </w:pBdr>
              <w:spacing w:after="240" w:line="360" w:lineRule="auto"/>
              <w:jc w:val="both"/>
            </w:pPr>
            <w:r>
              <w:t xml:space="preserve">Digital workplace design with poorly skilled workers </w:t>
            </w:r>
          </w:p>
        </w:tc>
        <w:tc>
          <w:tcPr>
            <w:tcW w:w="3340" w:type="dxa"/>
            <w:tcMar>
              <w:top w:w="100" w:type="dxa"/>
              <w:left w:w="100" w:type="dxa"/>
              <w:bottom w:w="100" w:type="dxa"/>
              <w:right w:w="100" w:type="dxa"/>
            </w:tcMar>
          </w:tcPr>
          <w:p w14:paraId="7935C645" w14:textId="77777777" w:rsidR="00A23410" w:rsidRDefault="00305111" w:rsidP="00857174">
            <w:pPr>
              <w:widowControl w:val="0"/>
              <w:pBdr>
                <w:top w:val="nil"/>
                <w:left w:val="nil"/>
                <w:bottom w:val="nil"/>
                <w:right w:val="nil"/>
                <w:between w:val="nil"/>
              </w:pBdr>
              <w:spacing w:after="240" w:line="360" w:lineRule="auto"/>
              <w:jc w:val="both"/>
            </w:pPr>
            <w:r>
              <w:t xml:space="preserve">Less engagement and a talent gap </w:t>
            </w:r>
          </w:p>
        </w:tc>
      </w:tr>
      <w:tr w:rsidR="00A23410" w14:paraId="6936A026" w14:textId="77777777" w:rsidTr="006D37EB">
        <w:trPr>
          <w:jc w:val="center"/>
        </w:trPr>
        <w:tc>
          <w:tcPr>
            <w:tcW w:w="2400" w:type="dxa"/>
            <w:tcMar>
              <w:top w:w="100" w:type="dxa"/>
              <w:left w:w="100" w:type="dxa"/>
              <w:bottom w:w="100" w:type="dxa"/>
              <w:right w:w="100" w:type="dxa"/>
            </w:tcMar>
          </w:tcPr>
          <w:p w14:paraId="01A5DC9C" w14:textId="2D51E988" w:rsidR="00A23410" w:rsidRDefault="00305111" w:rsidP="00857174">
            <w:pPr>
              <w:widowControl w:val="0"/>
              <w:pBdr>
                <w:top w:val="nil"/>
                <w:left w:val="nil"/>
                <w:bottom w:val="nil"/>
                <w:right w:val="nil"/>
                <w:between w:val="nil"/>
              </w:pBdr>
              <w:spacing w:after="240" w:line="360" w:lineRule="auto"/>
              <w:jc w:val="center"/>
            </w:pPr>
            <w:r>
              <w:t>Planning</w:t>
            </w:r>
          </w:p>
        </w:tc>
        <w:tc>
          <w:tcPr>
            <w:tcW w:w="3260" w:type="dxa"/>
            <w:tcMar>
              <w:top w:w="100" w:type="dxa"/>
              <w:left w:w="100" w:type="dxa"/>
              <w:bottom w:w="100" w:type="dxa"/>
              <w:right w:w="100" w:type="dxa"/>
            </w:tcMar>
          </w:tcPr>
          <w:p w14:paraId="530CF116" w14:textId="77777777" w:rsidR="00A23410" w:rsidRDefault="00305111" w:rsidP="00857174">
            <w:pPr>
              <w:widowControl w:val="0"/>
              <w:pBdr>
                <w:top w:val="nil"/>
                <w:left w:val="nil"/>
                <w:bottom w:val="nil"/>
                <w:right w:val="nil"/>
                <w:between w:val="nil"/>
              </w:pBdr>
              <w:spacing w:after="240" w:line="360" w:lineRule="auto"/>
              <w:jc w:val="both"/>
            </w:pPr>
            <w:r>
              <w:t xml:space="preserve">AI-powered operational infrastructure </w:t>
            </w:r>
          </w:p>
        </w:tc>
        <w:tc>
          <w:tcPr>
            <w:tcW w:w="3340" w:type="dxa"/>
            <w:tcMar>
              <w:top w:w="100" w:type="dxa"/>
              <w:left w:w="100" w:type="dxa"/>
              <w:bottom w:w="100" w:type="dxa"/>
              <w:right w:w="100" w:type="dxa"/>
            </w:tcMar>
          </w:tcPr>
          <w:p w14:paraId="3289BD79" w14:textId="77777777" w:rsidR="00A23410" w:rsidRDefault="00305111" w:rsidP="00857174">
            <w:pPr>
              <w:widowControl w:val="0"/>
              <w:pBdr>
                <w:top w:val="nil"/>
                <w:left w:val="nil"/>
                <w:bottom w:val="nil"/>
                <w:right w:val="nil"/>
                <w:between w:val="nil"/>
              </w:pBdr>
              <w:spacing w:after="240" w:line="360" w:lineRule="auto"/>
              <w:jc w:val="both"/>
            </w:pPr>
            <w:r>
              <w:t>Job instability</w:t>
            </w:r>
          </w:p>
        </w:tc>
      </w:tr>
    </w:tbl>
    <w:p w14:paraId="6FAABFCC" w14:textId="77777777" w:rsidR="00A23410" w:rsidRDefault="00305111" w:rsidP="006D37EB">
      <w:pPr>
        <w:spacing w:before="240" w:after="240" w:line="360" w:lineRule="auto"/>
        <w:jc w:val="center"/>
        <w:rPr>
          <w:b/>
          <w:bCs/>
        </w:rPr>
      </w:pPr>
      <w:r>
        <w:rPr>
          <w:b/>
          <w:bCs/>
        </w:rPr>
        <w:t xml:space="preserve">Table 1: Key Stages of HR Planning Process </w:t>
      </w:r>
    </w:p>
    <w:p w14:paraId="048CE7D4" w14:textId="77777777" w:rsidR="00A23410" w:rsidRDefault="00305111" w:rsidP="003E30BE">
      <w:pPr>
        <w:pStyle w:val="Heading2"/>
      </w:pPr>
      <w:bookmarkStart w:id="6" w:name="_Toc227073889"/>
      <w:r>
        <w:t>2.2 Talent Acquisition and Retention</w:t>
      </w:r>
      <w:bookmarkEnd w:id="6"/>
    </w:p>
    <w:p w14:paraId="2CA66717" w14:textId="544B32E2" w:rsidR="00A23410" w:rsidRDefault="00305111" w:rsidP="00D95600">
      <w:pPr>
        <w:spacing w:after="240" w:line="360" w:lineRule="auto"/>
        <w:jc w:val="both"/>
      </w:pPr>
      <w:r>
        <w:t>The rapid evolution of the workplace, the global labour market and demographics, together with common changing talent requirements, result in a talent shortfall as a key uncertainty (</w:t>
      </w:r>
      <w:proofErr w:type="spellStart"/>
      <w:r>
        <w:t>Holbeche</w:t>
      </w:r>
      <w:proofErr w:type="spellEnd"/>
      <w:r>
        <w:t xml:space="preserve">, 2022). According to the annual report and accounts 2024, the business functions of HSBC are strongly exposed to a certain level of risks linked to talent availability and employee retention, along with changing skill requirements (HSBC, 2024). These issues may be a valid driver to create challenges in talent acquisition as employees feel unfair career growth. </w:t>
      </w:r>
      <w:r w:rsidR="00BB1FC2" w:rsidRPr="00BB1FC2">
        <w:t xml:space="preserve">In contrast, </w:t>
      </w:r>
      <w:r w:rsidR="003354CF">
        <w:t xml:space="preserve">a </w:t>
      </w:r>
      <w:r w:rsidR="00BB1FC2" w:rsidRPr="00BB1FC2">
        <w:t xml:space="preserve">flexible </w:t>
      </w:r>
      <w:r w:rsidR="00366E83">
        <w:t xml:space="preserve">state of </w:t>
      </w:r>
      <w:r w:rsidR="003470E7">
        <w:t>policies</w:t>
      </w:r>
      <w:r w:rsidR="00BB1FC2" w:rsidRPr="00BB1FC2">
        <w:t xml:space="preserve"> may </w:t>
      </w:r>
      <w:r w:rsidR="00BB1FC2">
        <w:t>increase</w:t>
      </w:r>
      <w:r w:rsidR="00BB1FC2" w:rsidRPr="00BB1FC2">
        <w:t xml:space="preserve"> retention despite </w:t>
      </w:r>
      <w:r w:rsidR="00BB1FC2">
        <w:t xml:space="preserve">disturbances in </w:t>
      </w:r>
      <w:r w:rsidR="00BB1FC2" w:rsidRPr="00BB1FC2">
        <w:t>technolog</w:t>
      </w:r>
      <w:r w:rsidR="00BB1FC2">
        <w:t>y</w:t>
      </w:r>
      <w:r w:rsidR="00BB1FC2" w:rsidRPr="00BB1FC2">
        <w:t>.</w:t>
      </w:r>
    </w:p>
    <w:p w14:paraId="06CDA43E" w14:textId="77777777" w:rsidR="00A23410" w:rsidRDefault="00305111" w:rsidP="00D95600">
      <w:pPr>
        <w:spacing w:after="240" w:line="360" w:lineRule="auto"/>
        <w:jc w:val="center"/>
      </w:pPr>
      <w:r>
        <w:rPr>
          <w:noProof/>
        </w:rPr>
        <w:drawing>
          <wp:inline distT="114300" distB="114300" distL="114300" distR="114300" wp14:anchorId="0BEB1160" wp14:editId="54063F01">
            <wp:extent cx="5731200" cy="1320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1320800"/>
                    </a:xfrm>
                    <a:prstGeom prst="rect">
                      <a:avLst/>
                    </a:prstGeom>
                    <a:ln/>
                  </pic:spPr>
                </pic:pic>
              </a:graphicData>
            </a:graphic>
          </wp:inline>
        </w:drawing>
      </w:r>
    </w:p>
    <w:p w14:paraId="1A228B8F" w14:textId="77777777" w:rsidR="00A23410" w:rsidRDefault="00305111" w:rsidP="00D95600">
      <w:pPr>
        <w:spacing w:after="240" w:line="360" w:lineRule="auto"/>
        <w:jc w:val="center"/>
        <w:rPr>
          <w:b/>
          <w:bCs/>
        </w:rPr>
      </w:pPr>
      <w:r>
        <w:rPr>
          <w:b/>
          <w:bCs/>
        </w:rPr>
        <w:t xml:space="preserve">Figure 3: Expected net job creation and loss amount as the current role share between 2023 and 2027 </w:t>
      </w:r>
    </w:p>
    <w:p w14:paraId="3A50A6CB" w14:textId="77777777" w:rsidR="00A23410" w:rsidRDefault="00305111" w:rsidP="00D95600">
      <w:pPr>
        <w:spacing w:after="240" w:line="360" w:lineRule="auto"/>
        <w:jc w:val="center"/>
      </w:pPr>
      <w:r>
        <w:t>(Source: Pomeroy, 2023)</w:t>
      </w:r>
    </w:p>
    <w:p w14:paraId="431B9C47" w14:textId="77777777" w:rsidR="00A23410" w:rsidRDefault="00305111" w:rsidP="00D95600">
      <w:pPr>
        <w:spacing w:after="240" w:line="360" w:lineRule="auto"/>
        <w:jc w:val="both"/>
      </w:pPr>
      <w:r>
        <w:t>According to newspaper evidence, HSBC managers instructed their workers in the UK division to cut bonuses and pay less if they spent less than 60% working time in the office (Almeida, 2025). The theoretical principle of the job demand resource model illustrates work-based experience and job attributes into higher categories. Workload, complexity and responsibilities influence job demand while supervisory support, autonomy, development scope and feedback regulate job resources. In line with theoretical evalu</w:t>
      </w:r>
      <w:r>
        <w:t xml:space="preserve">ation, AI adoption reduces manual working hence declining job demand, which is shifted to tech-powered resources. </w:t>
      </w:r>
    </w:p>
    <w:p w14:paraId="1547242A" w14:textId="77777777" w:rsidR="00A23410" w:rsidRDefault="00305111" w:rsidP="003E30BE">
      <w:pPr>
        <w:pStyle w:val="Heading2"/>
      </w:pPr>
      <w:bookmarkStart w:id="7" w:name="_Toc227073890"/>
      <w:r>
        <w:t>2.3 Diversity, Equity and Inclusion (DEI)</w:t>
      </w:r>
      <w:bookmarkEnd w:id="7"/>
    </w:p>
    <w:p w14:paraId="654326F6" w14:textId="77777777" w:rsidR="00A23410" w:rsidRDefault="00305111" w:rsidP="00D95600">
      <w:pPr>
        <w:spacing w:after="240" w:line="360" w:lineRule="auto"/>
        <w:jc w:val="both"/>
      </w:pPr>
      <w:r>
        <w:t>During the stage of organisational change, management groups, specifically HR of HSBC, are failing to address these risks due to compliance with employee regulations and laws, which may pose legal claims or regulatory sanctions (HSBC, 2024). On the other hand, women employees get very limited opportunities to lead senior roles, as only 34.6% of women maintain senior leadership roles in 2024 at HSBC (HSBC, 2024). As organisational consequences, these issues remain challenging for women employees to associate</w:t>
      </w:r>
      <w:r>
        <w:t xml:space="preserve"> with this banking organisation due to a lack of career progression opportunities. It leads to a root cause of employee turnover. </w:t>
      </w:r>
    </w:p>
    <w:p w14:paraId="5C3AA50D" w14:textId="77777777" w:rsidR="00A23410" w:rsidRDefault="00305111" w:rsidP="00D95600">
      <w:pPr>
        <w:spacing w:after="240" w:line="360" w:lineRule="auto"/>
        <w:jc w:val="center"/>
      </w:pPr>
      <w:r>
        <w:rPr>
          <w:noProof/>
        </w:rPr>
        <w:drawing>
          <wp:inline distT="114300" distB="114300" distL="114300" distR="114300" wp14:anchorId="0EABECDF" wp14:editId="72266577">
            <wp:extent cx="2769870" cy="4091283"/>
            <wp:effectExtent l="0" t="0" r="0" b="508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2779313" cy="4105231"/>
                    </a:xfrm>
                    <a:prstGeom prst="rect">
                      <a:avLst/>
                    </a:prstGeom>
                    <a:ln/>
                  </pic:spPr>
                </pic:pic>
              </a:graphicData>
            </a:graphic>
          </wp:inline>
        </w:drawing>
      </w:r>
    </w:p>
    <w:p w14:paraId="50DABCF6" w14:textId="77777777" w:rsidR="00A23410" w:rsidRDefault="00305111" w:rsidP="00D95600">
      <w:pPr>
        <w:spacing w:after="240" w:line="360" w:lineRule="auto"/>
        <w:jc w:val="center"/>
        <w:rPr>
          <w:b/>
          <w:bCs/>
        </w:rPr>
      </w:pPr>
      <w:r>
        <w:rPr>
          <w:b/>
          <w:bCs/>
        </w:rPr>
        <w:t xml:space="preserve">Figure 4: Gender representation at HSBC </w:t>
      </w:r>
    </w:p>
    <w:p w14:paraId="72901004" w14:textId="77777777" w:rsidR="00A23410" w:rsidRDefault="00305111" w:rsidP="00D95600">
      <w:pPr>
        <w:spacing w:after="240" w:line="360" w:lineRule="auto"/>
        <w:jc w:val="center"/>
      </w:pPr>
      <w:r>
        <w:t>(Source: HSBC, 2024)</w:t>
      </w:r>
    </w:p>
    <w:p w14:paraId="1BC363D0" w14:textId="36745041" w:rsidR="00A23410" w:rsidRDefault="00305111" w:rsidP="00D95600">
      <w:pPr>
        <w:spacing w:after="240" w:line="360" w:lineRule="auto"/>
        <w:jc w:val="both"/>
      </w:pPr>
      <w:r>
        <w:t>The above graphical representation clearly reflects that the gender equality gap is still present at HSBC in the UK, as they are highly represented across junior-level roles instead of managing senior management roles. With evidence, the annual report 2024 data also recorded that only 34.6% of women were leading senior leadership roles in 2024, which was 34.1% in 2023 (HSBC, 2024). Social exchange theory highlights interrelationships and behaviours of people at the workplace, which is controlled by the exch</w:t>
      </w:r>
      <w:r>
        <w:t xml:space="preserve">ange process (Mullins, 2017). In equity theory, workers determine whether they are fairly treated by comparing the pay infrastructure to that of others (Chen </w:t>
      </w:r>
      <w:r w:rsidR="00315824" w:rsidRPr="00315824">
        <w:t>et al</w:t>
      </w:r>
      <w:r>
        <w:rPr>
          <w:i/>
          <w:iCs/>
        </w:rPr>
        <w:t xml:space="preserve">., </w:t>
      </w:r>
      <w:r>
        <w:t xml:space="preserve">2023). Hence, it defines a landscape to promote fairness and an ethical way of operational practices to bring motivation, which is missing in the hourly paying infrastructure at HSBC. </w:t>
      </w:r>
    </w:p>
    <w:p w14:paraId="31D8EDDE" w14:textId="77777777" w:rsidR="00A23410" w:rsidRDefault="00305111" w:rsidP="00D95600">
      <w:pPr>
        <w:spacing w:after="240" w:line="360" w:lineRule="auto"/>
        <w:jc w:val="center"/>
      </w:pPr>
      <w:r>
        <w:rPr>
          <w:noProof/>
        </w:rPr>
        <w:drawing>
          <wp:inline distT="114300" distB="114300" distL="114300" distR="114300" wp14:anchorId="5ACEB099" wp14:editId="45E0B233">
            <wp:extent cx="1901165" cy="2491740"/>
            <wp:effectExtent l="0" t="0" r="4445" b="381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1908973" cy="2501973"/>
                    </a:xfrm>
                    <a:prstGeom prst="rect">
                      <a:avLst/>
                    </a:prstGeom>
                    <a:ln/>
                  </pic:spPr>
                </pic:pic>
              </a:graphicData>
            </a:graphic>
          </wp:inline>
        </w:drawing>
      </w:r>
    </w:p>
    <w:p w14:paraId="6A2A262D" w14:textId="77777777" w:rsidR="00A23410" w:rsidRDefault="00305111" w:rsidP="00D95600">
      <w:pPr>
        <w:spacing w:after="240" w:line="360" w:lineRule="auto"/>
        <w:jc w:val="center"/>
        <w:rPr>
          <w:b/>
          <w:bCs/>
        </w:rPr>
      </w:pPr>
      <w:r>
        <w:rPr>
          <w:b/>
          <w:bCs/>
        </w:rPr>
        <w:t xml:space="preserve">Figure 5: Unequal hourly pay at HSBC in the UK </w:t>
      </w:r>
    </w:p>
    <w:p w14:paraId="6E0785F4" w14:textId="77777777" w:rsidR="00A23410" w:rsidRDefault="00305111" w:rsidP="00D95600">
      <w:pPr>
        <w:spacing w:after="240" w:line="360" w:lineRule="auto"/>
        <w:jc w:val="center"/>
      </w:pPr>
      <w:r>
        <w:t xml:space="preserve">(Source: </w:t>
      </w:r>
      <w:proofErr w:type="spellStart"/>
      <w:r>
        <w:t>Gov</w:t>
      </w:r>
      <w:proofErr w:type="spellEnd"/>
      <w:r>
        <w:t>, 2025)</w:t>
      </w:r>
    </w:p>
    <w:p w14:paraId="31AADA47" w14:textId="26011416" w:rsidR="00A23410" w:rsidRDefault="00305111" w:rsidP="00D95600">
      <w:pPr>
        <w:spacing w:after="240" w:line="360" w:lineRule="auto"/>
        <w:jc w:val="both"/>
      </w:pPr>
      <w:r>
        <w:t xml:space="preserve">A government source of evidence highlighted the gender pay gap at HSBC. Women employees only earn 55p while men earn £1 as hourly pay, and </w:t>
      </w:r>
      <w:r w:rsidR="007D241B">
        <w:t xml:space="preserve">women's </w:t>
      </w:r>
      <w:r>
        <w:t>bonus pay of women 70.7% lesser compared to men (</w:t>
      </w:r>
      <w:proofErr w:type="spellStart"/>
      <w:r>
        <w:t>Gov</w:t>
      </w:r>
      <w:proofErr w:type="spellEnd"/>
      <w:r>
        <w:t xml:space="preserve">, 2025). Another industrial report also highlights HSBC as a key British organisation with massive gender pay gaps (FN, 2024). A critical evaluation of root causes explored that DEI issues at HSBC do not only arise from unequal pay infrastructure but also from leadership inequality and occupational segregation. </w:t>
      </w:r>
    </w:p>
    <w:p w14:paraId="02849A5B" w14:textId="15CFF42F" w:rsidR="00A23410" w:rsidRDefault="00305111" w:rsidP="00804FF8">
      <w:pPr>
        <w:pStyle w:val="Heading1"/>
      </w:pPr>
      <w:bookmarkStart w:id="8" w:name="_Toc227073891"/>
      <w:r>
        <w:t xml:space="preserve">3.0 Evaluation of </w:t>
      </w:r>
      <w:r w:rsidR="001F4118">
        <w:t xml:space="preserve">Different Contemporary </w:t>
      </w:r>
      <w:r>
        <w:t xml:space="preserve">HR </w:t>
      </w:r>
      <w:r w:rsidR="001F4118">
        <w:t xml:space="preserve">Practices </w:t>
      </w:r>
      <w:r>
        <w:t xml:space="preserve">to </w:t>
      </w:r>
      <w:r w:rsidR="001F4118">
        <w:t>Address Issues</w:t>
      </w:r>
      <w:bookmarkEnd w:id="8"/>
    </w:p>
    <w:p w14:paraId="34225041" w14:textId="1D649EAE" w:rsidR="00A23410" w:rsidRDefault="00305111" w:rsidP="003E30BE">
      <w:pPr>
        <w:pStyle w:val="Heading2"/>
      </w:pPr>
      <w:bookmarkStart w:id="9" w:name="_Toc227073892"/>
      <w:r>
        <w:t xml:space="preserve">3.1 Agile </w:t>
      </w:r>
      <w:r w:rsidR="001F4118">
        <w:t xml:space="preserve">Workforce </w:t>
      </w:r>
      <w:r>
        <w:t xml:space="preserve">and </w:t>
      </w:r>
      <w:r w:rsidR="001F4118">
        <w:t>Digital Up-Skillin</w:t>
      </w:r>
      <w:r>
        <w:t xml:space="preserve">g: Technological </w:t>
      </w:r>
      <w:r w:rsidR="001F4118">
        <w:t>ADVANCEMENT</w:t>
      </w:r>
      <w:bookmarkEnd w:id="9"/>
      <w:r w:rsidR="001F4118">
        <w:t xml:space="preserve"> </w:t>
      </w:r>
    </w:p>
    <w:p w14:paraId="236D9420" w14:textId="4CBD9360" w:rsidR="00A23410" w:rsidRDefault="00305111" w:rsidP="00D95600">
      <w:pPr>
        <w:spacing w:after="240" w:line="360" w:lineRule="auto"/>
        <w:jc w:val="both"/>
      </w:pPr>
      <w:r>
        <w:t>Continuous learning and development are key tactics to address skill gaps and promote digital literacy. Within the next 3 to 5 years, AI adoption at HSBC sets an ambition to reshape its existing operational model, which will negatively impact people’s jobs (MLQ, 2026). It is unfolded through non-replacement and attrition by supporting profitable outcomes, despite challenges across revenue growth. While continuous learning and development are a key source to avoid redundancy, training without leadership attr</w:t>
      </w:r>
      <w:r>
        <w:t xml:space="preserve">ibution failed to reduce the risk of resistance. </w:t>
      </w:r>
      <w:r w:rsidR="00845724" w:rsidRPr="00845724">
        <w:t xml:space="preserve">However, training </w:t>
      </w:r>
      <w:r w:rsidR="00590A25">
        <w:t>alone</w:t>
      </w:r>
      <w:r w:rsidR="00845724" w:rsidRPr="00845724">
        <w:t xml:space="preserve"> is </w:t>
      </w:r>
      <w:r w:rsidR="00590A25">
        <w:t>not sufficient</w:t>
      </w:r>
      <w:r w:rsidR="00845724" w:rsidRPr="00845724">
        <w:t xml:space="preserve"> without </w:t>
      </w:r>
      <w:r w:rsidR="005E3685">
        <w:t xml:space="preserve">the </w:t>
      </w:r>
      <w:r w:rsidR="00845724" w:rsidRPr="00845724">
        <w:t xml:space="preserve">strong </w:t>
      </w:r>
      <w:r w:rsidR="00845724">
        <w:t xml:space="preserve">support of </w:t>
      </w:r>
      <w:r w:rsidR="00845724" w:rsidRPr="00845724">
        <w:t xml:space="preserve">leadership and </w:t>
      </w:r>
      <w:r w:rsidR="005E3685">
        <w:t xml:space="preserve">a </w:t>
      </w:r>
      <w:r w:rsidR="00845724">
        <w:t xml:space="preserve">change in </w:t>
      </w:r>
      <w:r w:rsidR="00845724" w:rsidRPr="00845724">
        <w:t>cultur</w:t>
      </w:r>
      <w:r w:rsidR="00845724">
        <w:t>e</w:t>
      </w:r>
      <w:r w:rsidR="00845724" w:rsidRPr="00845724">
        <w:t>.</w:t>
      </w:r>
      <w:r w:rsidR="00845724">
        <w:t xml:space="preserve"> </w:t>
      </w:r>
      <w:r>
        <w:t xml:space="preserve">From the above insights with a theoretical dimension, it can be understood that digital transformation is not applicable to ensure growth and success if cultural transformation is not entirely balanced. </w:t>
      </w:r>
    </w:p>
    <w:p w14:paraId="3DD8572F" w14:textId="7958F67B" w:rsidR="00A23410" w:rsidRDefault="00305111" w:rsidP="003E30BE">
      <w:pPr>
        <w:pStyle w:val="Heading2"/>
      </w:pPr>
      <w:bookmarkStart w:id="10" w:name="_Toc227073893"/>
      <w:r>
        <w:t xml:space="preserve">3.2 Branding of </w:t>
      </w:r>
      <w:r w:rsidR="0066339C">
        <w:t xml:space="preserve">Employers </w:t>
      </w:r>
      <w:r>
        <w:t xml:space="preserve">with </w:t>
      </w:r>
      <w:r w:rsidR="0066339C">
        <w:t>Flexible Working Infrastructure</w:t>
      </w:r>
      <w:r>
        <w:t xml:space="preserve">: Talent Acquisition and </w:t>
      </w:r>
      <w:r w:rsidR="0066339C">
        <w:t>Retention</w:t>
      </w:r>
      <w:bookmarkEnd w:id="10"/>
    </w:p>
    <w:p w14:paraId="2F956B76" w14:textId="77777777" w:rsidR="00A23410" w:rsidRDefault="00305111" w:rsidP="00D95600">
      <w:pPr>
        <w:spacing w:after="240" w:line="360" w:lineRule="auto"/>
        <w:jc w:val="both"/>
      </w:pPr>
      <w:r>
        <w:t>Employer branding is a key pathway to implementing smart HR practices for retaining talent.  HSBC is already a pioneer with AI-powered operations and business execution. Hence, this technology can also be utilised to retain talent with a smart diagnosis process for skill gaps and talent shortages. This organisation is already taking active HR practices with the adoption of strategic policies to make a strong linkage between fair career development approaches and employee retention policy. Based on the accou</w:t>
      </w:r>
      <w:r>
        <w:t xml:space="preserve">nt report 2024, HBCS </w:t>
      </w:r>
      <w:proofErr w:type="spellStart"/>
      <w:r>
        <w:t>relaunched</w:t>
      </w:r>
      <w:proofErr w:type="spellEnd"/>
      <w:r>
        <w:t xml:space="preserve">, accelerating women’s leadership program through its association with Cranfield Business School (HSBC, 2024). Maslow's hierarchy of needs helps to discover the necessary human nature, and it is applicable across different disciplines. Maslow’s hierarchy of needs framed key items which people are likely to consider as essential elements to maintain a standard well-being (Dar and </w:t>
      </w:r>
      <w:proofErr w:type="spellStart"/>
      <w:r>
        <w:t>Sakthivel</w:t>
      </w:r>
      <w:proofErr w:type="spellEnd"/>
      <w:r>
        <w:t>, 2022). Considering the safety and growth needs of staff, HRM practices at HSBC need to b</w:t>
      </w:r>
      <w:r>
        <w:t xml:space="preserve">e revised with internal resources, motivational outcomes by compensating fairly, applying metrics and changing promotional infrastructure. To impoundment bias free promotion and career growth scope, HRM at HSBC should appreciate performance over the network. </w:t>
      </w:r>
    </w:p>
    <w:p w14:paraId="124848FD" w14:textId="3F45EF6D" w:rsidR="00A23410" w:rsidRDefault="00305111" w:rsidP="003E30BE">
      <w:pPr>
        <w:pStyle w:val="Heading2"/>
      </w:pPr>
      <w:bookmarkStart w:id="11" w:name="_Toc227073894"/>
      <w:r>
        <w:t xml:space="preserve">3.3 Fair </w:t>
      </w:r>
      <w:r w:rsidR="009E665A">
        <w:t xml:space="preserve">Leadership </w:t>
      </w:r>
      <w:r>
        <w:t xml:space="preserve">and </w:t>
      </w:r>
      <w:r w:rsidR="009E665A">
        <w:t>Paying Infrastructure</w:t>
      </w:r>
      <w:r>
        <w:t>: DEI</w:t>
      </w:r>
      <w:bookmarkEnd w:id="11"/>
    </w:p>
    <w:p w14:paraId="7A24D172" w14:textId="77777777" w:rsidR="00A23410" w:rsidRDefault="00305111" w:rsidP="00D95600">
      <w:pPr>
        <w:spacing w:after="240" w:line="360" w:lineRule="auto"/>
        <w:jc w:val="both"/>
      </w:pPr>
      <w:r>
        <w:t xml:space="preserve">HSBC publicly reveals pay gap-related information, as well as reviewing annual pay equity. Wilkinson, Redman and </w:t>
      </w:r>
      <w:proofErr w:type="spellStart"/>
      <w:r>
        <w:t>Dundon</w:t>
      </w:r>
      <w:proofErr w:type="spellEnd"/>
      <w:r>
        <w:t xml:space="preserve"> (2016) highlighted recent practices and ideas with critical evaluations of functions of contemporary HR in recent years. From the theoretical insights of Taylor’s Scientific Management Theory, financial compensation improves job performance and brings motivation among workers. </w:t>
      </w:r>
      <w:proofErr w:type="spellStart"/>
      <w:r>
        <w:t>Leatherbarrow</w:t>
      </w:r>
      <w:proofErr w:type="spellEnd"/>
      <w:r>
        <w:t xml:space="preserve"> Fletcher (2014) provides active solutions about strategic principles of HR in practice. From the above insight, organisational HR of HSBC can implement leadership skills and engagement training, which is further a</w:t>
      </w:r>
      <w:r>
        <w:t>pplicable to strengthen accountability and increase ethically centric operational practices without bias. For example, fixed pay for employees rose in 2025, which is typically resolved as per principles to address wage inflation in operating markets against the local living wage (HSBC, 2024). Contemporary HR practice solely addresses retention issues, as in 2025, HSBC were certified with the Fair Wage Network for being recognised as a global living wage employer (HSBC, 2024). Theoretical insights of the Her</w:t>
      </w:r>
      <w:r>
        <w:t xml:space="preserve">zberg two-factor theory help explain that Hygiene factors are still missing from the DEI policy at HSBC due to a lack of promotions and a gender pay gap. Although fair wage certification of this company is reflected by the hygiene factor, career growth and recognition need to be addressed to promote women in senior roles. </w:t>
      </w:r>
    </w:p>
    <w:p w14:paraId="718403D0" w14:textId="3BD443C0" w:rsidR="00A23410" w:rsidRDefault="00305111" w:rsidP="00804FF8">
      <w:pPr>
        <w:pStyle w:val="Heading1"/>
      </w:pPr>
      <w:bookmarkStart w:id="12" w:name="_Toc227073895"/>
      <w:r>
        <w:t xml:space="preserve">4.0 Role of </w:t>
      </w:r>
      <w:r w:rsidR="009E665A">
        <w:t xml:space="preserve">Departmental Managers </w:t>
      </w:r>
      <w:r>
        <w:t xml:space="preserve">to </w:t>
      </w:r>
      <w:r w:rsidR="009E665A">
        <w:t>Implement Contemporary Practices</w:t>
      </w:r>
      <w:bookmarkEnd w:id="12"/>
      <w:r w:rsidR="009E665A">
        <w:t xml:space="preserve"> </w:t>
      </w:r>
    </w:p>
    <w:p w14:paraId="70933713" w14:textId="05A51769" w:rsidR="00A23410" w:rsidRDefault="00305111" w:rsidP="00D95600">
      <w:pPr>
        <w:spacing w:after="240" w:line="360" w:lineRule="auto"/>
        <w:jc w:val="both"/>
      </w:pPr>
      <w:r>
        <w:t>The theoretical contribution of Tuckman’s model helps to recognise that, in the storming stage, departmental managers must be aware of a certain level of emergence due to conflict, uncertainty, and resistance while bringing AI-powered transformations. However, in practice, this role influenced norming with transparent communication to offer a supportive environment to individual staff at HSBC. Besides that, the manager can adopt MBO and the performance management cycle-related principles to develop SMART ob</w:t>
      </w:r>
      <w:r>
        <w:t xml:space="preserve">jectives and track further work through 360-degree feedback. </w:t>
      </w:r>
      <w:r w:rsidR="00EC70B4" w:rsidRPr="00EC70B4">
        <w:t xml:space="preserve">This suggests </w:t>
      </w:r>
      <w:r w:rsidR="00EC70B4">
        <w:t xml:space="preserve">that the efficacy of </w:t>
      </w:r>
      <w:r w:rsidR="00EC70B4" w:rsidRPr="00EC70B4">
        <w:t>manager</w:t>
      </w:r>
      <w:r w:rsidR="00EC70B4">
        <w:t>s relies</w:t>
      </w:r>
      <w:r w:rsidR="00EC70B4" w:rsidRPr="00EC70B4">
        <w:t xml:space="preserve"> on </w:t>
      </w:r>
      <w:r w:rsidR="00EC70B4">
        <w:t>how well they balance</w:t>
      </w:r>
      <w:r w:rsidR="00EC70B4" w:rsidRPr="00EC70B4">
        <w:t xml:space="preserve"> strategic goals with </w:t>
      </w:r>
      <w:r w:rsidR="00EC70B4">
        <w:t>the well-being of employees</w:t>
      </w:r>
      <w:r w:rsidR="00EC70B4" w:rsidRPr="00EC70B4">
        <w:t>.</w:t>
      </w:r>
    </w:p>
    <w:tbl>
      <w:tblPr>
        <w:tblStyle w:val="a0"/>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3402"/>
        <w:gridCol w:w="3369"/>
      </w:tblGrid>
      <w:tr w:rsidR="00A23410" w14:paraId="4A7A293E" w14:textId="77777777" w:rsidTr="00D95600">
        <w:trPr>
          <w:jc w:val="center"/>
        </w:trPr>
        <w:tc>
          <w:tcPr>
            <w:tcW w:w="2258" w:type="dxa"/>
            <w:tcMar>
              <w:top w:w="100" w:type="dxa"/>
              <w:left w:w="100" w:type="dxa"/>
              <w:bottom w:w="100" w:type="dxa"/>
              <w:right w:w="100" w:type="dxa"/>
            </w:tcMar>
          </w:tcPr>
          <w:p w14:paraId="5AB4BF20" w14:textId="36077580" w:rsidR="00A23410" w:rsidRDefault="00305111" w:rsidP="00D95600">
            <w:pPr>
              <w:widowControl w:val="0"/>
              <w:pBdr>
                <w:top w:val="nil"/>
                <w:left w:val="nil"/>
                <w:bottom w:val="nil"/>
                <w:right w:val="nil"/>
                <w:between w:val="nil"/>
              </w:pBdr>
              <w:spacing w:line="360" w:lineRule="auto"/>
              <w:jc w:val="center"/>
              <w:rPr>
                <w:b/>
                <w:bCs/>
              </w:rPr>
            </w:pPr>
            <w:r>
              <w:rPr>
                <w:b/>
                <w:bCs/>
              </w:rPr>
              <w:t>Key areas for improvement</w:t>
            </w:r>
          </w:p>
        </w:tc>
        <w:tc>
          <w:tcPr>
            <w:tcW w:w="3402" w:type="dxa"/>
            <w:tcMar>
              <w:top w:w="100" w:type="dxa"/>
              <w:left w:w="100" w:type="dxa"/>
              <w:bottom w:w="100" w:type="dxa"/>
              <w:right w:w="100" w:type="dxa"/>
            </w:tcMar>
          </w:tcPr>
          <w:p w14:paraId="631505C4" w14:textId="57336E83" w:rsidR="00A23410" w:rsidRDefault="00305111" w:rsidP="00D95600">
            <w:pPr>
              <w:widowControl w:val="0"/>
              <w:pBdr>
                <w:top w:val="nil"/>
                <w:left w:val="nil"/>
                <w:bottom w:val="nil"/>
                <w:right w:val="nil"/>
                <w:between w:val="nil"/>
              </w:pBdr>
              <w:spacing w:line="360" w:lineRule="auto"/>
              <w:jc w:val="center"/>
              <w:rPr>
                <w:b/>
                <w:bCs/>
              </w:rPr>
            </w:pPr>
            <w:r>
              <w:rPr>
                <w:b/>
                <w:bCs/>
              </w:rPr>
              <w:t>Role of departmental managers</w:t>
            </w:r>
          </w:p>
        </w:tc>
        <w:tc>
          <w:tcPr>
            <w:tcW w:w="3369" w:type="dxa"/>
            <w:tcMar>
              <w:top w:w="100" w:type="dxa"/>
              <w:left w:w="100" w:type="dxa"/>
              <w:bottom w:w="100" w:type="dxa"/>
              <w:right w:w="100" w:type="dxa"/>
            </w:tcMar>
          </w:tcPr>
          <w:p w14:paraId="388B138F" w14:textId="6B238E93" w:rsidR="00A23410" w:rsidRDefault="00305111" w:rsidP="00D95600">
            <w:pPr>
              <w:widowControl w:val="0"/>
              <w:pBdr>
                <w:top w:val="nil"/>
                <w:left w:val="nil"/>
                <w:bottom w:val="nil"/>
                <w:right w:val="nil"/>
                <w:between w:val="nil"/>
              </w:pBdr>
              <w:spacing w:line="360" w:lineRule="auto"/>
              <w:jc w:val="center"/>
              <w:rPr>
                <w:b/>
                <w:bCs/>
              </w:rPr>
            </w:pPr>
            <w:r>
              <w:rPr>
                <w:b/>
                <w:bCs/>
              </w:rPr>
              <w:t>Reason to implement</w:t>
            </w:r>
          </w:p>
        </w:tc>
      </w:tr>
      <w:tr w:rsidR="00A23410" w14:paraId="5AA98674" w14:textId="77777777" w:rsidTr="00D95600">
        <w:trPr>
          <w:jc w:val="center"/>
        </w:trPr>
        <w:tc>
          <w:tcPr>
            <w:tcW w:w="2258" w:type="dxa"/>
            <w:tcMar>
              <w:top w:w="100" w:type="dxa"/>
              <w:left w:w="100" w:type="dxa"/>
              <w:bottom w:w="100" w:type="dxa"/>
              <w:right w:w="100" w:type="dxa"/>
            </w:tcMar>
          </w:tcPr>
          <w:p w14:paraId="4B8D16A0" w14:textId="4E218853" w:rsidR="00A23410" w:rsidRDefault="00305111" w:rsidP="00D95600">
            <w:pPr>
              <w:widowControl w:val="0"/>
              <w:pBdr>
                <w:top w:val="nil"/>
                <w:left w:val="nil"/>
                <w:bottom w:val="nil"/>
                <w:right w:val="nil"/>
                <w:between w:val="nil"/>
              </w:pBdr>
              <w:spacing w:after="240" w:line="360" w:lineRule="auto"/>
              <w:jc w:val="center"/>
              <w:rPr>
                <w:b/>
                <w:bCs/>
                <w:i/>
                <w:iCs/>
              </w:rPr>
            </w:pPr>
            <w:r>
              <w:rPr>
                <w:b/>
                <w:bCs/>
                <w:i/>
                <w:iCs/>
              </w:rPr>
              <w:t>Retain talent</w:t>
            </w:r>
          </w:p>
        </w:tc>
        <w:tc>
          <w:tcPr>
            <w:tcW w:w="3402" w:type="dxa"/>
            <w:tcMar>
              <w:top w:w="100" w:type="dxa"/>
              <w:left w:w="100" w:type="dxa"/>
              <w:bottom w:w="100" w:type="dxa"/>
              <w:right w:w="100" w:type="dxa"/>
            </w:tcMar>
          </w:tcPr>
          <w:p w14:paraId="7EA9CF90" w14:textId="10177D06" w:rsidR="00A23410" w:rsidRDefault="00305111" w:rsidP="00D95600">
            <w:pPr>
              <w:widowControl w:val="0"/>
              <w:pBdr>
                <w:top w:val="nil"/>
                <w:left w:val="nil"/>
                <w:bottom w:val="nil"/>
                <w:right w:val="nil"/>
                <w:between w:val="nil"/>
              </w:pBdr>
              <w:spacing w:after="240" w:line="360" w:lineRule="auto"/>
              <w:jc w:val="both"/>
            </w:pPr>
            <w:r>
              <w:t>Encourage existing staff for AI adoption, conduct training and form clear communication to bring transparency</w:t>
            </w:r>
            <w:r w:rsidR="00BF17A7">
              <w:t>.</w:t>
            </w:r>
            <w:r>
              <w:t xml:space="preserve"> </w:t>
            </w:r>
          </w:p>
        </w:tc>
        <w:tc>
          <w:tcPr>
            <w:tcW w:w="3369" w:type="dxa"/>
            <w:tcMar>
              <w:top w:w="100" w:type="dxa"/>
              <w:left w:w="100" w:type="dxa"/>
              <w:bottom w:w="100" w:type="dxa"/>
              <w:right w:w="100" w:type="dxa"/>
            </w:tcMar>
          </w:tcPr>
          <w:p w14:paraId="538CC68A" w14:textId="0B5CA815" w:rsidR="00A23410" w:rsidRDefault="00305111" w:rsidP="00D95600">
            <w:pPr>
              <w:widowControl w:val="0"/>
              <w:pBdr>
                <w:top w:val="nil"/>
                <w:left w:val="nil"/>
                <w:bottom w:val="nil"/>
                <w:right w:val="nil"/>
                <w:between w:val="nil"/>
              </w:pBdr>
              <w:spacing w:after="240" w:line="360" w:lineRule="auto"/>
              <w:jc w:val="both"/>
            </w:pPr>
            <w:r>
              <w:t>Keep staff in line with up-to-date market trends by avoiding the risk of resistance</w:t>
            </w:r>
            <w:r w:rsidR="00BF17A7">
              <w:t>.</w:t>
            </w:r>
            <w:r>
              <w:t xml:space="preserve"> </w:t>
            </w:r>
          </w:p>
        </w:tc>
      </w:tr>
      <w:tr w:rsidR="00A23410" w14:paraId="18FDE32A" w14:textId="77777777" w:rsidTr="00D95600">
        <w:trPr>
          <w:jc w:val="center"/>
        </w:trPr>
        <w:tc>
          <w:tcPr>
            <w:tcW w:w="2258" w:type="dxa"/>
            <w:tcMar>
              <w:top w:w="100" w:type="dxa"/>
              <w:left w:w="100" w:type="dxa"/>
              <w:bottom w:w="100" w:type="dxa"/>
              <w:right w:w="100" w:type="dxa"/>
            </w:tcMar>
          </w:tcPr>
          <w:p w14:paraId="349806AE" w14:textId="7777B9C8" w:rsidR="00A23410" w:rsidRDefault="00305111" w:rsidP="00D95600">
            <w:pPr>
              <w:widowControl w:val="0"/>
              <w:pBdr>
                <w:top w:val="nil"/>
                <w:left w:val="nil"/>
                <w:bottom w:val="nil"/>
                <w:right w:val="nil"/>
                <w:between w:val="nil"/>
              </w:pBdr>
              <w:spacing w:after="240" w:line="360" w:lineRule="auto"/>
              <w:jc w:val="center"/>
              <w:rPr>
                <w:b/>
                <w:bCs/>
                <w:i/>
                <w:iCs/>
              </w:rPr>
            </w:pPr>
            <w:r>
              <w:rPr>
                <w:b/>
                <w:bCs/>
                <w:i/>
                <w:iCs/>
              </w:rPr>
              <w:t>Tech-driven transformation</w:t>
            </w:r>
          </w:p>
        </w:tc>
        <w:tc>
          <w:tcPr>
            <w:tcW w:w="3402" w:type="dxa"/>
            <w:tcMar>
              <w:top w:w="100" w:type="dxa"/>
              <w:left w:w="100" w:type="dxa"/>
              <w:bottom w:w="100" w:type="dxa"/>
              <w:right w:w="100" w:type="dxa"/>
            </w:tcMar>
          </w:tcPr>
          <w:p w14:paraId="47450253" w14:textId="7D9B9744" w:rsidR="00A23410" w:rsidRDefault="00305111" w:rsidP="00D95600">
            <w:pPr>
              <w:widowControl w:val="0"/>
              <w:pBdr>
                <w:top w:val="nil"/>
                <w:left w:val="nil"/>
                <w:bottom w:val="nil"/>
                <w:right w:val="nil"/>
                <w:between w:val="nil"/>
              </w:pBdr>
              <w:spacing w:after="240" w:line="360" w:lineRule="auto"/>
              <w:jc w:val="both"/>
            </w:pPr>
            <w:r>
              <w:t>Employee recognition, career growth programs, and deliver employee centric feedback</w:t>
            </w:r>
            <w:r w:rsidR="00804FF8">
              <w:t>.</w:t>
            </w:r>
          </w:p>
        </w:tc>
        <w:tc>
          <w:tcPr>
            <w:tcW w:w="3369" w:type="dxa"/>
            <w:tcMar>
              <w:top w:w="100" w:type="dxa"/>
              <w:left w:w="100" w:type="dxa"/>
              <w:bottom w:w="100" w:type="dxa"/>
              <w:right w:w="100" w:type="dxa"/>
            </w:tcMar>
          </w:tcPr>
          <w:p w14:paraId="3D76FE13" w14:textId="5507029D" w:rsidR="00A23410" w:rsidRDefault="00305111" w:rsidP="00D95600">
            <w:pPr>
              <w:widowControl w:val="0"/>
              <w:pBdr>
                <w:top w:val="nil"/>
                <w:left w:val="nil"/>
                <w:bottom w:val="nil"/>
                <w:right w:val="nil"/>
                <w:between w:val="nil"/>
              </w:pBdr>
              <w:spacing w:after="240" w:line="360" w:lineRule="auto"/>
              <w:jc w:val="both"/>
            </w:pPr>
            <w:r>
              <w:t>Minimise turnover and push workers for motivation</w:t>
            </w:r>
            <w:r w:rsidR="00804FF8">
              <w:t>.</w:t>
            </w:r>
            <w:r>
              <w:t xml:space="preserve"> </w:t>
            </w:r>
          </w:p>
        </w:tc>
      </w:tr>
      <w:tr w:rsidR="00A23410" w14:paraId="088E898C" w14:textId="77777777" w:rsidTr="00D95600">
        <w:trPr>
          <w:jc w:val="center"/>
        </w:trPr>
        <w:tc>
          <w:tcPr>
            <w:tcW w:w="2258" w:type="dxa"/>
            <w:tcMar>
              <w:top w:w="100" w:type="dxa"/>
              <w:left w:w="100" w:type="dxa"/>
              <w:bottom w:w="100" w:type="dxa"/>
              <w:right w:w="100" w:type="dxa"/>
            </w:tcMar>
          </w:tcPr>
          <w:p w14:paraId="5F0087F1" w14:textId="471F217F" w:rsidR="00A23410" w:rsidRDefault="00305111" w:rsidP="00D95600">
            <w:pPr>
              <w:widowControl w:val="0"/>
              <w:pBdr>
                <w:top w:val="nil"/>
                <w:left w:val="nil"/>
                <w:bottom w:val="nil"/>
                <w:right w:val="nil"/>
                <w:between w:val="nil"/>
              </w:pBdr>
              <w:spacing w:after="240" w:line="360" w:lineRule="auto"/>
              <w:jc w:val="center"/>
              <w:rPr>
                <w:b/>
                <w:bCs/>
                <w:i/>
                <w:iCs/>
              </w:rPr>
            </w:pPr>
            <w:r>
              <w:rPr>
                <w:b/>
                <w:bCs/>
                <w:i/>
                <w:iCs/>
              </w:rPr>
              <w:t>Adoption of fair DEI policy</w:t>
            </w:r>
          </w:p>
        </w:tc>
        <w:tc>
          <w:tcPr>
            <w:tcW w:w="3402" w:type="dxa"/>
            <w:tcMar>
              <w:top w:w="100" w:type="dxa"/>
              <w:left w:w="100" w:type="dxa"/>
              <w:bottom w:w="100" w:type="dxa"/>
              <w:right w:w="100" w:type="dxa"/>
            </w:tcMar>
          </w:tcPr>
          <w:p w14:paraId="326BFF8B" w14:textId="08FC2511" w:rsidR="00A23410" w:rsidRDefault="00305111" w:rsidP="00D95600">
            <w:pPr>
              <w:widowControl w:val="0"/>
              <w:pBdr>
                <w:top w:val="nil"/>
                <w:left w:val="nil"/>
                <w:bottom w:val="nil"/>
                <w:right w:val="nil"/>
                <w:between w:val="nil"/>
              </w:pBdr>
              <w:spacing w:after="240" w:line="360" w:lineRule="auto"/>
              <w:jc w:val="both"/>
            </w:pPr>
            <w:r>
              <w:t>Introduce inclusion and a fair promotional policy design to avoid bias</w:t>
            </w:r>
            <w:r w:rsidR="00804FF8">
              <w:t>.</w:t>
            </w:r>
            <w:r>
              <w:t xml:space="preserve"> </w:t>
            </w:r>
          </w:p>
        </w:tc>
        <w:tc>
          <w:tcPr>
            <w:tcW w:w="3369" w:type="dxa"/>
            <w:tcMar>
              <w:top w:w="100" w:type="dxa"/>
              <w:left w:w="100" w:type="dxa"/>
              <w:bottom w:w="100" w:type="dxa"/>
              <w:right w:w="100" w:type="dxa"/>
            </w:tcMar>
          </w:tcPr>
          <w:p w14:paraId="74374CE9" w14:textId="4C26C375" w:rsidR="00A23410" w:rsidRDefault="00305111" w:rsidP="00D95600">
            <w:pPr>
              <w:widowControl w:val="0"/>
              <w:pBdr>
                <w:top w:val="nil"/>
                <w:left w:val="nil"/>
                <w:bottom w:val="nil"/>
                <w:right w:val="nil"/>
                <w:between w:val="nil"/>
              </w:pBdr>
              <w:spacing w:after="240" w:line="360" w:lineRule="auto"/>
              <w:jc w:val="both"/>
            </w:pPr>
            <w:r>
              <w:t>Making a gap in the employees' pay gap between industry wages</w:t>
            </w:r>
            <w:r w:rsidR="00804FF8">
              <w:t>.</w:t>
            </w:r>
            <w:r>
              <w:t xml:space="preserve"> </w:t>
            </w:r>
          </w:p>
        </w:tc>
      </w:tr>
      <w:tr w:rsidR="00A23410" w14:paraId="067C4E59" w14:textId="77777777" w:rsidTr="00D95600">
        <w:trPr>
          <w:jc w:val="center"/>
        </w:trPr>
        <w:tc>
          <w:tcPr>
            <w:tcW w:w="2258" w:type="dxa"/>
            <w:tcMar>
              <w:top w:w="100" w:type="dxa"/>
              <w:left w:w="100" w:type="dxa"/>
              <w:bottom w:w="100" w:type="dxa"/>
              <w:right w:w="100" w:type="dxa"/>
            </w:tcMar>
          </w:tcPr>
          <w:p w14:paraId="5F3F7FEC" w14:textId="1054D816" w:rsidR="00A23410" w:rsidRDefault="00305111" w:rsidP="00D95600">
            <w:pPr>
              <w:widowControl w:val="0"/>
              <w:pBdr>
                <w:top w:val="nil"/>
                <w:left w:val="nil"/>
                <w:bottom w:val="nil"/>
                <w:right w:val="nil"/>
                <w:between w:val="nil"/>
              </w:pBdr>
              <w:spacing w:after="240" w:line="360" w:lineRule="auto"/>
              <w:jc w:val="center"/>
              <w:rPr>
                <w:b/>
                <w:bCs/>
                <w:i/>
                <w:iCs/>
              </w:rPr>
            </w:pPr>
            <w:r>
              <w:rPr>
                <w:b/>
                <w:bCs/>
                <w:i/>
                <w:iCs/>
              </w:rPr>
              <w:t>Track and monitor performance</w:t>
            </w:r>
          </w:p>
        </w:tc>
        <w:tc>
          <w:tcPr>
            <w:tcW w:w="3402" w:type="dxa"/>
            <w:tcMar>
              <w:top w:w="100" w:type="dxa"/>
              <w:left w:w="100" w:type="dxa"/>
              <w:bottom w:w="100" w:type="dxa"/>
              <w:right w:w="100" w:type="dxa"/>
            </w:tcMar>
          </w:tcPr>
          <w:p w14:paraId="221B6630" w14:textId="062547E2" w:rsidR="00A23410" w:rsidRDefault="00305111" w:rsidP="00D95600">
            <w:pPr>
              <w:widowControl w:val="0"/>
              <w:pBdr>
                <w:top w:val="nil"/>
                <w:left w:val="nil"/>
                <w:bottom w:val="nil"/>
                <w:right w:val="nil"/>
                <w:between w:val="nil"/>
              </w:pBdr>
              <w:spacing w:after="240" w:line="360" w:lineRule="auto"/>
              <w:jc w:val="both"/>
            </w:pPr>
            <w:r>
              <w:t>Track progress with the development of KPI tools</w:t>
            </w:r>
            <w:r w:rsidR="00804FF8">
              <w:t>.</w:t>
            </w:r>
            <w:r>
              <w:t xml:space="preserve"> </w:t>
            </w:r>
          </w:p>
        </w:tc>
        <w:tc>
          <w:tcPr>
            <w:tcW w:w="3369" w:type="dxa"/>
            <w:tcMar>
              <w:top w:w="100" w:type="dxa"/>
              <w:left w:w="100" w:type="dxa"/>
              <w:bottom w:w="100" w:type="dxa"/>
              <w:right w:w="100" w:type="dxa"/>
            </w:tcMar>
          </w:tcPr>
          <w:p w14:paraId="102C1708" w14:textId="5F435D8D" w:rsidR="00A23410" w:rsidRDefault="00305111" w:rsidP="00D95600">
            <w:pPr>
              <w:widowControl w:val="0"/>
              <w:pBdr>
                <w:top w:val="nil"/>
                <w:left w:val="nil"/>
                <w:bottom w:val="nil"/>
                <w:right w:val="nil"/>
                <w:between w:val="nil"/>
              </w:pBdr>
              <w:spacing w:after="240" w:line="360" w:lineRule="auto"/>
              <w:jc w:val="both"/>
            </w:pPr>
            <w:r>
              <w:t>Address HR outcomes and strengthen accountability</w:t>
            </w:r>
            <w:r w:rsidR="00804FF8">
              <w:t>.</w:t>
            </w:r>
            <w:r>
              <w:t xml:space="preserve"> </w:t>
            </w:r>
          </w:p>
        </w:tc>
      </w:tr>
      <w:tr w:rsidR="00A23410" w14:paraId="7205A88A" w14:textId="77777777" w:rsidTr="00D95600">
        <w:trPr>
          <w:jc w:val="center"/>
        </w:trPr>
        <w:tc>
          <w:tcPr>
            <w:tcW w:w="2258" w:type="dxa"/>
            <w:tcMar>
              <w:top w:w="100" w:type="dxa"/>
              <w:left w:w="100" w:type="dxa"/>
              <w:bottom w:w="100" w:type="dxa"/>
              <w:right w:w="100" w:type="dxa"/>
            </w:tcMar>
          </w:tcPr>
          <w:p w14:paraId="69D667E6" w14:textId="1E3130B0" w:rsidR="00A23410" w:rsidRDefault="00305111" w:rsidP="00D95600">
            <w:pPr>
              <w:widowControl w:val="0"/>
              <w:pBdr>
                <w:top w:val="nil"/>
                <w:left w:val="nil"/>
                <w:bottom w:val="nil"/>
                <w:right w:val="nil"/>
                <w:between w:val="nil"/>
              </w:pBdr>
              <w:spacing w:after="240" w:line="360" w:lineRule="auto"/>
              <w:jc w:val="center"/>
              <w:rPr>
                <w:b/>
                <w:bCs/>
                <w:i/>
                <w:iCs/>
              </w:rPr>
            </w:pPr>
            <w:r>
              <w:rPr>
                <w:b/>
                <w:bCs/>
                <w:i/>
                <w:iCs/>
              </w:rPr>
              <w:t>Change into existing leadership areas</w:t>
            </w:r>
            <w:r w:rsidR="00BF17A7">
              <w:rPr>
                <w:b/>
                <w:bCs/>
                <w:i/>
                <w:iCs/>
              </w:rPr>
              <w:t>.</w:t>
            </w:r>
          </w:p>
        </w:tc>
        <w:tc>
          <w:tcPr>
            <w:tcW w:w="3402" w:type="dxa"/>
            <w:tcMar>
              <w:top w:w="100" w:type="dxa"/>
              <w:left w:w="100" w:type="dxa"/>
              <w:bottom w:w="100" w:type="dxa"/>
              <w:right w:w="100" w:type="dxa"/>
            </w:tcMar>
          </w:tcPr>
          <w:p w14:paraId="615CCBE7" w14:textId="41A44600" w:rsidR="00A23410" w:rsidRDefault="00305111" w:rsidP="00D95600">
            <w:pPr>
              <w:widowControl w:val="0"/>
              <w:pBdr>
                <w:top w:val="nil"/>
                <w:left w:val="nil"/>
                <w:bottom w:val="nil"/>
                <w:right w:val="nil"/>
                <w:between w:val="nil"/>
              </w:pBdr>
              <w:spacing w:after="240" w:line="360" w:lineRule="auto"/>
              <w:jc w:val="both"/>
            </w:pPr>
            <w:r>
              <w:t>Create an urgent action plan to promote training and workshops as a part of a career development opportunity</w:t>
            </w:r>
            <w:r w:rsidR="00BF17A7">
              <w:t>.</w:t>
            </w:r>
            <w:r>
              <w:t xml:space="preserve"> </w:t>
            </w:r>
          </w:p>
        </w:tc>
        <w:tc>
          <w:tcPr>
            <w:tcW w:w="3369" w:type="dxa"/>
            <w:tcMar>
              <w:top w:w="100" w:type="dxa"/>
              <w:left w:w="100" w:type="dxa"/>
              <w:bottom w:w="100" w:type="dxa"/>
              <w:right w:w="100" w:type="dxa"/>
            </w:tcMar>
          </w:tcPr>
          <w:p w14:paraId="40074598" w14:textId="2340A999" w:rsidR="00A23410" w:rsidRDefault="00305111" w:rsidP="00D95600">
            <w:pPr>
              <w:widowControl w:val="0"/>
              <w:pBdr>
                <w:top w:val="nil"/>
                <w:left w:val="nil"/>
                <w:bottom w:val="nil"/>
                <w:right w:val="nil"/>
                <w:between w:val="nil"/>
              </w:pBdr>
              <w:spacing w:after="240" w:line="360" w:lineRule="auto"/>
              <w:jc w:val="both"/>
            </w:pPr>
            <w:r>
              <w:t>Choose transformational Leadership tactics through revised HR planning and policies with concern for employee-centric workplace management</w:t>
            </w:r>
            <w:r w:rsidR="007D241B">
              <w:t>.</w:t>
            </w:r>
            <w:r>
              <w:t xml:space="preserve"> </w:t>
            </w:r>
          </w:p>
        </w:tc>
      </w:tr>
    </w:tbl>
    <w:p w14:paraId="5E1FAB8B" w14:textId="1D06831F" w:rsidR="00A23410" w:rsidRDefault="00305111" w:rsidP="00D95600">
      <w:pPr>
        <w:spacing w:before="240" w:after="240" w:line="360" w:lineRule="auto"/>
        <w:jc w:val="center"/>
        <w:rPr>
          <w:b/>
          <w:bCs/>
        </w:rPr>
      </w:pPr>
      <w:r>
        <w:rPr>
          <w:b/>
          <w:bCs/>
        </w:rPr>
        <w:t xml:space="preserve">Table 2: Contribution of </w:t>
      </w:r>
      <w:r w:rsidR="009E665A">
        <w:rPr>
          <w:b/>
          <w:bCs/>
        </w:rPr>
        <w:t xml:space="preserve">Departmental Managers </w:t>
      </w:r>
    </w:p>
    <w:p w14:paraId="0004E59E" w14:textId="4B4C66AB" w:rsidR="00A23410" w:rsidRDefault="00305111" w:rsidP="007610F8">
      <w:pPr>
        <w:spacing w:after="240" w:line="360" w:lineRule="auto"/>
        <w:jc w:val="both"/>
      </w:pPr>
      <w:r>
        <w:t>Departmental managers at HSBC Care are energising its existing staff for career growth through bringing an opportunity with the enhancement of critical skills to strengthen the talent pipeline. Rethinking transformational leadership tactics is effective to bring innovation, which poses greater insights into employee satisfaction, engagement and job performance (</w:t>
      </w:r>
      <w:proofErr w:type="spellStart"/>
      <w:r>
        <w:t>Krywalski</w:t>
      </w:r>
      <w:proofErr w:type="spellEnd"/>
      <w:r>
        <w:rPr>
          <w:rFonts w:ascii="Times New Roman" w:eastAsia="Times New Roman" w:hAnsi="Times New Roman" w:cs="Times New Roman"/>
        </w:rPr>
        <w:t>‑</w:t>
      </w:r>
      <w:r>
        <w:t xml:space="preserve">Santiago, 2024). With evidence, in 2024, a few contemporary practices adopted by departmental managers, such as the CARE program and the digital acceleration program (HSBC, 2024). To nurture skills and growth, HSBC also prioritised training hours for its staff in 2024 (HSBC, 2024). Social, organisational, individual and environmental factors are major dimensions of job satisfaction as key orientations to work. The job characteristic model was designed by Hackman and </w:t>
      </w:r>
      <w:r w:rsidR="00D723D3">
        <w:t>Oldham</w:t>
      </w:r>
      <w:r>
        <w:t xml:space="preserve"> in 1974</w:t>
      </w:r>
      <w:r w:rsidR="00D723D3">
        <w:t>,</w:t>
      </w:r>
      <w:r>
        <w:t xml:space="preserve"> which pointed o</w:t>
      </w:r>
      <w:r>
        <w:t>ut essential job characteristics such as task identity, skill variation, autonomy, task significance and active feedback. People management philosophy needs to depend on two interconnected principles. Application of the multi-stakeholder approach is the primary principle, while another principle defines that staff should be regarded as people instead of exploited resources. As a result, department managers at HSBC can integrate the above-mentioned principle to deal with existing HRM issues. It will impact c</w:t>
      </w:r>
      <w:r>
        <w:t xml:space="preserve">ulture, behaviour, performance, system and structure. </w:t>
      </w:r>
    </w:p>
    <w:p w14:paraId="56E98403" w14:textId="77777777" w:rsidR="00A23410" w:rsidRDefault="00305111" w:rsidP="00804FF8">
      <w:pPr>
        <w:pStyle w:val="Heading1"/>
      </w:pPr>
      <w:bookmarkStart w:id="13" w:name="_Toc227073896"/>
      <w:r>
        <w:t>5.0 Conclusion and Recommendation</w:t>
      </w:r>
      <w:bookmarkEnd w:id="13"/>
      <w:r>
        <w:t xml:space="preserve"> </w:t>
      </w:r>
    </w:p>
    <w:p w14:paraId="577A47F9" w14:textId="77777777" w:rsidR="00A23410" w:rsidRDefault="00305111" w:rsidP="007610F8">
      <w:pPr>
        <w:spacing w:after="240" w:line="360" w:lineRule="auto"/>
        <w:jc w:val="both"/>
      </w:pPr>
      <w:r>
        <w:t xml:space="preserve">In short, it can be examined that HR at HSBC is massively troubled, multiple layers of which are rooted in poor organisational culture and uncontrolled leadership guidance. Critical evaluation from this report directly links structural inequalities with employee resistance and skill gap-related consequences. Based on the discussion, it can be interpreted that diversity and inclusion practices at HSBC remain unclear just because of blurred vision and poor areas of strategy implementation. </w:t>
      </w:r>
    </w:p>
    <w:p w14:paraId="0927FDD7" w14:textId="77777777" w:rsidR="00A23410" w:rsidRDefault="00305111" w:rsidP="007610F8">
      <w:pPr>
        <w:spacing w:after="240" w:line="360" w:lineRule="auto"/>
        <w:jc w:val="both"/>
      </w:pPr>
      <w:r>
        <w:t>As a recommendation, it can be suggested that the people management of HSBC needs to set an urgent plan to tie managerial performance and KPIs to future DEI targets.  Within this aspect, an organisation's success and long-term growth are always controlled by HR tactics to gain a competitive edge (</w:t>
      </w:r>
      <w:proofErr w:type="spellStart"/>
      <w:r>
        <w:t>Valecha</w:t>
      </w:r>
      <w:proofErr w:type="spellEnd"/>
      <w:r>
        <w:t xml:space="preserve">, 2022; </w:t>
      </w:r>
      <w:proofErr w:type="spellStart"/>
      <w:r>
        <w:t>Beardwell</w:t>
      </w:r>
      <w:proofErr w:type="spellEnd"/>
      <w:r>
        <w:t xml:space="preserve"> and </w:t>
      </w:r>
      <w:proofErr w:type="spellStart"/>
      <w:r>
        <w:t>Claydon</w:t>
      </w:r>
      <w:proofErr w:type="spellEnd"/>
      <w:r>
        <w:t xml:space="preserve">, 2017). As a key action, management can be associated with a third-party auditor to bring real and fair workplace change through strengthened leadership accountability. To drive changes into the workplace area, future HR practices need balanced introduction factors like fair work practice, bias-free recognition and career opportunity with extrinsic factors like additional bonus, and a rewarding system. </w:t>
      </w:r>
      <w:r>
        <w:br w:type="page"/>
      </w:r>
    </w:p>
    <w:p w14:paraId="5E41E789" w14:textId="43E409BC" w:rsidR="00A23410" w:rsidRPr="00804FF8" w:rsidRDefault="00305111" w:rsidP="00804FF8">
      <w:pPr>
        <w:pStyle w:val="Heading1"/>
      </w:pPr>
      <w:r w:rsidRPr="00804FF8">
        <w:t xml:space="preserve">Reference </w:t>
      </w:r>
      <w:r w:rsidR="007610F8" w:rsidRPr="00804FF8">
        <w:t>L</w:t>
      </w:r>
      <w:r w:rsidRPr="00804FF8">
        <w:t>ist</w:t>
      </w:r>
    </w:p>
    <w:p w14:paraId="215C6915" w14:textId="77777777" w:rsidR="00A23410" w:rsidRDefault="00305111" w:rsidP="007259F5">
      <w:pPr>
        <w:spacing w:before="240" w:after="240" w:line="360" w:lineRule="auto"/>
        <w:jc w:val="both"/>
      </w:pPr>
      <w:proofErr w:type="spellStart"/>
      <w:r>
        <w:t>Agustian</w:t>
      </w:r>
      <w:proofErr w:type="spellEnd"/>
      <w:r>
        <w:t xml:space="preserve">, K., </w:t>
      </w:r>
      <w:proofErr w:type="spellStart"/>
      <w:r>
        <w:t>Pohan</w:t>
      </w:r>
      <w:proofErr w:type="spellEnd"/>
      <w:r>
        <w:t xml:space="preserve">, A., Zen, A., </w:t>
      </w:r>
      <w:proofErr w:type="spellStart"/>
      <w:r>
        <w:t>Wiwin</w:t>
      </w:r>
      <w:proofErr w:type="spellEnd"/>
      <w:r>
        <w:t xml:space="preserve">, W., and Malik, A. J. (2023) ‘Human resource management strategies in achieving competitive advantage in business administration’, </w:t>
      </w:r>
      <w:r w:rsidRPr="007259F5">
        <w:rPr>
          <w:i/>
          <w:iCs/>
        </w:rPr>
        <w:t>Journal of Contemporary Administration and Management (ADMAN),</w:t>
      </w:r>
      <w:r>
        <w:t xml:space="preserve"> 1(2), pp.108-117.</w:t>
      </w:r>
    </w:p>
    <w:p w14:paraId="71381D32" w14:textId="7415F384" w:rsidR="00A23410" w:rsidRDefault="00305111" w:rsidP="007259F5">
      <w:pPr>
        <w:spacing w:before="240" w:after="240" w:line="360" w:lineRule="auto"/>
        <w:jc w:val="both"/>
      </w:pPr>
      <w:r>
        <w:t>Almeida, L</w:t>
      </w:r>
      <w:r w:rsidR="00F7159D">
        <w:t xml:space="preserve">. </w:t>
      </w:r>
      <w:r>
        <w:t xml:space="preserve">(2025) </w:t>
      </w:r>
      <w:r w:rsidRPr="007259F5">
        <w:rPr>
          <w:i/>
          <w:iCs/>
        </w:rPr>
        <w:t>HSBC high street bank staff face bonus cuts over remote working.</w:t>
      </w:r>
      <w:r>
        <w:t xml:space="preserve"> Available at:</w:t>
      </w:r>
      <w:hyperlink r:id="rId14">
        <w:r w:rsidR="00A23410">
          <w:t xml:space="preserve"> </w:t>
        </w:r>
      </w:hyperlink>
      <w:hyperlink r:id="rId15">
        <w:r w:rsidR="00A23410" w:rsidRPr="007259F5">
          <w:rPr>
            <w:u w:val="single"/>
          </w:rPr>
          <w:t>https://www.theguardian.com/business/2025/may/21/hsbc-high-street-staff-face-bonus-cut-if-they-dont-come-into-work-enough</w:t>
        </w:r>
      </w:hyperlink>
      <w:r>
        <w:t xml:space="preserve"> (Accessed </w:t>
      </w:r>
      <w:r w:rsidR="00F7159D">
        <w:t>14</w:t>
      </w:r>
      <w:r>
        <w:t xml:space="preserve"> April 2026).</w:t>
      </w:r>
    </w:p>
    <w:p w14:paraId="10C50DD0" w14:textId="6BCE4994" w:rsidR="00A23410" w:rsidRDefault="00305111" w:rsidP="007259F5">
      <w:pPr>
        <w:spacing w:before="240" w:after="240" w:line="360" w:lineRule="auto"/>
        <w:jc w:val="both"/>
      </w:pPr>
      <w:r>
        <w:t xml:space="preserve">Armstrong, M. (2020) </w:t>
      </w:r>
      <w:r w:rsidRPr="007259F5">
        <w:rPr>
          <w:i/>
          <w:iCs/>
        </w:rPr>
        <w:t>Armstrong’s handbook of human resource management practice.</w:t>
      </w:r>
      <w:r>
        <w:t xml:space="preserve"> </w:t>
      </w:r>
      <w:r w:rsidR="007D241B">
        <w:t>Fifteenth</w:t>
      </w:r>
      <w:r>
        <w:t xml:space="preserve"> edition. London, England; New York, New York; New Delhi</w:t>
      </w:r>
      <w:r w:rsidR="007D241B">
        <w:t>,</w:t>
      </w:r>
      <w:r>
        <w:t xml:space="preserve"> India: </w:t>
      </w:r>
      <w:proofErr w:type="spellStart"/>
      <w:r>
        <w:t>Kogan</w:t>
      </w:r>
      <w:proofErr w:type="spellEnd"/>
      <w:r>
        <w:t xml:space="preserve"> Page. </w:t>
      </w:r>
    </w:p>
    <w:p w14:paraId="72AFA7C5" w14:textId="77777777" w:rsidR="00A23410" w:rsidRDefault="00305111" w:rsidP="007259F5">
      <w:pPr>
        <w:spacing w:before="240" w:after="240" w:line="360" w:lineRule="auto"/>
        <w:jc w:val="both"/>
      </w:pPr>
      <w:proofErr w:type="spellStart"/>
      <w:r>
        <w:t>Beardwell</w:t>
      </w:r>
      <w:proofErr w:type="spellEnd"/>
      <w:r>
        <w:t xml:space="preserve">, J. and </w:t>
      </w:r>
      <w:proofErr w:type="spellStart"/>
      <w:r>
        <w:t>Claydon</w:t>
      </w:r>
      <w:proofErr w:type="spellEnd"/>
      <w:r>
        <w:t xml:space="preserve">, T. (2017) </w:t>
      </w:r>
      <w:r w:rsidRPr="007259F5">
        <w:rPr>
          <w:i/>
          <w:iCs/>
        </w:rPr>
        <w:t>Human Resource Management: A Contemporary Approach.</w:t>
      </w:r>
      <w:r>
        <w:t xml:space="preserve"> 8th edition. England: Financial Times/Prentice Hall.</w:t>
      </w:r>
    </w:p>
    <w:p w14:paraId="57C42E25" w14:textId="77777777" w:rsidR="00A23410" w:rsidRDefault="00305111" w:rsidP="007259F5">
      <w:pPr>
        <w:spacing w:before="240" w:after="240" w:line="360" w:lineRule="auto"/>
        <w:jc w:val="both"/>
      </w:pPr>
      <w:r>
        <w:t xml:space="preserve">Chen, Y., Zhang, Z., Zhou, J., Liu, C., Zhang, X., and Yu, T. (2023) ‘A cognitive evaluation and equity-based perspective of pay for performance on job performance: A meta-analysis and path model’, </w:t>
      </w:r>
      <w:r w:rsidRPr="007259F5">
        <w:rPr>
          <w:i/>
          <w:iCs/>
        </w:rPr>
        <w:t>Frontiers in Psychology</w:t>
      </w:r>
      <w:r>
        <w:t>, 13, p.1039375.</w:t>
      </w:r>
    </w:p>
    <w:p w14:paraId="1C2B2BC4" w14:textId="77777777" w:rsidR="00A23410" w:rsidRDefault="00305111" w:rsidP="007259F5">
      <w:pPr>
        <w:spacing w:before="240" w:after="240" w:line="360" w:lineRule="auto"/>
        <w:jc w:val="both"/>
      </w:pPr>
      <w:r>
        <w:t xml:space="preserve">Dar, S. A., and </w:t>
      </w:r>
      <w:proofErr w:type="spellStart"/>
      <w:r>
        <w:t>Sakthivel</w:t>
      </w:r>
      <w:proofErr w:type="spellEnd"/>
      <w:r>
        <w:t>, P. (2022) ‘Maslow’s hierarchy of needs is still relevant in the 21st century’, Journal of Learning and Educational Policy, 2(5), pp.1-9.</w:t>
      </w:r>
    </w:p>
    <w:p w14:paraId="3F3ACE60" w14:textId="139C06A3" w:rsidR="00A23410" w:rsidRDefault="00305111" w:rsidP="007259F5">
      <w:pPr>
        <w:spacing w:before="240" w:after="240" w:line="360" w:lineRule="auto"/>
        <w:jc w:val="both"/>
      </w:pPr>
      <w:r>
        <w:t xml:space="preserve">FN (2024) </w:t>
      </w:r>
      <w:r w:rsidRPr="007259F5">
        <w:rPr>
          <w:i/>
          <w:iCs/>
        </w:rPr>
        <w:t xml:space="preserve">HSBC, Rothschild and JPMorgan have </w:t>
      </w:r>
      <w:r w:rsidR="007D241B" w:rsidRPr="007259F5">
        <w:rPr>
          <w:i/>
          <w:iCs/>
        </w:rPr>
        <w:t xml:space="preserve">the </w:t>
      </w:r>
      <w:r w:rsidRPr="007259F5">
        <w:rPr>
          <w:i/>
          <w:iCs/>
        </w:rPr>
        <w:t>biggest gender pay gaps: ‘Scrub out distortions and you’ll see we’ve gone nowhere’.</w:t>
      </w:r>
      <w:r>
        <w:t xml:space="preserve"> Available at:</w:t>
      </w:r>
      <w:hyperlink r:id="rId16">
        <w:r w:rsidR="00A23410">
          <w:t xml:space="preserve"> </w:t>
        </w:r>
      </w:hyperlink>
      <w:hyperlink r:id="rId17">
        <w:r w:rsidR="00A23410" w:rsidRPr="007259F5">
          <w:rPr>
            <w:u w:val="single"/>
          </w:rPr>
          <w:t>https://www.fnlondon.com/articles/banks-gender-pay-gap-2024-20240405</w:t>
        </w:r>
      </w:hyperlink>
      <w:r>
        <w:t xml:space="preserve"> (Accessed </w:t>
      </w:r>
      <w:r w:rsidR="00F7159D">
        <w:t>10</w:t>
      </w:r>
      <w:r>
        <w:t xml:space="preserve"> April 2026).</w:t>
      </w:r>
    </w:p>
    <w:p w14:paraId="4E0C205A" w14:textId="3F0FE253" w:rsidR="00A23410" w:rsidRDefault="00305111" w:rsidP="007259F5">
      <w:pPr>
        <w:spacing w:before="240" w:after="240" w:line="360" w:lineRule="auto"/>
        <w:jc w:val="both"/>
      </w:pPr>
      <w:proofErr w:type="spellStart"/>
      <w:r>
        <w:t>Gov</w:t>
      </w:r>
      <w:proofErr w:type="spellEnd"/>
      <w:r>
        <w:t xml:space="preserve"> (2025) </w:t>
      </w:r>
      <w:r w:rsidRPr="007259F5">
        <w:rPr>
          <w:i/>
          <w:iCs/>
        </w:rPr>
        <w:t>HSBC BANK PLC 2024-25 Gender pay gap report</w:t>
      </w:r>
      <w:r>
        <w:t>. Available at:</w:t>
      </w:r>
      <w:hyperlink r:id="rId18">
        <w:r w:rsidR="00A23410">
          <w:t xml:space="preserve"> </w:t>
        </w:r>
      </w:hyperlink>
      <w:hyperlink r:id="rId19">
        <w:r w:rsidR="00A23410" w:rsidRPr="007259F5">
          <w:rPr>
            <w:u w:val="single"/>
          </w:rPr>
          <w:t>https://gender-pay-gap.service.gov.uk/employers/6366/reporting-year-2024/gender-pay-gap-report</w:t>
        </w:r>
      </w:hyperlink>
      <w:r>
        <w:t xml:space="preserve"> (Accessed </w:t>
      </w:r>
      <w:r w:rsidR="00407FA2">
        <w:t>11</w:t>
      </w:r>
      <w:r>
        <w:t xml:space="preserve"> April 2026).</w:t>
      </w:r>
    </w:p>
    <w:p w14:paraId="4241F09D" w14:textId="77777777" w:rsidR="00A23410" w:rsidRDefault="00305111" w:rsidP="007259F5">
      <w:pPr>
        <w:spacing w:before="240" w:after="240" w:line="360" w:lineRule="auto"/>
        <w:jc w:val="both"/>
      </w:pPr>
      <w:proofErr w:type="spellStart"/>
      <w:r>
        <w:t>Holbeche</w:t>
      </w:r>
      <w:proofErr w:type="spellEnd"/>
      <w:r>
        <w:t xml:space="preserve">, L. (2022) </w:t>
      </w:r>
      <w:r w:rsidRPr="007259F5">
        <w:rPr>
          <w:i/>
          <w:iCs/>
        </w:rPr>
        <w:t>Aligning human resources and business strategy</w:t>
      </w:r>
      <w:r>
        <w:t>. Routledge.</w:t>
      </w:r>
    </w:p>
    <w:p w14:paraId="76B8A1A8" w14:textId="40D9F957" w:rsidR="00A23410" w:rsidRDefault="00305111" w:rsidP="007259F5">
      <w:pPr>
        <w:spacing w:before="240" w:after="240" w:line="360" w:lineRule="auto"/>
        <w:jc w:val="both"/>
      </w:pPr>
      <w:r>
        <w:t xml:space="preserve">HSBC (2024) </w:t>
      </w:r>
      <w:r w:rsidRPr="007259F5">
        <w:rPr>
          <w:i/>
          <w:iCs/>
        </w:rPr>
        <w:t>Annual Report and Accounts 2024</w:t>
      </w:r>
      <w:r>
        <w:t xml:space="preserve">. Available at: 13/500/250219-annual-report-and-accounts-2024.pdf (Accessed </w:t>
      </w:r>
      <w:r w:rsidR="00407FA2">
        <w:t>08</w:t>
      </w:r>
      <w:r>
        <w:t xml:space="preserve"> April 2026).</w:t>
      </w:r>
    </w:p>
    <w:p w14:paraId="241E9614" w14:textId="77777777" w:rsidR="00A23410" w:rsidRDefault="00305111" w:rsidP="007259F5">
      <w:pPr>
        <w:spacing w:before="240" w:after="240" w:line="360" w:lineRule="auto"/>
        <w:jc w:val="both"/>
      </w:pPr>
      <w:proofErr w:type="spellStart"/>
      <w:r>
        <w:t>Krywalski</w:t>
      </w:r>
      <w:proofErr w:type="spellEnd"/>
      <w:r w:rsidRPr="007259F5">
        <w:rPr>
          <w:rFonts w:ascii="Times New Roman" w:eastAsia="Times New Roman" w:hAnsi="Times New Roman" w:cs="Times New Roman"/>
        </w:rPr>
        <w:t>‑</w:t>
      </w:r>
      <w:r>
        <w:t xml:space="preserve">Santiago, J. (2024) ‘Rethinking transformational leadership and workforce dynamics for the human-centric tech era: Insights into employee engagement, satisfaction and job performance’, </w:t>
      </w:r>
      <w:r w:rsidRPr="007259F5">
        <w:rPr>
          <w:i/>
          <w:iCs/>
        </w:rPr>
        <w:t>Journal of Intercultural Management</w:t>
      </w:r>
      <w:r>
        <w:t>, 16(4), pp.42-94.</w:t>
      </w:r>
    </w:p>
    <w:p w14:paraId="44705468" w14:textId="77777777" w:rsidR="00A23410" w:rsidRDefault="00305111" w:rsidP="007259F5">
      <w:pPr>
        <w:spacing w:before="240" w:after="240" w:line="360" w:lineRule="auto"/>
        <w:jc w:val="both"/>
      </w:pPr>
      <w:r>
        <w:t xml:space="preserve">Lawler, E. and Albers, S. (2003) </w:t>
      </w:r>
      <w:r w:rsidRPr="007259F5">
        <w:rPr>
          <w:i/>
          <w:iCs/>
        </w:rPr>
        <w:t>Creating a Strategic Human Resources Organisation</w:t>
      </w:r>
      <w:r>
        <w:t>.</w:t>
      </w:r>
    </w:p>
    <w:p w14:paraId="2462FD23" w14:textId="1C29C360" w:rsidR="00A23410" w:rsidRDefault="00305111" w:rsidP="007259F5">
      <w:pPr>
        <w:spacing w:before="240" w:after="240" w:line="360" w:lineRule="auto"/>
        <w:jc w:val="both"/>
      </w:pPr>
      <w:proofErr w:type="spellStart"/>
      <w:r>
        <w:t>Leatherbarrow</w:t>
      </w:r>
      <w:proofErr w:type="spellEnd"/>
      <w:r>
        <w:t xml:space="preserve">, C., </w:t>
      </w:r>
      <w:r w:rsidR="00703B0E">
        <w:t xml:space="preserve">and </w:t>
      </w:r>
      <w:r>
        <w:t xml:space="preserve">Fletcher, J. (2014) </w:t>
      </w:r>
      <w:r w:rsidRPr="007259F5">
        <w:rPr>
          <w:i/>
          <w:iCs/>
        </w:rPr>
        <w:t>Introduction to human resource management: A guide to HR in practice</w:t>
      </w:r>
      <w:r>
        <w:t>. 3rd ed. London: Chartered Institute of Personnel Development. </w:t>
      </w:r>
    </w:p>
    <w:p w14:paraId="0495FC03" w14:textId="133F377F" w:rsidR="00A23410" w:rsidRDefault="00305111" w:rsidP="007259F5">
      <w:pPr>
        <w:spacing w:before="240" w:after="240" w:line="360" w:lineRule="auto"/>
        <w:jc w:val="both"/>
      </w:pPr>
      <w:r>
        <w:t xml:space="preserve">MLQ (2026) </w:t>
      </w:r>
      <w:r w:rsidRPr="007259F5">
        <w:rPr>
          <w:i/>
          <w:iCs/>
        </w:rPr>
        <w:t>HSBC Explores 10% Workforce Reduction Through AI-Driven Transformation</w:t>
      </w:r>
      <w:r>
        <w:t>. Available at:</w:t>
      </w:r>
      <w:hyperlink r:id="rId20">
        <w:r w:rsidR="00A23410">
          <w:t xml:space="preserve"> </w:t>
        </w:r>
      </w:hyperlink>
      <w:hyperlink r:id="rId21">
        <w:r w:rsidR="00A23410" w:rsidRPr="007259F5">
          <w:rPr>
            <w:u w:val="single"/>
          </w:rPr>
          <w:t>https://mlq.ai/news/hsbc-explores-major-workforce-reduction-through-ai-driven-transformation/</w:t>
        </w:r>
      </w:hyperlink>
      <w:r>
        <w:t xml:space="preserve"> (Accessed </w:t>
      </w:r>
      <w:r w:rsidR="00407FA2">
        <w:t>09</w:t>
      </w:r>
      <w:r>
        <w:t xml:space="preserve"> April 2026).</w:t>
      </w:r>
    </w:p>
    <w:p w14:paraId="08F1BFD5" w14:textId="77777777" w:rsidR="00A23410" w:rsidRDefault="00305111" w:rsidP="007259F5">
      <w:pPr>
        <w:spacing w:before="240" w:after="240" w:line="360" w:lineRule="auto"/>
        <w:jc w:val="both"/>
      </w:pPr>
      <w:r>
        <w:t xml:space="preserve">Mullins, L.J. (2019) </w:t>
      </w:r>
      <w:r w:rsidRPr="007259F5">
        <w:rPr>
          <w:i/>
          <w:iCs/>
        </w:rPr>
        <w:t>Organisational behaviour in the workplace</w:t>
      </w:r>
      <w:r>
        <w:t>. Twelfth edition. Harlow, United Kingdom: Pearson Education Limited</w:t>
      </w:r>
    </w:p>
    <w:p w14:paraId="3D58FF75" w14:textId="1E9B05CD" w:rsidR="00A23410" w:rsidRDefault="00305111" w:rsidP="007259F5">
      <w:pPr>
        <w:spacing w:before="240" w:after="240" w:line="360" w:lineRule="auto"/>
        <w:jc w:val="both"/>
      </w:pPr>
      <w:r>
        <w:t>Pomeroy, J</w:t>
      </w:r>
      <w:r w:rsidR="00407FA2">
        <w:t xml:space="preserve">. </w:t>
      </w:r>
      <w:r>
        <w:t xml:space="preserve">(2023) </w:t>
      </w:r>
      <w:r w:rsidRPr="007259F5">
        <w:rPr>
          <w:i/>
          <w:iCs/>
        </w:rPr>
        <w:t>The future of work.</w:t>
      </w:r>
      <w:r>
        <w:t xml:space="preserve"> Available at:</w:t>
      </w:r>
      <w:hyperlink r:id="rId22">
        <w:r w:rsidR="00A23410">
          <w:t xml:space="preserve"> </w:t>
        </w:r>
      </w:hyperlink>
      <w:hyperlink r:id="rId23">
        <w:r w:rsidR="00A23410" w:rsidRPr="007259F5">
          <w:rPr>
            <w:u w:val="single"/>
          </w:rPr>
          <w:t>https://www.research.hsbc.com/C/1/1/320/BrHFpG7</w:t>
        </w:r>
      </w:hyperlink>
      <w:r>
        <w:t xml:space="preserve"> (Accessed 11  April 2026).</w:t>
      </w:r>
    </w:p>
    <w:p w14:paraId="1A4D045F" w14:textId="77777777" w:rsidR="00A23410" w:rsidRDefault="00305111" w:rsidP="007259F5">
      <w:pPr>
        <w:spacing w:before="240" w:after="240" w:line="360" w:lineRule="auto"/>
        <w:jc w:val="both"/>
      </w:pPr>
      <w:proofErr w:type="spellStart"/>
      <w:r>
        <w:t>Valecha</w:t>
      </w:r>
      <w:proofErr w:type="spellEnd"/>
      <w:r>
        <w:t xml:space="preserve">, N. (2022) ‘Transforming human resource management with HR analytics: A critical Analysis of Benefits and challenges’, </w:t>
      </w:r>
      <w:r w:rsidRPr="007259F5">
        <w:rPr>
          <w:i/>
          <w:iCs/>
        </w:rPr>
        <w:t>International Journal for Global Academic &amp; Scientific Research</w:t>
      </w:r>
      <w:r>
        <w:t>, 1(2), pp.56-66.</w:t>
      </w:r>
    </w:p>
    <w:p w14:paraId="17AD7453" w14:textId="5543CED0" w:rsidR="00A23410" w:rsidRDefault="00305111" w:rsidP="007259F5">
      <w:pPr>
        <w:spacing w:before="240" w:after="240" w:line="360" w:lineRule="auto"/>
        <w:jc w:val="both"/>
      </w:pPr>
      <w:r>
        <w:t xml:space="preserve">Whelan, B. (2025) ‘Toward networked social identity theory: </w:t>
      </w:r>
      <w:r w:rsidR="00BF17A7">
        <w:t>Reconceptualising</w:t>
      </w:r>
      <w:r>
        <w:t xml:space="preserve"> social identity in the digital age’, </w:t>
      </w:r>
      <w:r w:rsidRPr="007259F5">
        <w:rPr>
          <w:i/>
          <w:iCs/>
        </w:rPr>
        <w:t>AMS Review</w:t>
      </w:r>
      <w:r>
        <w:t>, pp.1-17.</w:t>
      </w:r>
    </w:p>
    <w:p w14:paraId="74545663" w14:textId="32F041BC" w:rsidR="00A23410" w:rsidRDefault="00305111" w:rsidP="007259F5">
      <w:pPr>
        <w:spacing w:before="240" w:after="240" w:line="360" w:lineRule="auto"/>
        <w:jc w:val="both"/>
      </w:pPr>
      <w:r>
        <w:t>Wilkinson, A.</w:t>
      </w:r>
      <w:r w:rsidR="00BF17A7">
        <w:t>,</w:t>
      </w:r>
      <w:r>
        <w:t xml:space="preserve"> Redman, T. and </w:t>
      </w:r>
      <w:proofErr w:type="spellStart"/>
      <w:r>
        <w:t>Dundon</w:t>
      </w:r>
      <w:proofErr w:type="spellEnd"/>
      <w:r>
        <w:t xml:space="preserve">, T. (2016) </w:t>
      </w:r>
      <w:r w:rsidRPr="007259F5">
        <w:rPr>
          <w:i/>
          <w:iCs/>
        </w:rPr>
        <w:t>Contemporary Human Resource Management: Text and Cases</w:t>
      </w:r>
      <w:r>
        <w:t>. 5th edition. Harlow: Pearson Education.</w:t>
      </w:r>
    </w:p>
    <w:sectPr w:rsidR="00A23410">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505DD" w14:textId="77777777" w:rsidR="00DE0E3A" w:rsidRDefault="00DE0E3A">
      <w:pPr>
        <w:spacing w:line="240" w:lineRule="auto"/>
      </w:pPr>
      <w:r>
        <w:separator/>
      </w:r>
    </w:p>
  </w:endnote>
  <w:endnote w:type="continuationSeparator" w:id="0">
    <w:p w14:paraId="5901844B" w14:textId="77777777" w:rsidR="00DE0E3A" w:rsidRDefault="00DE0E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07BF70B1-5EC0-48E6-A9DC-F8E8F3101CA5}"/>
  </w:font>
  <w:font w:name="Cambria">
    <w:panose1 w:val="02040503050406030204"/>
    <w:charset w:val="00"/>
    <w:family w:val="roman"/>
    <w:pitch w:val="variable"/>
    <w:sig w:usb0="E00006FF" w:usb1="420024FF" w:usb2="02000000" w:usb3="00000000" w:csb0="0000019F" w:csb1="00000000"/>
    <w:embedRegular r:id="rId2" w:fontKey="{26392042-867B-8F49-AA68-C7675734AC1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B7C2EF" w14:textId="77777777" w:rsidR="00A23410" w:rsidRPr="00EA6CAC" w:rsidRDefault="00305111">
    <w:pPr>
      <w:spacing w:line="240" w:lineRule="auto"/>
      <w:jc w:val="right"/>
      <w:rPr>
        <w:rFonts w:eastAsia="Times New Roman"/>
        <w:sz w:val="20"/>
        <w:szCs w:val="20"/>
      </w:rPr>
    </w:pPr>
    <w:r w:rsidRPr="00EA6CAC">
      <w:rPr>
        <w:rFonts w:eastAsia="Times New Roman"/>
        <w:sz w:val="20"/>
        <w:szCs w:val="20"/>
      </w:rPr>
      <w:fldChar w:fldCharType="begin"/>
    </w:r>
    <w:r w:rsidRPr="00EA6CAC">
      <w:rPr>
        <w:rFonts w:eastAsia="Times New Roman"/>
        <w:sz w:val="20"/>
        <w:szCs w:val="20"/>
      </w:rPr>
      <w:instrText>PAGE</w:instrText>
    </w:r>
    <w:r w:rsidRPr="00EA6CAC">
      <w:rPr>
        <w:rFonts w:eastAsia="Times New Roman"/>
        <w:sz w:val="20"/>
        <w:szCs w:val="20"/>
      </w:rPr>
      <w:fldChar w:fldCharType="separate"/>
    </w:r>
    <w:r w:rsidR="0044374A" w:rsidRPr="00EA6CAC">
      <w:rPr>
        <w:rFonts w:eastAsia="Times New Roman"/>
        <w:noProof/>
        <w:sz w:val="20"/>
        <w:szCs w:val="20"/>
      </w:rPr>
      <w:t>1</w:t>
    </w:r>
    <w:r w:rsidRPr="00EA6CAC">
      <w:rPr>
        <w:rFonts w:eastAsia="Times New Roman"/>
        <w:sz w:val="20"/>
        <w:szCs w:val="20"/>
      </w:rPr>
      <w:fldChar w:fldCharType="end"/>
    </w:r>
  </w:p>
  <w:p w14:paraId="1FBE2591" w14:textId="77777777" w:rsidR="00A23410" w:rsidRDefault="00A2341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65CA8" w14:textId="77777777" w:rsidR="00DE0E3A" w:rsidRDefault="00DE0E3A">
      <w:pPr>
        <w:spacing w:line="240" w:lineRule="auto"/>
      </w:pPr>
      <w:r>
        <w:separator/>
      </w:r>
    </w:p>
  </w:footnote>
  <w:footnote w:type="continuationSeparator" w:id="0">
    <w:p w14:paraId="7645C6EC" w14:textId="77777777" w:rsidR="00DE0E3A" w:rsidRDefault="00DE0E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AA5945"/>
    <w:multiLevelType w:val="hybridMultilevel"/>
    <w:tmpl w:val="080AA2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84171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3410"/>
    <w:rsid w:val="000F74C4"/>
    <w:rsid w:val="001F4118"/>
    <w:rsid w:val="00210380"/>
    <w:rsid w:val="00315824"/>
    <w:rsid w:val="00325CF5"/>
    <w:rsid w:val="00326CD9"/>
    <w:rsid w:val="003354CF"/>
    <w:rsid w:val="003470E7"/>
    <w:rsid w:val="00366E83"/>
    <w:rsid w:val="003E30BE"/>
    <w:rsid w:val="00407FA2"/>
    <w:rsid w:val="0044374A"/>
    <w:rsid w:val="004F33C2"/>
    <w:rsid w:val="0053407E"/>
    <w:rsid w:val="00590A25"/>
    <w:rsid w:val="00593973"/>
    <w:rsid w:val="005E3685"/>
    <w:rsid w:val="0066339C"/>
    <w:rsid w:val="00695307"/>
    <w:rsid w:val="006D37EB"/>
    <w:rsid w:val="006D65BE"/>
    <w:rsid w:val="00703B0E"/>
    <w:rsid w:val="007259F5"/>
    <w:rsid w:val="007610F8"/>
    <w:rsid w:val="007A3BD0"/>
    <w:rsid w:val="007D241B"/>
    <w:rsid w:val="00804FF8"/>
    <w:rsid w:val="00845724"/>
    <w:rsid w:val="00857174"/>
    <w:rsid w:val="009A4B16"/>
    <w:rsid w:val="009C1067"/>
    <w:rsid w:val="009E665A"/>
    <w:rsid w:val="00A13652"/>
    <w:rsid w:val="00A23410"/>
    <w:rsid w:val="00BB1FC2"/>
    <w:rsid w:val="00BF17A7"/>
    <w:rsid w:val="00C20FFE"/>
    <w:rsid w:val="00D723D3"/>
    <w:rsid w:val="00D8199F"/>
    <w:rsid w:val="00D95600"/>
    <w:rsid w:val="00DE0E3A"/>
    <w:rsid w:val="00EA6CAC"/>
    <w:rsid w:val="00EC70B4"/>
    <w:rsid w:val="00EF1556"/>
    <w:rsid w:val="00F715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1AB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04FF8"/>
    <w:pPr>
      <w:spacing w:before="240" w:after="240" w:line="360" w:lineRule="auto"/>
      <w:jc w:val="both"/>
      <w:outlineLvl w:val="0"/>
    </w:pPr>
    <w:rPr>
      <w:b/>
      <w:bCs/>
      <w:sz w:val="24"/>
      <w:szCs w:val="24"/>
    </w:rPr>
  </w:style>
  <w:style w:type="paragraph" w:styleId="Heading2">
    <w:name w:val="heading 2"/>
    <w:basedOn w:val="Normal"/>
    <w:next w:val="Normal"/>
    <w:uiPriority w:val="9"/>
    <w:unhideWhenUsed/>
    <w:qFormat/>
    <w:rsid w:val="003E30BE"/>
    <w:pPr>
      <w:spacing w:after="240" w:line="360" w:lineRule="auto"/>
      <w:jc w:val="both"/>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EA6CAC"/>
    <w:pPr>
      <w:tabs>
        <w:tab w:val="center" w:pos="4513"/>
        <w:tab w:val="right" w:pos="9026"/>
      </w:tabs>
      <w:spacing w:line="240" w:lineRule="auto"/>
    </w:pPr>
  </w:style>
  <w:style w:type="character" w:customStyle="1" w:styleId="HeaderChar">
    <w:name w:val="Header Char"/>
    <w:basedOn w:val="DefaultParagraphFont"/>
    <w:link w:val="Header"/>
    <w:uiPriority w:val="99"/>
    <w:rsid w:val="00EA6CAC"/>
  </w:style>
  <w:style w:type="paragraph" w:styleId="Footer">
    <w:name w:val="footer"/>
    <w:basedOn w:val="Normal"/>
    <w:link w:val="FooterChar"/>
    <w:uiPriority w:val="99"/>
    <w:unhideWhenUsed/>
    <w:rsid w:val="00EA6CAC"/>
    <w:pPr>
      <w:tabs>
        <w:tab w:val="center" w:pos="4513"/>
        <w:tab w:val="right" w:pos="9026"/>
      </w:tabs>
      <w:spacing w:line="240" w:lineRule="auto"/>
    </w:pPr>
  </w:style>
  <w:style w:type="character" w:customStyle="1" w:styleId="FooterChar">
    <w:name w:val="Footer Char"/>
    <w:basedOn w:val="DefaultParagraphFont"/>
    <w:link w:val="Footer"/>
    <w:uiPriority w:val="99"/>
    <w:rsid w:val="00EA6CAC"/>
  </w:style>
  <w:style w:type="paragraph" w:styleId="TOC1">
    <w:name w:val="toc 1"/>
    <w:basedOn w:val="Normal"/>
    <w:next w:val="Normal"/>
    <w:autoRedefine/>
    <w:uiPriority w:val="39"/>
    <w:unhideWhenUsed/>
    <w:rsid w:val="003E30BE"/>
    <w:pPr>
      <w:spacing w:after="100"/>
    </w:pPr>
  </w:style>
  <w:style w:type="paragraph" w:styleId="TOC2">
    <w:name w:val="toc 2"/>
    <w:basedOn w:val="Normal"/>
    <w:next w:val="Normal"/>
    <w:autoRedefine/>
    <w:uiPriority w:val="39"/>
    <w:unhideWhenUsed/>
    <w:rsid w:val="003E30BE"/>
    <w:pPr>
      <w:spacing w:after="100"/>
      <w:ind w:left="220"/>
    </w:pPr>
  </w:style>
  <w:style w:type="character" w:styleId="Hyperlink">
    <w:name w:val="Hyperlink"/>
    <w:basedOn w:val="DefaultParagraphFont"/>
    <w:uiPriority w:val="99"/>
    <w:unhideWhenUsed/>
    <w:rsid w:val="003E30BE"/>
    <w:rPr>
      <w:color w:val="0000FF" w:themeColor="hyperlink"/>
      <w:u w:val="single"/>
    </w:rPr>
  </w:style>
  <w:style w:type="paragraph" w:styleId="ListParagraph">
    <w:name w:val="List Paragraph"/>
    <w:basedOn w:val="Normal"/>
    <w:uiPriority w:val="34"/>
    <w:qFormat/>
    <w:rsid w:val="007259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gender-pay-gap.service.gov.uk/employers/6366/reporting-year-2024/gender-pay-gap-report"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mlq.ai/news/hsbc-explores-major-workforce-reduction-through-ai-driven-transformation/"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fnlondon.com/articles/banks-gender-pay-gap-2024-20240405"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fnlondon.com/articles/banks-gender-pay-gap-2024-20240405" TargetMode="External" /><Relationship Id="rId20" Type="http://schemas.openxmlformats.org/officeDocument/2006/relationships/hyperlink" Target="https://mlq.ai/news/hsbc-explores-major-workforce-reduction-through-ai-driven-transformation/"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www.theguardian.com/business/2025/may/21/hsbc-high-street-staff-face-bonus-cut-if-they-dont-come-into-work-enough" TargetMode="External" /><Relationship Id="rId23" Type="http://schemas.openxmlformats.org/officeDocument/2006/relationships/hyperlink" Target="https://www.research.hsbc.com/C/1/1/320/BrHFpG7" TargetMode="External" /><Relationship Id="rId10" Type="http://schemas.openxmlformats.org/officeDocument/2006/relationships/image" Target="media/image3.png" /><Relationship Id="rId19" Type="http://schemas.openxmlformats.org/officeDocument/2006/relationships/hyperlink" Target="https://gender-pay-gap.service.gov.uk/employers/6366/reporting-year-2024/gender-pay-gap-report"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theguardian.com/business/2025/may/21/hsbc-high-street-staff-face-bonus-cut-if-they-dont-come-into-work-enough" TargetMode="External" /><Relationship Id="rId22" Type="http://schemas.openxmlformats.org/officeDocument/2006/relationships/hyperlink" Target="https://www.research.hsbc.com/C/1/1/320/BrHFpG7"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jSfj59PchagK2lIPlKI/C3080Q==">CgMxLjAyDmgudGd4cGxyYTc4bWVjMg5oLnhmM3M4a3l2NjR1bDIOaC41M3l6YmwzYjhjZzQyDmguZGo3Mzl2Z3BtYzR6Mg5oLnBpbG5nNDc0Y2traDIOaC42MDNyOHB6ZmJkeWUyDmguYjYyZjFzMzA4d3FnMg5oLmp3MDZxamkyZTljazIOaC5kempubjBvNmFndG0yDmguYzU1cDFhZzc4ejF5Mg5oLnNnZTlpaTdnb3RtYTIOaC4ycHF2bXk1ZXdocjAyDmguajM5cWNmdHljbWVhMg5oLjhmc2F1NWhiMW5uYzgAciExU25fN3o2TDU1bjRvYmVnWU9qMDFXdUFKVUZwLU5GWm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3195</Words>
  <Characters>18216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2026-04-25T08:44:00Z</dcterms:created>
  <dcterms:modified xsi:type="dcterms:W3CDTF">2026-04-25T08:44:00Z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53952c7a-301f-4317-bb0d-82f2082fc707</vt:lpwstr>
  </property>
</Properties>
</file>