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eastAsia="Times New Roman" w:asciiTheme="majorBidi" w:hAnsiTheme="majorBidi" w:cstheme="majorBidi"/>
          <w:color w:val="000000" w:themeColor="text1"/>
          <w:sz w:val="24"/>
          <w:szCs w:val="24"/>
          <w:lang w:val="en-GB"/>
          <w14:textFill>
            <w14:solidFill>
              <w14:schemeClr w14:val="tx1"/>
            </w14:solidFill>
          </w14:textFill>
        </w:rPr>
      </w:pPr>
      <w:r>
        <w:rPr>
          <w:rFonts w:eastAsia="Times New Roman" w:asciiTheme="majorBidi" w:hAnsiTheme="majorBidi" w:cstheme="majorBidi"/>
          <w:color w:val="000000" w:themeColor="text1"/>
          <w:sz w:val="24"/>
          <w:szCs w:val="24"/>
          <w:lang w:val="en-GB"/>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My name: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WenHao Zhu</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Student ID: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2106011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Module name:     International Business Communication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bookmarkStart w:id="18" w:name="_GoBack"/>
      <w:bookmarkEnd w:id="18"/>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sectPr>
          <w:pgSz w:w="11906" w:h="16838"/>
          <w:pgMar w:top="1440" w:right="1800" w:bottom="1440" w:left="1800" w:header="851" w:footer="992" w:gutter="0"/>
          <w:cols w:space="425" w:num="1"/>
          <w:docGrid w:type="lines" w:linePitch="312" w:charSpace="0"/>
        </w:sectPr>
      </w:pPr>
      <w:r>
        <w:rPr>
          <w:rFonts w:hint="default" w:ascii="Arial" w:hAnsi="Arial" w:cs="Arial" w:eastAsiaTheme="minorEastAsia"/>
          <w:b/>
          <w:bCs/>
          <w:kern w:val="2"/>
          <w:sz w:val="40"/>
          <w:szCs w:val="40"/>
          <w:lang w:val="en-US" w:eastAsia="zh-CN"/>
        </w:rPr>
        <w:t xml:space="preserve">Assignment Title: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Assignment 1</w:t>
      </w:r>
    </w:p>
    <w:sdt>
      <w:sdtPr>
        <w:rPr>
          <w:rFonts w:hint="default" w:ascii="Arial" w:hAnsi="Arial" w:eastAsia="Arial" w:cs="Arial"/>
          <w:b/>
          <w:bCs/>
          <w:color w:val="000000" w:themeColor="text1"/>
          <w:sz w:val="30"/>
          <w:szCs w:val="30"/>
          <w:lang w:val="en-GB" w:eastAsia="en-IN"/>
          <w14:textFill>
            <w14:solidFill>
              <w14:schemeClr w14:val="tx1"/>
            </w14:solidFill>
          </w14:textFill>
        </w:rPr>
        <w:id w:val="-1128694677"/>
        <w:docPartObj>
          <w:docPartGallery w:val="Table of Contents"/>
          <w:docPartUnique/>
        </w:docPartObj>
      </w:sdtPr>
      <w:sdtEndPr>
        <w:rPr>
          <w:rFonts w:hint="default" w:ascii="Arial" w:hAnsi="Arial" w:eastAsia="Arial" w:cs="Arial"/>
          <w:b w:val="0"/>
          <w:bCs w:val="0"/>
          <w:color w:val="000000" w:themeColor="text1"/>
          <w:sz w:val="24"/>
          <w:szCs w:val="24"/>
          <w:lang w:val="en-GB" w:eastAsia="en-IN"/>
          <w14:textFill>
            <w14:solidFill>
              <w14:schemeClr w14:val="tx1"/>
            </w14:solidFill>
          </w14:textFill>
        </w:rPr>
      </w:sdtEndPr>
      <w:sdtContent>
        <w:p>
          <w:pPr>
            <w:pStyle w:val="13"/>
            <w:spacing w:line="360" w:lineRule="auto"/>
            <w:jc w:val="center"/>
            <w:rPr>
              <w:rFonts w:hint="default" w:ascii="Arial" w:hAnsi="Arial" w:cs="Arial"/>
              <w:b/>
              <w:bCs/>
              <w:color w:val="000000" w:themeColor="text1"/>
              <w:sz w:val="30"/>
              <w:szCs w:val="30"/>
              <w:lang w:val="en-GB"/>
              <w14:textFill>
                <w14:solidFill>
                  <w14:schemeClr w14:val="tx1"/>
                </w14:solidFill>
              </w14:textFill>
            </w:rPr>
          </w:pPr>
          <w:r>
            <w:rPr>
              <w:rFonts w:hint="default" w:ascii="Arial" w:hAnsi="Arial" w:cs="Arial"/>
              <w:b/>
              <w:bCs/>
              <w:color w:val="000000" w:themeColor="text1"/>
              <w:sz w:val="30"/>
              <w:szCs w:val="30"/>
              <w:lang w:val="en-GB"/>
              <w14:textFill>
                <w14:solidFill>
                  <w14:schemeClr w14:val="tx1"/>
                </w14:solidFill>
              </w14:textFill>
            </w:rPr>
            <w:t>Table of Contents</w:t>
          </w:r>
        </w:p>
        <w:p>
          <w:pPr>
            <w:pStyle w:val="8"/>
            <w:tabs>
              <w:tab w:val="right" w:leader="dot" w:pos="8306"/>
            </w:tabs>
            <w:rPr>
              <w:rFonts w:hint="default" w:ascii="Arial" w:hAnsi="Arial" w:cs="Arial"/>
              <w:sz w:val="24"/>
              <w:szCs w:val="24"/>
            </w:rPr>
          </w:pPr>
          <w:r>
            <w:rPr>
              <w:rFonts w:hint="default" w:ascii="Arial" w:hAnsi="Arial" w:cs="Arial"/>
              <w:color w:val="000000" w:themeColor="text1"/>
              <w:sz w:val="24"/>
              <w:szCs w:val="24"/>
              <w:lang w:val="en-GB"/>
              <w14:textFill>
                <w14:solidFill>
                  <w14:schemeClr w14:val="tx1"/>
                </w14:solidFill>
              </w14:textFill>
            </w:rPr>
            <w:fldChar w:fldCharType="begin"/>
          </w:r>
          <w:r>
            <w:rPr>
              <w:rFonts w:hint="default" w:ascii="Arial" w:hAnsi="Arial" w:cs="Arial"/>
              <w:color w:val="000000" w:themeColor="text1"/>
              <w:sz w:val="24"/>
              <w:szCs w:val="24"/>
              <w:lang w:val="en-GB"/>
              <w14:textFill>
                <w14:solidFill>
                  <w14:schemeClr w14:val="tx1"/>
                </w14:solidFill>
              </w14:textFill>
            </w:rPr>
            <w:instrText xml:space="preserve"> TOC \o "1-3" \h \z \u </w:instrText>
          </w:r>
          <w:r>
            <w:rPr>
              <w:rFonts w:hint="default" w:ascii="Arial" w:hAnsi="Arial" w:cs="Arial"/>
              <w:color w:val="000000" w:themeColor="text1"/>
              <w:sz w:val="24"/>
              <w:szCs w:val="24"/>
              <w:lang w:val="en-GB"/>
              <w14:textFill>
                <w14:solidFill>
                  <w14:schemeClr w14:val="tx1"/>
                </w14:solidFill>
              </w14:textFill>
            </w:rPr>
            <w:fldChar w:fldCharType="separate"/>
          </w:r>
          <w:r>
            <w:rPr>
              <w:rFonts w:hint="default" w:ascii="Arial" w:hAnsi="Arial" w:cs="Arial"/>
              <w:color w:val="000000" w:themeColor="text1"/>
              <w:sz w:val="24"/>
              <w:szCs w:val="24"/>
              <w:lang w:val="en-GB"/>
              <w14:textFill>
                <w14:solidFill>
                  <w14:schemeClr w14:val="tx1"/>
                </w14:solidFill>
              </w14:textFill>
            </w:rPr>
            <w:fldChar w:fldCharType="begin"/>
          </w:r>
          <w:r>
            <w:rPr>
              <w:rFonts w:hint="default" w:ascii="Arial" w:hAnsi="Arial" w:cs="Arial"/>
              <w:sz w:val="24"/>
              <w:szCs w:val="24"/>
              <w:lang w:val="en-GB"/>
            </w:rPr>
            <w:instrText xml:space="preserve"> HYPERLINK \l _Toc21907 </w:instrText>
          </w:r>
          <w:r>
            <w:rPr>
              <w:rFonts w:hint="default" w:ascii="Arial" w:hAnsi="Arial" w:cs="Arial"/>
              <w:sz w:val="24"/>
              <w:szCs w:val="24"/>
              <w:lang w:val="en-GB"/>
            </w:rPr>
            <w:fldChar w:fldCharType="separate"/>
          </w:r>
          <w:r>
            <w:rPr>
              <w:rFonts w:hint="default" w:ascii="Arial" w:hAnsi="Arial" w:cs="Arial"/>
              <w:bCs w:val="0"/>
              <w:sz w:val="24"/>
              <w:szCs w:val="24"/>
              <w:lang w:val="en-GB"/>
            </w:rPr>
            <w:t>Executive Summary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_Toc21907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color w:val="000000" w:themeColor="text1"/>
              <w:sz w:val="24"/>
              <w:szCs w:val="24"/>
              <w:lang w:val="en-GB"/>
              <w14:textFill>
                <w14:solidFill>
                  <w14:schemeClr w14:val="tx1"/>
                </w14:solidFill>
              </w14:textFill>
            </w:rPr>
            <w:fldChar w:fldCharType="end"/>
          </w:r>
        </w:p>
        <w:p>
          <w:pPr>
            <w:pStyle w:val="8"/>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_Toc26229 </w:instrText>
          </w:r>
          <w:r>
            <w:rPr>
              <w:rFonts w:hint="default" w:ascii="Arial" w:hAnsi="Arial" w:cs="Arial"/>
              <w:bCs/>
              <w:sz w:val="24"/>
              <w:szCs w:val="24"/>
              <w:lang w:val="en-GB"/>
            </w:rPr>
            <w:fldChar w:fldCharType="separate"/>
          </w:r>
          <w:r>
            <w:rPr>
              <w:rFonts w:hint="default" w:ascii="Arial" w:hAnsi="Arial" w:cs="Arial"/>
              <w:sz w:val="24"/>
              <w:szCs w:val="24"/>
              <w:lang w:val="en-GB"/>
            </w:rPr>
            <w:t>1.0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_Toc26229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8"/>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_Toc19419 </w:instrText>
          </w:r>
          <w:r>
            <w:rPr>
              <w:rFonts w:hint="default" w:ascii="Arial" w:hAnsi="Arial" w:cs="Arial"/>
              <w:bCs/>
              <w:sz w:val="24"/>
              <w:szCs w:val="24"/>
              <w:lang w:val="en-GB"/>
            </w:rPr>
            <w:fldChar w:fldCharType="separate"/>
          </w:r>
          <w:r>
            <w:rPr>
              <w:rFonts w:hint="default" w:ascii="Arial" w:hAnsi="Arial" w:cs="Arial"/>
              <w:sz w:val="24"/>
              <w:szCs w:val="24"/>
              <w:lang w:val="en-GB"/>
            </w:rPr>
            <w:t>2.0 Main Findings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_Toc19419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9"/>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_Toc26295 </w:instrText>
          </w:r>
          <w:r>
            <w:rPr>
              <w:rFonts w:hint="default" w:ascii="Arial" w:hAnsi="Arial" w:cs="Arial"/>
              <w:bCs/>
              <w:sz w:val="24"/>
              <w:szCs w:val="24"/>
              <w:lang w:val="en-GB"/>
            </w:rPr>
            <w:fldChar w:fldCharType="separate"/>
          </w:r>
          <w:r>
            <w:rPr>
              <w:rFonts w:hint="default" w:ascii="Arial" w:hAnsi="Arial" w:cs="Arial"/>
              <w:bCs w:val="0"/>
              <w:sz w:val="24"/>
              <w:szCs w:val="24"/>
              <w:lang w:val="en-GB"/>
            </w:rPr>
            <w:t>2.1 International Business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_Toc26295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9"/>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_Toc15207 </w:instrText>
          </w:r>
          <w:r>
            <w:rPr>
              <w:rFonts w:hint="default" w:ascii="Arial" w:hAnsi="Arial" w:cs="Arial"/>
              <w:bCs/>
              <w:sz w:val="24"/>
              <w:szCs w:val="24"/>
              <w:lang w:val="en-GB"/>
            </w:rPr>
            <w:fldChar w:fldCharType="separate"/>
          </w:r>
          <w:r>
            <w:rPr>
              <w:rFonts w:hint="default" w:ascii="Arial" w:hAnsi="Arial" w:cs="Arial"/>
              <w:sz w:val="24"/>
              <w:szCs w:val="24"/>
              <w:lang w:val="en-GB"/>
            </w:rPr>
            <w:t>2.2 Skills Requirements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_Toc15207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9"/>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_Toc31292 </w:instrText>
          </w:r>
          <w:r>
            <w:rPr>
              <w:rFonts w:hint="default" w:ascii="Arial" w:hAnsi="Arial" w:cs="Arial"/>
              <w:bCs/>
              <w:sz w:val="24"/>
              <w:szCs w:val="24"/>
              <w:lang w:val="en-GB"/>
            </w:rPr>
            <w:fldChar w:fldCharType="separate"/>
          </w:r>
          <w:r>
            <w:rPr>
              <w:rFonts w:hint="default" w:ascii="Arial" w:hAnsi="Arial" w:cs="Arial"/>
              <w:sz w:val="24"/>
              <w:szCs w:val="24"/>
              <w:lang w:val="en-GB"/>
            </w:rPr>
            <w:t>2.3 Methods of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_Toc31292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5"/>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_Toc16635 </w:instrText>
          </w:r>
          <w:r>
            <w:rPr>
              <w:rFonts w:hint="default" w:ascii="Arial" w:hAnsi="Arial" w:cs="Arial"/>
              <w:bCs/>
              <w:sz w:val="24"/>
              <w:szCs w:val="24"/>
              <w:lang w:val="en-GB"/>
            </w:rPr>
            <w:fldChar w:fldCharType="separate"/>
          </w:r>
          <w:r>
            <w:rPr>
              <w:rFonts w:hint="default" w:ascii="Arial" w:hAnsi="Arial" w:cs="Arial"/>
              <w:sz w:val="24"/>
              <w:szCs w:val="24"/>
              <w:lang w:val="en-GB"/>
            </w:rPr>
            <w:t>2.3.1 Hall's High-Low Context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_Toc16635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9"/>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_Toc30002 </w:instrText>
          </w:r>
          <w:r>
            <w:rPr>
              <w:rFonts w:hint="default" w:ascii="Arial" w:hAnsi="Arial" w:cs="Arial"/>
              <w:bCs/>
              <w:sz w:val="24"/>
              <w:szCs w:val="24"/>
              <w:lang w:val="en-GB"/>
            </w:rPr>
            <w:fldChar w:fldCharType="separate"/>
          </w:r>
          <w:r>
            <w:rPr>
              <w:rFonts w:hint="default" w:ascii="Arial" w:hAnsi="Arial" w:cs="Arial"/>
              <w:sz w:val="24"/>
              <w:szCs w:val="24"/>
              <w:lang w:val="en-GB"/>
            </w:rPr>
            <w:t>2.4 Effective Communication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_Toc30002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9"/>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_Toc18595 </w:instrText>
          </w:r>
          <w:r>
            <w:rPr>
              <w:rFonts w:hint="default" w:ascii="Arial" w:hAnsi="Arial" w:cs="Arial"/>
              <w:bCs/>
              <w:sz w:val="24"/>
              <w:szCs w:val="24"/>
              <w:lang w:val="en-GB"/>
            </w:rPr>
            <w:fldChar w:fldCharType="separate"/>
          </w:r>
          <w:r>
            <w:rPr>
              <w:rFonts w:hint="default" w:ascii="Arial" w:hAnsi="Arial" w:cs="Arial"/>
              <w:sz w:val="24"/>
              <w:szCs w:val="24"/>
              <w:lang w:val="en-GB"/>
            </w:rPr>
            <w:t>2.5 International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_Toc18595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5"/>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_Toc8641 </w:instrText>
          </w:r>
          <w:r>
            <w:rPr>
              <w:rFonts w:hint="default" w:ascii="Arial" w:hAnsi="Arial" w:cs="Arial"/>
              <w:bCs/>
              <w:sz w:val="24"/>
              <w:szCs w:val="24"/>
              <w:lang w:val="en-GB"/>
            </w:rPr>
            <w:fldChar w:fldCharType="separate"/>
          </w:r>
          <w:r>
            <w:rPr>
              <w:rFonts w:hint="default" w:ascii="Arial" w:hAnsi="Arial" w:cs="Arial"/>
              <w:sz w:val="24"/>
              <w:szCs w:val="24"/>
              <w:lang w:val="en-GB"/>
            </w:rPr>
            <w:t>2.5.1 Trompenaars 7 dimensions to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_Toc8641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9"/>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_Toc28933 </w:instrText>
          </w:r>
          <w:r>
            <w:rPr>
              <w:rFonts w:hint="default" w:ascii="Arial" w:hAnsi="Arial" w:cs="Arial"/>
              <w:bCs/>
              <w:sz w:val="24"/>
              <w:szCs w:val="24"/>
              <w:lang w:val="en-GB"/>
            </w:rPr>
            <w:fldChar w:fldCharType="separate"/>
          </w:r>
          <w:r>
            <w:rPr>
              <w:rFonts w:hint="default" w:ascii="Arial" w:hAnsi="Arial" w:cs="Arial"/>
              <w:sz w:val="24"/>
              <w:szCs w:val="24"/>
              <w:lang w:val="en-GB"/>
            </w:rPr>
            <w:t>2.6 Importance of Building Relationships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_Toc28933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9"/>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_Toc13453 </w:instrText>
          </w:r>
          <w:r>
            <w:rPr>
              <w:rFonts w:hint="default" w:ascii="Arial" w:hAnsi="Arial" w:cs="Arial"/>
              <w:bCs/>
              <w:sz w:val="24"/>
              <w:szCs w:val="24"/>
              <w:lang w:val="en-GB"/>
            </w:rPr>
            <w:fldChar w:fldCharType="separate"/>
          </w:r>
          <w:r>
            <w:rPr>
              <w:rFonts w:hint="default" w:ascii="Arial" w:hAnsi="Arial" w:cs="Arial"/>
              <w:sz w:val="24"/>
              <w:szCs w:val="24"/>
              <w:lang w:val="en-GB"/>
            </w:rPr>
            <w:t>2.7 How to Build Trust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_Toc13453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9"/>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_Toc21097 </w:instrText>
          </w:r>
          <w:r>
            <w:rPr>
              <w:rFonts w:hint="default" w:ascii="Arial" w:hAnsi="Arial" w:cs="Arial"/>
              <w:bCs/>
              <w:sz w:val="24"/>
              <w:szCs w:val="24"/>
              <w:lang w:val="en-GB"/>
            </w:rPr>
            <w:fldChar w:fldCharType="separate"/>
          </w:r>
          <w:r>
            <w:rPr>
              <w:rFonts w:hint="default" w:ascii="Arial" w:hAnsi="Arial" w:cs="Arial"/>
              <w:sz w:val="24"/>
              <w:szCs w:val="24"/>
              <w:lang w:val="en-GB"/>
            </w:rPr>
            <w:t>2.8 Failed Relationships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_Toc21097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8"/>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_Toc2605 </w:instrText>
          </w:r>
          <w:r>
            <w:rPr>
              <w:rFonts w:hint="default" w:ascii="Arial" w:hAnsi="Arial" w:cs="Arial"/>
              <w:bCs/>
              <w:sz w:val="24"/>
              <w:szCs w:val="24"/>
              <w:lang w:val="en-GB"/>
            </w:rPr>
            <w:fldChar w:fldCharType="separate"/>
          </w:r>
          <w:r>
            <w:rPr>
              <w:rFonts w:hint="default" w:ascii="Arial" w:hAnsi="Arial" w:cs="Arial"/>
              <w:sz w:val="24"/>
              <w:szCs w:val="24"/>
              <w:lang w:val="en-GB"/>
            </w:rPr>
            <w:t>3.0 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_Toc2605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8"/>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_Toc3786 </w:instrText>
          </w:r>
          <w:r>
            <w:rPr>
              <w:rFonts w:hint="default" w:ascii="Arial" w:hAnsi="Arial" w:cs="Arial"/>
              <w:bCs/>
              <w:sz w:val="24"/>
              <w:szCs w:val="24"/>
              <w:lang w:val="en-GB"/>
            </w:rPr>
            <w:fldChar w:fldCharType="separate"/>
          </w:r>
          <w:r>
            <w:rPr>
              <w:rFonts w:hint="default" w:ascii="Arial" w:hAnsi="Arial" w:cs="Arial"/>
              <w:sz w:val="24"/>
              <w:szCs w:val="24"/>
              <w:lang w:val="en-GB"/>
            </w:rPr>
            <w:t>4.0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_Toc3786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8"/>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_Toc7525 </w:instrText>
          </w:r>
          <w:r>
            <w:rPr>
              <w:rFonts w:hint="default" w:ascii="Arial" w:hAnsi="Arial" w:cs="Arial"/>
              <w:bCs/>
              <w:sz w:val="24"/>
              <w:szCs w:val="24"/>
              <w:lang w:val="en-GB"/>
            </w:rPr>
            <w:fldChar w:fldCharType="separate"/>
          </w:r>
          <w:r>
            <w:rPr>
              <w:rFonts w:hint="default" w:ascii="Arial" w:hAnsi="Arial" w:cs="Arial"/>
              <w:sz w:val="24"/>
              <w:szCs w:val="24"/>
              <w:lang w:val="en-GB"/>
            </w:rPr>
            <w:t>Appendices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_Toc7525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9"/>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_Toc31665 </w:instrText>
          </w:r>
          <w:r>
            <w:rPr>
              <w:rFonts w:hint="default" w:ascii="Arial" w:hAnsi="Arial" w:cs="Arial"/>
              <w:bCs/>
              <w:sz w:val="24"/>
              <w:szCs w:val="24"/>
              <w:lang w:val="en-GB"/>
            </w:rPr>
            <w:fldChar w:fldCharType="separate"/>
          </w:r>
          <w:r>
            <w:rPr>
              <w:rFonts w:hint="default" w:ascii="Arial" w:hAnsi="Arial" w:cs="Arial"/>
              <w:sz w:val="24"/>
              <w:szCs w:val="24"/>
              <w:lang w:val="en-GB"/>
            </w:rPr>
            <w:t>1. Trompenaars 7 dimensions to culture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_Toc31665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pStyle w:val="8"/>
            <w:tabs>
              <w:tab w:val="right" w:leader="dot" w:pos="8306"/>
            </w:tabs>
            <w:rPr>
              <w:rFonts w:hint="default" w:ascii="Arial" w:hAnsi="Arial" w:cs="Arial"/>
              <w:sz w:val="24"/>
              <w:szCs w:val="24"/>
            </w:rPr>
          </w:pPr>
          <w:r>
            <w:rPr>
              <w:rFonts w:hint="default" w:ascii="Arial" w:hAnsi="Arial" w:cs="Arial"/>
              <w:bCs/>
              <w:color w:val="000000" w:themeColor="text1"/>
              <w:sz w:val="24"/>
              <w:szCs w:val="24"/>
              <w:lang w:val="en-GB"/>
              <w14:textFill>
                <w14:solidFill>
                  <w14:schemeClr w14:val="tx1"/>
                </w14:solidFill>
              </w14:textFill>
            </w:rPr>
            <w:fldChar w:fldCharType="begin"/>
          </w:r>
          <w:r>
            <w:rPr>
              <w:rFonts w:hint="default" w:ascii="Arial" w:hAnsi="Arial" w:cs="Arial"/>
              <w:bCs/>
              <w:sz w:val="24"/>
              <w:szCs w:val="24"/>
              <w:lang w:val="en-GB"/>
            </w:rPr>
            <w:instrText xml:space="preserve"> HYPERLINK \l _Toc25637 </w:instrText>
          </w:r>
          <w:r>
            <w:rPr>
              <w:rFonts w:hint="default" w:ascii="Arial" w:hAnsi="Arial" w:cs="Arial"/>
              <w:bCs/>
              <w:sz w:val="24"/>
              <w:szCs w:val="24"/>
              <w:lang w:val="en-GB"/>
            </w:rPr>
            <w:fldChar w:fldCharType="separate"/>
          </w:r>
          <w:r>
            <w:rPr>
              <w:rFonts w:hint="default" w:ascii="Arial" w:hAnsi="Arial" w:cs="Arial"/>
              <w:sz w:val="24"/>
              <w:szCs w:val="24"/>
              <w:lang w:val="en-GB"/>
            </w:rPr>
            <w:t>Reference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_Toc25637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color w:val="000000" w:themeColor="text1"/>
              <w:sz w:val="24"/>
              <w:szCs w:val="24"/>
              <w:lang w:val="en-GB"/>
              <w14:textFill>
                <w14:solidFill>
                  <w14:schemeClr w14:val="tx1"/>
                </w14:solidFill>
              </w14:textFill>
            </w:rPr>
            <w:fldChar w:fldCharType="end"/>
          </w:r>
        </w:p>
        <w:p>
          <w:pPr>
            <w:spacing w:line="360" w:lineRule="auto"/>
            <w:jc w:val="both"/>
          </w:pPr>
          <w:r>
            <w:rPr>
              <w:rFonts w:hint="default" w:ascii="Arial" w:hAnsi="Arial" w:cs="Arial"/>
              <w:bCs/>
              <w:color w:val="000000" w:themeColor="text1"/>
              <w:sz w:val="24"/>
              <w:szCs w:val="24"/>
              <w:lang w:val="en-GB"/>
              <w14:textFill>
                <w14:solidFill>
                  <w14:schemeClr w14:val="tx1"/>
                </w14:solidFill>
              </w14:textFill>
            </w:rPr>
            <w:fldChar w:fldCharType="end"/>
          </w:r>
        </w:p>
      </w:sdtContent>
    </w:sdt>
    <w:p>
      <w:pPr>
        <w:spacing w:line="360" w:lineRule="auto"/>
        <w:jc w:val="both"/>
        <w:rPr>
          <w:rStyle w:val="15"/>
          <w:rFonts w:hint="default" w:ascii="Arial" w:hAnsi="Arial" w:cs="Arial"/>
          <w:b/>
          <w:bCs w:val="0"/>
          <w:sz w:val="28"/>
          <w:szCs w:val="28"/>
          <w:lang w:val="en-GB"/>
        </w:rPr>
        <w:sectPr>
          <w:pgSz w:w="11906" w:h="16838"/>
          <w:pgMar w:top="1440" w:right="1800" w:bottom="1440" w:left="1800" w:header="851" w:footer="992" w:gutter="0"/>
          <w:cols w:space="425" w:num="1"/>
          <w:docGrid w:type="lines" w:linePitch="312" w:charSpace="0"/>
        </w:sectPr>
      </w:pPr>
    </w:p>
    <w:p>
      <w:pPr>
        <w:spacing w:line="360" w:lineRule="auto"/>
        <w:jc w:val="both"/>
        <w:rPr>
          <w:rFonts w:hint="default" w:ascii="Arial" w:hAnsi="Arial" w:eastAsia="Times New Roman" w:cs="Arial"/>
          <w:b/>
          <w:color w:val="000000" w:themeColor="text1"/>
          <w:sz w:val="24"/>
          <w:szCs w:val="24"/>
          <w:lang w:val="en-GB"/>
          <w14:textFill>
            <w14:solidFill>
              <w14:schemeClr w14:val="tx1"/>
            </w14:solidFill>
          </w14:textFill>
        </w:rPr>
      </w:pPr>
      <w:bookmarkStart w:id="0" w:name="_Toc21907"/>
      <w:r>
        <w:rPr>
          <w:rStyle w:val="15"/>
          <w:rFonts w:hint="default" w:ascii="Arial" w:hAnsi="Arial" w:cs="Arial"/>
          <w:b/>
          <w:bCs w:val="0"/>
          <w:sz w:val="28"/>
          <w:szCs w:val="28"/>
          <w:lang w:val="en-GB"/>
        </w:rPr>
        <w:t>Executive Summary</w:t>
      </w:r>
      <w:bookmarkEnd w:id="0"/>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International business communications are like regular business interactions which vary in different cultures. International business communications is an effective element which can diminish conflicts and misunderstandings between business partners. In this report, a clothing retailer wants to expand their business in Asian countries. When a business expands in international countries, it is necessary to have excellent communication skills and other important skills to run the business smoothly. In this report, 7 skills of international business communication have been identified and elaborated briefly. After that, there are different kinds of strategies which have been used in business communication. In the present time, businesses can use electronic modes of interaction. But in order to discuss more precisely, Hall's High-Low Context has been analysed for communication methods. Effective communication is also a very important element for the business. It is obvious that cultures in different countries are not the same. That is why the below report elaborates clearly and differentiates the UK and the Asian country's cultures through Trompenaars’s dimensional framework. Through this framework, the readers can understand different types of workplace culture in Asian countries. In every business and relationship, trust is a very important factor. This report has explained the strategies for building trust for international businesses. There are different reasons why a business relationship could fail. The reasons and the solutions have been provided so that the clothing retailer of the UK do not have to face the problems in Asian countries.</w:t>
      </w:r>
    </w:p>
    <w:p>
      <w:pPr>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br w:type="page"/>
      </w:r>
    </w:p>
    <w:p>
      <w:pPr>
        <w:pStyle w:val="2"/>
        <w:rPr>
          <w:rFonts w:hint="default" w:ascii="Arial" w:hAnsi="Arial" w:cs="Arial"/>
          <w:sz w:val="28"/>
          <w:szCs w:val="28"/>
          <w:lang w:val="en-GB"/>
        </w:rPr>
      </w:pPr>
      <w:bookmarkStart w:id="1" w:name="_Toc26229"/>
      <w:r>
        <w:rPr>
          <w:rFonts w:hint="default" w:ascii="Arial" w:hAnsi="Arial" w:cs="Arial"/>
          <w:sz w:val="28"/>
          <w:szCs w:val="28"/>
          <w:lang w:val="en-GB"/>
        </w:rPr>
        <w:t>1.0 Introduction</w:t>
      </w:r>
      <w:bookmarkEnd w:id="1"/>
      <w:r>
        <w:rPr>
          <w:rFonts w:hint="default" w:ascii="Arial" w:hAnsi="Arial" w:cs="Arial"/>
          <w:sz w:val="28"/>
          <w:szCs w:val="28"/>
          <w:lang w:val="en-GB"/>
        </w:rPr>
        <w:t xml:space="preserve">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International business communication is similar to normal business communications. Accordingly, international business communications can be difficult because the cultural norms and values of different countries are not the same. There are some examples of international communication including press releases, global advertisements, journalistic news stories, traditional print publications, and many more. This report aims to introduce intercultural communications to a clothing retailer. The clothing retailer has hired a business advisor because they want to expand their business from the UK to the Asian market. The report also elaborates on the different skills required for international business communication. International Business Communications have several methods which will be discussed in this report. In this report, Hall's High Low Context and Trompenaar's 7 dimensions of culture will be elaborated. As per the views of Anshari et al., (2019); relationship building is very crucial in business expansion. Therefore, the other purpose of this report is to explain the significance of relationship building. A relationship builds when trust is there because it permits it to be more open. So, strategies to build trust in business will be considered. </w:t>
      </w:r>
    </w:p>
    <w:p>
      <w:pPr>
        <w:spacing w:line="360" w:lineRule="auto"/>
        <w:jc w:val="both"/>
        <w:rPr>
          <w:rFonts w:hint="default" w:ascii="Arial" w:hAnsi="Arial" w:eastAsia="Times New Roman" w:cs="Arial"/>
          <w:b/>
          <w:color w:val="000000" w:themeColor="text1"/>
          <w:sz w:val="24"/>
          <w:szCs w:val="24"/>
          <w:lang w:val="en-GB"/>
          <w14:textFill>
            <w14:solidFill>
              <w14:schemeClr w14:val="tx1"/>
            </w14:solidFill>
          </w14:textFill>
        </w:rPr>
      </w:pPr>
    </w:p>
    <w:p>
      <w:pPr>
        <w:pStyle w:val="2"/>
        <w:spacing w:before="0" w:after="0"/>
        <w:rPr>
          <w:rFonts w:hint="default" w:ascii="Arial" w:hAnsi="Arial" w:cs="Arial"/>
          <w:sz w:val="24"/>
          <w:szCs w:val="24"/>
          <w:lang w:val="en-GB"/>
        </w:rPr>
      </w:pPr>
      <w:bookmarkStart w:id="2" w:name="_Toc19419"/>
      <w:r>
        <w:rPr>
          <w:rFonts w:hint="default" w:ascii="Arial" w:hAnsi="Arial" w:cs="Arial"/>
          <w:sz w:val="28"/>
          <w:szCs w:val="28"/>
          <w:lang w:val="en-GB"/>
        </w:rPr>
        <w:t>2.0 Main Findings</w:t>
      </w:r>
      <w:bookmarkEnd w:id="2"/>
      <w:r>
        <w:rPr>
          <w:rFonts w:hint="default" w:ascii="Arial" w:hAnsi="Arial" w:cs="Arial"/>
          <w:sz w:val="24"/>
          <w:szCs w:val="24"/>
          <w:lang w:val="en-GB"/>
        </w:rPr>
        <w:t xml:space="preserve"> </w:t>
      </w:r>
    </w:p>
    <w:p>
      <w:pPr>
        <w:pStyle w:val="3"/>
        <w:spacing w:before="0" w:after="0"/>
        <w:rPr>
          <w:rFonts w:hint="default" w:ascii="Arial" w:hAnsi="Arial" w:cs="Arial"/>
          <w:b/>
          <w:bCs w:val="0"/>
          <w:sz w:val="24"/>
          <w:szCs w:val="24"/>
          <w:lang w:val="en-GB"/>
        </w:rPr>
      </w:pPr>
      <w:bookmarkStart w:id="3" w:name="_Toc26295"/>
      <w:r>
        <w:rPr>
          <w:rFonts w:hint="default" w:ascii="Arial" w:hAnsi="Arial" w:cs="Arial"/>
          <w:b/>
          <w:bCs w:val="0"/>
          <w:sz w:val="24"/>
          <w:szCs w:val="24"/>
          <w:lang w:val="en-GB"/>
        </w:rPr>
        <w:t>2.1 International Business Communication</w:t>
      </w:r>
      <w:bookmarkEnd w:id="3"/>
      <w:r>
        <w:rPr>
          <w:rFonts w:hint="default" w:ascii="Arial" w:hAnsi="Arial" w:cs="Arial"/>
          <w:b/>
          <w:bCs w:val="0"/>
          <w:sz w:val="24"/>
          <w:szCs w:val="24"/>
          <w:lang w:val="en-GB"/>
        </w:rPr>
        <w:t xml:space="preserve">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As per the opinion of Bolten, (2020); international business communication is an important element in all types of businesses and especially for clothing retailers. Cultures and communities give people a unique conceptual framework through which they interpret the world; whereas, citizens from various cultures tend to interpret the same world very differently. As an outcome, cultural differences can create misunderstandings which can negatively impact the business relationships of cross-cultures (Reshetnikova et al., 2018). As the clothing retailer wants to expand their business to the Asian market, the company must acknowledge cultural practices and beliefs, adopted, and upheld by many Asian ethnic communities since prehistoric times in the fields of art, literature, architecture, lifestyle, music, and philosophy, while expanding its business in the Asian market. The cultural differences and language of the Asian market and other countries are not seen in their daily activities (Irwin, 2020, p.200). The communication style of Asian countries has its language systems in terms of writing letters, reports, tone, and many more. Some Asian countries cannot use English fluently but it is the most used language in businesses. The main business communication style in Asia contains two elements such as honor and respect. Asian corporate structure expects reasonable levels of social interaction when constructing commercial relationships. Therefore, it can be understood from the above analysis, that international business communication is very fruitful for businesses because it helps to reach more markets within a few times. </w:t>
      </w:r>
    </w:p>
    <w:p>
      <w:pPr>
        <w:pStyle w:val="3"/>
        <w:rPr>
          <w:rFonts w:hint="default" w:ascii="Arial" w:hAnsi="Arial" w:cs="Arial"/>
          <w:sz w:val="24"/>
          <w:szCs w:val="24"/>
          <w:lang w:val="en-GB"/>
        </w:rPr>
      </w:pPr>
      <w:bookmarkStart w:id="4" w:name="_Toc15207"/>
      <w:r>
        <w:rPr>
          <w:rFonts w:hint="default" w:ascii="Arial" w:hAnsi="Arial" w:cs="Arial"/>
          <w:sz w:val="24"/>
          <w:szCs w:val="24"/>
          <w:lang w:val="en-GB"/>
        </w:rPr>
        <w:t>2.2 Skills Requirements</w:t>
      </w:r>
      <w:bookmarkEnd w:id="4"/>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de Vasconcellos, Garrido and Parente, (2019) influenced that in the present era, to flourish in the global business, an extremely separate set of skills are essential than what was needed even five years ago. Seven skills are required to succeed in international business communication, especially in the Asian market. The in-depth analysis of the seven skills is discussed below. </w:t>
      </w:r>
    </w:p>
    <w:p>
      <w:pPr>
        <w:numPr>
          <w:ilvl w:val="0"/>
          <w:numId w:val="1"/>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Cross-cultural communication skills</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Every international business has a diverse workplace with people from other countries (Roberson, 2019). The diverse people can be the shareholder of the business or the customers. Therefore, a clothing retailer in the UK needs to understand and learn the cultural differences of the Asian market. Good communication is very helpful for clothing retailers as it could easily convince the customers and builds trust among them.</w:t>
      </w:r>
    </w:p>
    <w:p>
      <w:pPr>
        <w:pStyle w:val="14"/>
        <w:numPr>
          <w:ilvl w:val="0"/>
          <w:numId w:val="2"/>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Collaboration skills</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Collaboration is highly crucial for working in another culture and it helps to expand the business (Murphy and Marshall, 2020). Questioning during team meetings, taking into account the opinions and perspectives of others, and supporting the team members' participation are all necessary for this part of corporate communication abilities. </w:t>
      </w:r>
    </w:p>
    <w:p>
      <w:pPr>
        <w:numPr>
          <w:ilvl w:val="0"/>
          <w:numId w:val="1"/>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Negotiation skills</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In the international clothing business, detail negotiation skill is very effective for assessing potential solutions, developing relationships with other experts, and looking for common agreements (Kaur et al., 2022). Entrepreneurs use their negotiation abilities for a variety of tasks, such as driving revenue, finding new collaborators, and looking for investors.</w:t>
      </w:r>
    </w:p>
    <w:p>
      <w:pPr>
        <w:numPr>
          <w:ilvl w:val="0"/>
          <w:numId w:val="1"/>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Diplomacy skills</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Diplomacy is a collection of abilities that can improve how experts interact with coworkers, superiors, customers, and other individuals. Diplomacy demands skill and a knowledge of how to get through difficult circumstances and communication obstacles (Falcão, Ramalho and Nobre, 2020).</w:t>
      </w:r>
    </w:p>
    <w:p>
      <w:pPr>
        <w:numPr>
          <w:ilvl w:val="0"/>
          <w:numId w:val="1"/>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Written communication</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This is the primary mode of communication which is highly important for every business (Rosa et al., 2018, pp.85–94). Sending text messages, conducting assessments, reading written materials, and expressing additional information are all common corporate tasks that depend for strong writing skills.</w:t>
      </w:r>
    </w:p>
    <w:p>
      <w:pPr>
        <w:numPr>
          <w:ilvl w:val="0"/>
          <w:numId w:val="1"/>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Presentation skills</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Haugen and Lucas, (2018) stated that efficient business communication also required effective presentation skills. Presentation skill of clothing retailers assists in arranging a structure of a display, creating a strategic plan, and notifying coworkers, business leaders, and other experts. The ability to communicate with the customers while employing a variety of tactics, such as verbal communication, social gestures, and visual elements are other crucial component of presentation abilities. </w:t>
      </w:r>
    </w:p>
    <w:p>
      <w:pPr>
        <w:numPr>
          <w:ilvl w:val="0"/>
          <w:numId w:val="3"/>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Active listening</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Erkek and Batur, (2019) found that professionals can establish supportive working connections and enhance comprehension by practicing active listening. To avoid misunderstandings and remember particular facts during conversations, workplace encounters and meetings - active listening skills are highly beneficial. </w:t>
      </w:r>
    </w:p>
    <w:p>
      <w:pPr>
        <w:pStyle w:val="3"/>
        <w:rPr>
          <w:rFonts w:hint="default" w:ascii="Arial" w:hAnsi="Arial" w:cs="Arial"/>
          <w:sz w:val="24"/>
          <w:szCs w:val="24"/>
          <w:lang w:val="en-GB"/>
        </w:rPr>
      </w:pPr>
      <w:bookmarkStart w:id="5" w:name="_Toc31292"/>
      <w:r>
        <w:rPr>
          <w:rFonts w:hint="default" w:ascii="Arial" w:hAnsi="Arial" w:cs="Arial"/>
          <w:sz w:val="24"/>
          <w:szCs w:val="24"/>
          <w:lang w:val="en-GB"/>
        </w:rPr>
        <w:t>2.3 Methods of Communication</w:t>
      </w:r>
      <w:bookmarkEnd w:id="5"/>
      <w:r>
        <w:rPr>
          <w:rFonts w:hint="default" w:ascii="Arial" w:hAnsi="Arial" w:cs="Arial"/>
          <w:sz w:val="24"/>
          <w:szCs w:val="24"/>
          <w:lang w:val="en-GB"/>
        </w:rPr>
        <w:t xml:space="preserve">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There are different methods of business communication which can be categorised as electronic communication, non-electronic communication, written communication, and verbal communication (Ali et al., 2021). Besides all of these methods, there is another method that has been proposed by Edward Twitchell Hall. Hall's high and low context has been discussed in the below segment. </w:t>
      </w:r>
    </w:p>
    <w:p>
      <w:pPr>
        <w:pStyle w:val="4"/>
        <w:rPr>
          <w:rFonts w:hint="default" w:ascii="Arial" w:hAnsi="Arial" w:cs="Arial"/>
          <w:sz w:val="24"/>
          <w:szCs w:val="24"/>
          <w:lang w:val="en-GB"/>
        </w:rPr>
      </w:pPr>
      <w:bookmarkStart w:id="6" w:name="_Toc16635"/>
      <w:r>
        <w:rPr>
          <w:rFonts w:hint="default" w:ascii="Arial" w:hAnsi="Arial" w:cs="Arial"/>
          <w:sz w:val="24"/>
          <w:szCs w:val="24"/>
          <w:lang w:val="en-GB"/>
        </w:rPr>
        <w:t>2.3.1 Hall's High-Low Context</w:t>
      </w:r>
      <w:bookmarkEnd w:id="6"/>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Edward T. Hall is an American anthropologist and cross-cultural researcher who established the communication method from culture to culture in 1976. He has explained that traditions can be categorised into high and low-context groups (Yang, Hou and Arth, 2020). The difference between high and low-context cultures seeks to highlight differences in spoken and nonverbal communication. Communication in high-context cultures will place more emphasis on the messaging' tones, which will support the scenario instead of simply the phrases directly. On the other hand, low-context cultures demand that messages are explicitly mentioned to avoid misunderstanding and if a statement is not sufficiently clear it will slow down the transmission of information (Yang, Hou and Arth, 2020). People's methods of communication, especially their preferred mediums, vary just as much across high-context and low-context civilisations. In the contemporary, fast-changing digital world, these forms may alter, but essential values remain constant. In high-context societies, verbal communication is typically preferred, whereas non-verbal communication is preferred in low-context traditions. The clothing retailers who want to expand their business in Asian countries are called high-context cultures. </w:t>
      </w:r>
    </w:p>
    <w:p>
      <w:pPr>
        <w:pStyle w:val="3"/>
        <w:rPr>
          <w:rFonts w:hint="default" w:ascii="Arial" w:hAnsi="Arial" w:cs="Arial"/>
          <w:sz w:val="24"/>
          <w:szCs w:val="24"/>
          <w:lang w:val="en-GB"/>
        </w:rPr>
      </w:pPr>
      <w:bookmarkStart w:id="7" w:name="_Toc30002"/>
      <w:r>
        <w:rPr>
          <w:rFonts w:hint="default" w:ascii="Arial" w:hAnsi="Arial" w:cs="Arial"/>
          <w:sz w:val="24"/>
          <w:szCs w:val="24"/>
          <w:lang w:val="en-GB"/>
        </w:rPr>
        <w:t>2.4 Effective Communication</w:t>
      </w:r>
      <w:bookmarkEnd w:id="7"/>
      <w:r>
        <w:rPr>
          <w:rFonts w:hint="default" w:ascii="Arial" w:hAnsi="Arial" w:cs="Arial"/>
          <w:sz w:val="24"/>
          <w:szCs w:val="24"/>
          <w:lang w:val="en-GB"/>
        </w:rPr>
        <w:t xml:space="preserve">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Effective business communication improves team collaboration and teamwork. When the organisation can interact effectively with every employee, they can collaborate more successfully to accomplish shared objectives (SEMBILAN and HAMDAN, 2018). Successful communication is the exchange of facts, intentions, and feelings. It involves delivering a piece of information and getting assurance from the target demographic that it was received and understood. Making others feel heard and understood through genuine acknowledgment is a crucial aspect of good communication (Chatman et al., 2020). Effective communication is a major part of clothing retailers because it enhances customer satisfaction and customer retention. Effective communication and constant service quality enhance brand reputation, which encourages customer loyalty and new customer recommendations. Active engagement and communication with the customers can help build trust among thethem, since providing excellent retail service to customers is all about communication and cooperation.</w:t>
      </w:r>
    </w:p>
    <w:p>
      <w:pPr>
        <w:pStyle w:val="3"/>
        <w:rPr>
          <w:rFonts w:hint="default" w:ascii="Arial" w:hAnsi="Arial" w:cs="Arial"/>
          <w:sz w:val="24"/>
          <w:szCs w:val="24"/>
          <w:lang w:val="en-GB"/>
        </w:rPr>
      </w:pPr>
      <w:bookmarkStart w:id="8" w:name="_Toc18595"/>
      <w:r>
        <w:rPr>
          <w:rFonts w:hint="default" w:ascii="Arial" w:hAnsi="Arial" w:cs="Arial"/>
          <w:sz w:val="24"/>
          <w:szCs w:val="24"/>
          <w:lang w:val="en-GB"/>
        </w:rPr>
        <w:t>2.5 International Culture</w:t>
      </w:r>
      <w:bookmarkEnd w:id="8"/>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The term "international culture" describes cultural characteristics that extend beyond national borders (Meyer, 2017). As per the opinion of Hefner, (2018); Asian countries consist of a strong work culture. For example, the Japanese workplace is very formal. Collectivism predominates in the majority of Asian cultures. People are viewed as part of their collective identity in collectivist societies, and the idea of a unique, independent personality is emphasised.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Trompenaars Cultural Dimensions Model has been considered in the below section.</w:t>
      </w:r>
    </w:p>
    <w:p>
      <w:pPr>
        <w:pStyle w:val="4"/>
        <w:rPr>
          <w:rFonts w:hint="default" w:ascii="Arial" w:hAnsi="Arial" w:cs="Arial"/>
          <w:sz w:val="24"/>
          <w:szCs w:val="24"/>
          <w:lang w:val="en-GB"/>
        </w:rPr>
      </w:pPr>
      <w:bookmarkStart w:id="9" w:name="_Toc8641"/>
      <w:r>
        <w:rPr>
          <w:rFonts w:hint="default" w:ascii="Arial" w:hAnsi="Arial" w:cs="Arial"/>
          <w:sz w:val="24"/>
          <w:szCs w:val="24"/>
          <w:lang w:val="en-GB"/>
        </w:rPr>
        <w:t>2.5.1 Trompenaars 7 dimensions to culture</w:t>
      </w:r>
      <w:bookmarkEnd w:id="9"/>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Sattorovich, (2020) stated that while Trompenaars attempted to comprehend how employees functioned both at work and in their free time, Hofstede's main objective was to evaluate the quality of the work environment. Trompennar's model begins to focus because it conveys what people are considering and perceiving.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Trompenaars Cultural Dimensions Model has 7 dimensions which have been discussed below.</w:t>
      </w:r>
    </w:p>
    <w:p>
      <w:pPr>
        <w:numPr>
          <w:ilvl w:val="0"/>
          <w:numId w:val="4"/>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Universalism vs. particularism</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This dimension is best when comparing between rules and relationships. In universalism, people concentrate more on maintaining rules. This culture is followed by the UK, Canada, and many more countries. Particularism culture believes in making relationships more than rules. This culture has been followed by Japan, China, Latin America, Russia, and many more countries. Universalist cultures need to be consistent and they always need to give logic behind every decision making (Wallensteen, 2021). On the contrary, particularist cultures invest a lot in making a strong connection with the stakeholders, employees, and customers. </w:t>
      </w:r>
    </w:p>
    <w:p>
      <w:pPr>
        <w:numPr>
          <w:ilvl w:val="0"/>
          <w:numId w:val="4"/>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Individualism vs. communitarianism</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Individualistic societies believe that choices affect the way life develops. In these societies, those who make choices act without consulting anybody else (Myles, 2018). The UK, Canada, and Australia are examples of this culture. Communitarianism based on equality of life. In this culture the organisations give reward and recognition to the employees for high performance. Japan, Latin America, Africa are examples of this culture.  </w:t>
      </w:r>
    </w:p>
    <w:p>
      <w:pPr>
        <w:numPr>
          <w:ilvl w:val="0"/>
          <w:numId w:val="4"/>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Specific vs. diffuse</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In specific cultures, people like to keep their professional and personal life separate. These societies are known for their straightforward, concise, and time-oriented communication.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However, people from diffuse cultures usually think that their personal and professional lives are connected. These cultures believe that healthy relationships enable people to achieve their goals more successfully (Dalmia, 2021). Asian countries are a great example of diffuse culture. </w:t>
      </w:r>
    </w:p>
    <w:p>
      <w:pPr>
        <w:numPr>
          <w:ilvl w:val="0"/>
          <w:numId w:val="4"/>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Neutral vs. affective</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The people who live in the UK, Germany do not like to share their emotions in front of everyone because they believe in neutral culture. On the other hand, in affective culture, the employees in the workplace like to share their emotions. It is common for people to express their feelings in this culture (Gidron, Adams and Horne, 2020).</w:t>
      </w:r>
    </w:p>
    <w:p>
      <w:pPr>
        <w:numPr>
          <w:ilvl w:val="0"/>
          <w:numId w:val="4"/>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Achievement vs. ascription</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In an achievement culture, people earn high status through their skills and knowledge. In this culture, the employees can challenge other's decisions if they find it illogical. But in the ascription culture, managers give job positions to the employees based on their educational backgrounds, social status or age (Purvanova et al., 2020). </w:t>
      </w:r>
    </w:p>
    <w:p>
      <w:pPr>
        <w:numPr>
          <w:ilvl w:val="0"/>
          <w:numId w:val="4"/>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Sequential time vs. synchronous time</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Time is crucial in cultures that value sequential time. People prefer to do jobs in segments. Since time is money, each step must be done on time.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While, people who live in synchronous time cultures consider the previous, current, and future to be interconnected (Sattorovich, (2020). As a result, people concentrate on different tasks because they view time as changeable.</w:t>
      </w:r>
    </w:p>
    <w:p>
      <w:pPr>
        <w:numPr>
          <w:ilvl w:val="0"/>
          <w:numId w:val="4"/>
        </w:numPr>
        <w:spacing w:line="360" w:lineRule="auto"/>
        <w:jc w:val="both"/>
        <w:rPr>
          <w:rFonts w:hint="default" w:ascii="Arial" w:hAnsi="Arial" w:eastAsia="Times New Roman" w:cs="Arial"/>
          <w:b/>
          <w:i/>
          <w:color w:val="000000" w:themeColor="text1"/>
          <w:sz w:val="24"/>
          <w:szCs w:val="24"/>
          <w:lang w:val="en-GB"/>
          <w14:textFill>
            <w14:solidFill>
              <w14:schemeClr w14:val="tx1"/>
            </w14:solidFill>
          </w14:textFill>
        </w:rPr>
      </w:pPr>
      <w:r>
        <w:rPr>
          <w:rFonts w:hint="default" w:ascii="Arial" w:hAnsi="Arial" w:eastAsia="Times New Roman" w:cs="Arial"/>
          <w:b/>
          <w:i/>
          <w:color w:val="000000" w:themeColor="text1"/>
          <w:sz w:val="24"/>
          <w:szCs w:val="24"/>
          <w:lang w:val="en-GB"/>
          <w14:textFill>
            <w14:solidFill>
              <w14:schemeClr w14:val="tx1"/>
            </w14:solidFill>
          </w14:textFill>
        </w:rPr>
        <w:t>Internal direction vs. external direction</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Individuals who reside in internal-directed societies believe they have control over their environment and may enjoy the benefits of this belief.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However, people who are raised in an external-directed culture believe that they must work with their environment in order to succeed (Sattorovich, (2020). In these cultures, maintaining a wonderful relationship is more important than achieving success.</w:t>
      </w:r>
    </w:p>
    <w:p>
      <w:pPr>
        <w:pStyle w:val="3"/>
        <w:rPr>
          <w:rFonts w:hint="default" w:ascii="Arial" w:hAnsi="Arial" w:cs="Arial"/>
          <w:sz w:val="24"/>
          <w:szCs w:val="24"/>
          <w:lang w:val="en-GB"/>
        </w:rPr>
      </w:pPr>
      <w:bookmarkStart w:id="10" w:name="_Toc28933"/>
      <w:r>
        <w:rPr>
          <w:rFonts w:hint="default" w:ascii="Arial" w:hAnsi="Arial" w:cs="Arial"/>
          <w:sz w:val="24"/>
          <w:szCs w:val="24"/>
          <w:lang w:val="en-GB"/>
        </w:rPr>
        <w:t>2.6 Importance of Building Relationships</w:t>
      </w:r>
      <w:bookmarkEnd w:id="10"/>
      <w:r>
        <w:rPr>
          <w:rFonts w:hint="default" w:ascii="Arial" w:hAnsi="Arial" w:cs="Arial"/>
          <w:sz w:val="24"/>
          <w:szCs w:val="24"/>
          <w:lang w:val="en-GB"/>
        </w:rPr>
        <w:t xml:space="preserve">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DiJulius, (2019) states that relationship building in international business helps the clothing retailer to gain new customers, retain present customers for a long time and manage the brand image. Relationship building helps the business to meet their goals and it helps to boost the current revenue of the clothing retailer in the Asian countries. When the clothing retailers of the UK expand their business in the Asian countries, there are different things which can come and do not go as per their plans. Therefore, building relationships with the stakeholders, employees, and the customers can help the clothing retailer to remove all the obstacles and run the business smoothly. </w:t>
      </w:r>
    </w:p>
    <w:p>
      <w:pPr>
        <w:pStyle w:val="3"/>
        <w:rPr>
          <w:rFonts w:hint="default" w:ascii="Arial" w:hAnsi="Arial" w:cs="Arial"/>
          <w:sz w:val="24"/>
          <w:szCs w:val="24"/>
          <w:lang w:val="en-GB"/>
        </w:rPr>
      </w:pPr>
      <w:bookmarkStart w:id="11" w:name="_Toc13453"/>
      <w:r>
        <w:rPr>
          <w:rFonts w:hint="default" w:ascii="Arial" w:hAnsi="Arial" w:cs="Arial"/>
          <w:sz w:val="24"/>
          <w:szCs w:val="24"/>
          <w:lang w:val="en-GB"/>
        </w:rPr>
        <w:t>2.7 How to Build Trust</w:t>
      </w:r>
      <w:bookmarkEnd w:id="11"/>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Trust is a belief that even in the absence of formal commitments or guarantees, a company can be counted on to uphold commitments, fulfill its obligations professionally, and behave decently (Zamry and Nayan, 2020). There are three elements of trust in international business i.e., clarity, connection, and consistency. When the clothing retailer discusses the business details with its stakeholders and other persons, the clothing retailer needs to be clear with their goals. Deep connection with business partners helps the clothing retailer to share each other's values and beliefs which can enhance trust. The clothing retailer needs to maintain consistency in the business in Asian countries.</w:t>
      </w:r>
    </w:p>
    <w:p>
      <w:pPr>
        <w:pStyle w:val="3"/>
        <w:rPr>
          <w:rFonts w:hint="default" w:ascii="Arial" w:hAnsi="Arial" w:cs="Arial"/>
          <w:sz w:val="24"/>
          <w:szCs w:val="24"/>
          <w:lang w:val="en-GB"/>
        </w:rPr>
      </w:pPr>
      <w:bookmarkStart w:id="12" w:name="_Toc21097"/>
      <w:r>
        <w:rPr>
          <w:rFonts w:hint="default" w:ascii="Arial" w:hAnsi="Arial" w:cs="Arial"/>
          <w:sz w:val="24"/>
          <w:szCs w:val="24"/>
          <w:lang w:val="en-GB"/>
        </w:rPr>
        <w:t>2.8 Failed Relationships</w:t>
      </w:r>
      <w:bookmarkEnd w:id="12"/>
      <w:r>
        <w:rPr>
          <w:rFonts w:hint="default" w:ascii="Arial" w:hAnsi="Arial" w:cs="Arial"/>
          <w:sz w:val="24"/>
          <w:szCs w:val="24"/>
          <w:lang w:val="en-GB"/>
        </w:rPr>
        <w:t xml:space="preserve">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A successful business can fail as well (Carolina, 2019). Most of the time the partnership in a business fails due to poor management. If the employees and the entire management cannot deliver the service and products to its stakeholders then the relationship might fail. Sometimes due to the lack of financial security the business relationships fail. Another reason is lack of communication and business partners feel confused and miss understood which can fail their business relationship. </w:t>
      </w:r>
    </w:p>
    <w:p>
      <w:pPr>
        <w:pStyle w:val="2"/>
        <w:bidi w:val="0"/>
        <w:rPr>
          <w:rFonts w:hint="default" w:ascii="Arial" w:hAnsi="Arial" w:cs="Arial"/>
          <w:sz w:val="28"/>
          <w:szCs w:val="28"/>
          <w:lang w:val="en-GB"/>
        </w:rPr>
      </w:pPr>
      <w:bookmarkStart w:id="13" w:name="_Toc2605"/>
      <w:r>
        <w:rPr>
          <w:rFonts w:hint="default" w:ascii="Arial" w:hAnsi="Arial" w:cs="Arial"/>
          <w:sz w:val="28"/>
          <w:szCs w:val="28"/>
          <w:lang w:val="en-GB"/>
        </w:rPr>
        <w:t>3.0 Conclusions</w:t>
      </w:r>
      <w:bookmarkEnd w:id="13"/>
      <w:r>
        <w:rPr>
          <w:rFonts w:hint="default" w:ascii="Arial" w:hAnsi="Arial" w:cs="Arial"/>
          <w:sz w:val="28"/>
          <w:szCs w:val="28"/>
          <w:lang w:val="en-GB"/>
        </w:rPr>
        <w:t xml:space="preserve"> </w:t>
      </w:r>
    </w:p>
    <w:p>
      <w:pPr>
        <w:spacing w:line="360" w:lineRule="auto"/>
        <w:jc w:val="both"/>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It can be concluded from the above segment that international business communication is very crucial for the retail industry. The above report is based on the UK based clothing retailer, which wants to expand its business in the Asian countries. Cultural values and norms are different for each country and as the Asian countries have maintained a traditional community since prehistoric times. There are different skills which are required for international business communication such as; negotiation skill, presentation skill, diplomacy skill, active listening and many more. The methods of communication in international business have been discussed through Hall's high and low context theory. Along with that, international culture has been considered through Trompenaars 7 cultural dimensions. </w:t>
      </w:r>
    </w:p>
    <w:p>
      <w:pPr>
        <w:pStyle w:val="2"/>
        <w:rPr>
          <w:rFonts w:hint="default" w:ascii="Arial" w:hAnsi="Arial" w:cs="Arial"/>
          <w:sz w:val="28"/>
          <w:szCs w:val="28"/>
          <w:lang w:val="en-GB"/>
        </w:rPr>
      </w:pPr>
      <w:bookmarkStart w:id="14" w:name="_Toc3786"/>
      <w:r>
        <w:rPr>
          <w:rFonts w:hint="default" w:ascii="Arial" w:hAnsi="Arial" w:cs="Arial"/>
          <w:sz w:val="28"/>
          <w:szCs w:val="28"/>
          <w:lang w:val="en-GB"/>
        </w:rPr>
        <w:t>4.0 Recommendations</w:t>
      </w:r>
      <w:bookmarkEnd w:id="14"/>
      <w:r>
        <w:rPr>
          <w:rFonts w:hint="default" w:ascii="Arial" w:hAnsi="Arial" w:cs="Arial"/>
          <w:sz w:val="28"/>
          <w:szCs w:val="28"/>
          <w:lang w:val="en-GB"/>
        </w:rPr>
        <w:t xml:space="preserve"> </w:t>
      </w:r>
    </w:p>
    <w:p>
      <w:pPr>
        <w:spacing w:line="360" w:lineRule="auto"/>
        <w:jc w:val="both"/>
        <w:rPr>
          <w:rFonts w:hint="eastAsia" w:ascii="Arial" w:hAnsi="Arial" w:eastAsia="宋体" w:cs="Arial"/>
          <w:color w:val="000000" w:themeColor="text1"/>
          <w:sz w:val="24"/>
          <w:szCs w:val="24"/>
          <w:lang w:val="en-US" w:eastAsia="zh-CN"/>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The clothing retailer can build a strong management by implementing performance based hiring in their Asian countries. This strategy can help the clothing retailer from failing the business relationship with its partners in the new country. The business can improve their cash flow and reduce their expenses by which they can enhance their financial security. On the other hand, effective communication is an important element which needs to be improved otherwise the business relationship of the clothing retailer in the Asian countries might fail. In order to improve business communication, the clothing retailer needs to interact regularly with business partners and their needs to maintain transparency in the business. </w:t>
      </w:r>
      <w:r>
        <w:rPr>
          <w:rFonts w:hint="eastAsia" w:ascii="Arial" w:hAnsi="Arial" w:eastAsia="宋体" w:cs="Arial"/>
          <w:color w:val="000000" w:themeColor="text1"/>
          <w:sz w:val="24"/>
          <w:szCs w:val="24"/>
          <w:lang w:val="en-US" w:eastAsia="zh-CN"/>
          <w14:textFill>
            <w14:solidFill>
              <w14:schemeClr w14:val="tx1"/>
            </w14:solidFill>
          </w14:textFill>
        </w:rPr>
        <w:t xml:space="preserve"> </w:t>
      </w:r>
      <w:r>
        <w:rPr>
          <w:rFonts w:hint="default" w:ascii="Arial" w:hAnsi="Arial" w:cs="Arial"/>
          <w:b/>
          <w:bCs/>
          <w:sz w:val="24"/>
          <w:szCs w:val="24"/>
          <w:lang w:val="en-US" w:eastAsia="zh-CN"/>
        </w:rPr>
        <w:t>word count：2</w:t>
      </w:r>
      <w:r>
        <w:rPr>
          <w:rFonts w:hint="eastAsia" w:cs="Arial"/>
          <w:b/>
          <w:bCs/>
          <w:sz w:val="24"/>
          <w:szCs w:val="24"/>
          <w:lang w:val="en-US" w:eastAsia="zh-CN"/>
        </w:rPr>
        <w:t>455</w:t>
      </w:r>
    </w:p>
    <w:p>
      <w:pPr>
        <w:pStyle w:val="2"/>
        <w:bidi w:val="0"/>
        <w:rPr>
          <w:rFonts w:hint="default" w:ascii="Arial" w:hAnsi="Arial" w:cs="Arial"/>
          <w:lang w:val="en-GB"/>
        </w:rPr>
      </w:pPr>
      <w:bookmarkStart w:id="15" w:name="_Toc7525"/>
      <w:r>
        <w:rPr>
          <w:rFonts w:hint="default" w:ascii="Arial" w:hAnsi="Arial" w:cs="Arial"/>
          <w:lang w:val="en-GB"/>
        </w:rPr>
        <w:t>Appendices</w:t>
      </w:r>
      <w:bookmarkEnd w:id="15"/>
    </w:p>
    <w:p>
      <w:pPr>
        <w:pStyle w:val="3"/>
        <w:numPr>
          <w:ilvl w:val="0"/>
          <w:numId w:val="5"/>
        </w:numPr>
        <w:rPr>
          <w:rFonts w:hint="default" w:ascii="Arial" w:hAnsi="Arial" w:cs="Arial"/>
          <w:sz w:val="24"/>
          <w:szCs w:val="24"/>
          <w:lang w:val="en-GB"/>
        </w:rPr>
      </w:pPr>
      <w:bookmarkStart w:id="16" w:name="_Toc31665"/>
      <w:r>
        <w:rPr>
          <w:rFonts w:hint="default" w:ascii="Arial" w:hAnsi="Arial" w:cs="Arial"/>
          <w:sz w:val="24"/>
          <w:szCs w:val="24"/>
          <w:lang w:val="en-GB"/>
        </w:rPr>
        <w:t>Trompenaars 7 dimensions to culture</w:t>
      </w:r>
      <w:bookmarkEnd w:id="16"/>
    </w:p>
    <w:p>
      <w:pPr>
        <w:spacing w:line="360" w:lineRule="auto"/>
        <w:jc w:val="center"/>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drawing>
          <wp:inline distT="0" distB="0" distL="0" distR="0">
            <wp:extent cx="4761865" cy="4761865"/>
            <wp:effectExtent l="53975" t="38735" r="121920" b="121920"/>
            <wp:docPr id="1" name="Picture 1" descr="Trompenaars and Hampden-Turner Cultural Dimensions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rompenaars and Hampden-Turner Cultural Dimensions - Research-Method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761865" cy="476186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br w:type="page"/>
      </w:r>
    </w:p>
    <w:p>
      <w:pPr>
        <w:pStyle w:val="2"/>
        <w:rPr>
          <w:rFonts w:hint="default" w:ascii="Arial" w:hAnsi="Arial" w:cs="Arial"/>
          <w:sz w:val="28"/>
          <w:szCs w:val="28"/>
          <w:lang w:val="en-GB"/>
        </w:rPr>
      </w:pPr>
      <w:bookmarkStart w:id="17" w:name="_Toc25637"/>
      <w:r>
        <w:rPr>
          <w:rFonts w:hint="default" w:ascii="Arial" w:hAnsi="Arial" w:cs="Arial"/>
          <w:sz w:val="28"/>
          <w:szCs w:val="28"/>
          <w:lang w:val="en-GB"/>
        </w:rPr>
        <w:t>Reference</w:t>
      </w:r>
      <w:bookmarkEnd w:id="17"/>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Ali, B.J., Anwar, G., Gardi, B., Jabbar Othman, B., Mahmood Aziz, H., Ali Ahmed, S., Abdalla Hamza, P., Burhan Ismael, N., Sorguli, S. and Sabir, B.Y. (2021). </w:t>
      </w:r>
      <w:r>
        <w:rPr>
          <w:rFonts w:hint="default" w:ascii="Arial" w:hAnsi="Arial" w:eastAsia="Times New Roman" w:cs="Arial"/>
          <w:i/>
          <w:iCs/>
          <w:color w:val="000000" w:themeColor="text1"/>
          <w:sz w:val="24"/>
          <w:szCs w:val="24"/>
          <w:lang w:val="en-GB"/>
          <w14:textFill>
            <w14:solidFill>
              <w14:schemeClr w14:val="tx1"/>
            </w14:solidFill>
          </w14:textFill>
        </w:rPr>
        <w:t>Business Communication Strategies: Analysis of Internal Communication Processes</w:t>
      </w:r>
      <w:r>
        <w:rPr>
          <w:rFonts w:hint="default" w:ascii="Arial" w:hAnsi="Arial" w:eastAsia="Times New Roman" w:cs="Arial"/>
          <w:color w:val="000000" w:themeColor="text1"/>
          <w:sz w:val="24"/>
          <w:szCs w:val="24"/>
          <w:lang w:val="en-GB"/>
          <w14:textFill>
            <w14:solidFill>
              <w14:schemeClr w14:val="tx1"/>
            </w14:solidFill>
          </w14:textFill>
        </w:rPr>
        <w:t xml:space="preserve">. [online] papers.ssrn.com. Available at: </w:t>
      </w:r>
      <w:r>
        <w:rPr>
          <w:rFonts w:hint="default" w:ascii="Arial" w:hAnsi="Arial" w:cs="Arial"/>
          <w:sz w:val="24"/>
          <w:szCs w:val="24"/>
        </w:rPr>
        <w:fldChar w:fldCharType="begin"/>
      </w:r>
      <w:r>
        <w:rPr>
          <w:rFonts w:hint="default" w:ascii="Arial" w:hAnsi="Arial" w:cs="Arial"/>
          <w:sz w:val="24"/>
          <w:szCs w:val="24"/>
        </w:rPr>
        <w:instrText xml:space="preserve"> HYPERLINK "https://papers.ssrn.com/sol3/papers.cfm?abstract_id=3851326"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https://papers.ssrn.com/sol3/papers.cfm?abstract_id=3851326</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Anshari, M., Almunawar, M.N., Lim, S.A. and Al-Mudimigh, A. (2019). Customer relationship management and big data enabled: Personalization &amp; customization of services. </w:t>
      </w:r>
      <w:r>
        <w:rPr>
          <w:rFonts w:hint="default" w:ascii="Arial" w:hAnsi="Arial" w:eastAsia="Times New Roman" w:cs="Arial"/>
          <w:i/>
          <w:iCs/>
          <w:color w:val="000000" w:themeColor="text1"/>
          <w:sz w:val="24"/>
          <w:szCs w:val="24"/>
          <w:lang w:val="en-GB"/>
          <w14:textFill>
            <w14:solidFill>
              <w14:schemeClr w14:val="tx1"/>
            </w14:solidFill>
          </w14:textFill>
        </w:rPr>
        <w:t>Applied Computing and Informatics</w:t>
      </w:r>
      <w:r>
        <w:rPr>
          <w:rFonts w:hint="default" w:ascii="Arial" w:hAnsi="Arial" w:eastAsia="Times New Roman" w:cs="Arial"/>
          <w:color w:val="000000" w:themeColor="text1"/>
          <w:sz w:val="24"/>
          <w:szCs w:val="24"/>
          <w:lang w:val="en-GB"/>
          <w14:textFill>
            <w14:solidFill>
              <w14:schemeClr w14:val="tx1"/>
            </w14:solidFill>
          </w14:textFill>
        </w:rPr>
        <w:t>, [online] 15(2), pp.94–101.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"file:///C:\\Users\\SHAI%20MOLI%20BASAK\\Downloads\\10.1016\\j.aci.2018.05.004"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10.1016/j.aci.2018.05.004</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Bolten, J. (2020). </w:t>
      </w:r>
      <w:r>
        <w:rPr>
          <w:rFonts w:hint="default" w:ascii="Arial" w:hAnsi="Arial" w:eastAsia="Times New Roman" w:cs="Arial"/>
          <w:i/>
          <w:iCs/>
          <w:color w:val="000000" w:themeColor="text1"/>
          <w:sz w:val="24"/>
          <w:szCs w:val="24"/>
          <w:lang w:val="en-GB"/>
          <w14:textFill>
            <w14:solidFill>
              <w14:schemeClr w14:val="tx1"/>
            </w14:solidFill>
          </w14:textFill>
        </w:rPr>
        <w:t>Intercultural Business Communication: An Interactive Approach</w:t>
      </w:r>
      <w:r>
        <w:rPr>
          <w:rFonts w:hint="default" w:ascii="Arial" w:hAnsi="Arial" w:eastAsia="Times New Roman" w:cs="Arial"/>
          <w:color w:val="000000" w:themeColor="text1"/>
          <w:sz w:val="24"/>
          <w:szCs w:val="24"/>
          <w:lang w:val="en-GB"/>
          <w14:textFill>
            <w14:solidFill>
              <w14:schemeClr w14:val="tx1"/>
            </w14:solidFill>
          </w14:textFill>
        </w:rPr>
        <w:t>. 1st ed. Routledge, pp.139–155.</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Carolina, Ț. (2019). Dimensions of National Culture – Cross-cultural Theories. </w:t>
      </w:r>
      <w:r>
        <w:rPr>
          <w:rFonts w:hint="default" w:ascii="Arial" w:hAnsi="Arial" w:eastAsia="Times New Roman" w:cs="Arial"/>
          <w:i/>
          <w:iCs/>
          <w:color w:val="000000" w:themeColor="text1"/>
          <w:sz w:val="24"/>
          <w:szCs w:val="24"/>
          <w:lang w:val="en-GB"/>
          <w14:textFill>
            <w14:solidFill>
              <w14:schemeClr w14:val="tx1"/>
            </w14:solidFill>
          </w14:textFill>
        </w:rPr>
        <w:t>Studies in Business and Economics</w:t>
      </w:r>
      <w:r>
        <w:rPr>
          <w:rFonts w:hint="default" w:ascii="Arial" w:hAnsi="Arial" w:eastAsia="Times New Roman" w:cs="Arial"/>
          <w:color w:val="000000" w:themeColor="text1"/>
          <w:sz w:val="24"/>
          <w:szCs w:val="24"/>
          <w:lang w:val="en-GB"/>
          <w14:textFill>
            <w14:solidFill>
              <w14:schemeClr w14:val="tx1"/>
            </w14:solidFill>
          </w14:textFill>
        </w:rPr>
        <w:t>, [online] 14(3), pp.220–230.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"file:///C:\\Users\\SHAI%20MOLI%20BASAK\\Downloads\\10.2478\\sbe-2019-0055"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10.2478/sbe-2019-0055</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Chatman, J.E., Johnson, A., White, E. and Bell, R.L. (2020). The leader as effective communicator. </w:t>
      </w:r>
      <w:r>
        <w:rPr>
          <w:rFonts w:hint="default" w:ascii="Arial" w:hAnsi="Arial" w:eastAsia="Times New Roman" w:cs="Arial"/>
          <w:i/>
          <w:iCs/>
          <w:color w:val="000000" w:themeColor="text1"/>
          <w:sz w:val="24"/>
          <w:szCs w:val="24"/>
          <w:lang w:val="en-GB"/>
          <w14:textFill>
            <w14:solidFill>
              <w14:schemeClr w14:val="tx1"/>
            </w14:solidFill>
          </w14:textFill>
        </w:rPr>
        <w:t>American Journal of Management</w:t>
      </w:r>
      <w:r>
        <w:rPr>
          <w:rFonts w:hint="default" w:ascii="Arial" w:hAnsi="Arial" w:eastAsia="Times New Roman" w:cs="Arial"/>
          <w:color w:val="000000" w:themeColor="text1"/>
          <w:sz w:val="24"/>
          <w:szCs w:val="24"/>
          <w:lang w:val="en-GB"/>
          <w14:textFill>
            <w14:solidFill>
              <w14:schemeClr w14:val="tx1"/>
            </w14:solidFill>
          </w14:textFill>
        </w:rPr>
        <w:t>, 20(2), pp.22–32.</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Dalmia, M. (2021). Specific and Diffuse Cultural Orientation How it Impacts Evaluations of Brand Extensions with Varying Category Distance. </w:t>
      </w:r>
      <w:r>
        <w:rPr>
          <w:rFonts w:hint="default" w:ascii="Arial" w:hAnsi="Arial" w:eastAsia="Times New Roman" w:cs="Arial"/>
          <w:i/>
          <w:iCs/>
          <w:color w:val="000000" w:themeColor="text1"/>
          <w:sz w:val="24"/>
          <w:szCs w:val="24"/>
          <w:lang w:val="en-GB"/>
          <w14:textFill>
            <w14:solidFill>
              <w14:schemeClr w14:val="tx1"/>
            </w14:solidFill>
          </w14:textFill>
        </w:rPr>
        <w:t>deepblue.lib.umich.edu</w:t>
      </w:r>
      <w:r>
        <w:rPr>
          <w:rFonts w:hint="default" w:ascii="Arial" w:hAnsi="Arial" w:eastAsia="Times New Roman" w:cs="Arial"/>
          <w:color w:val="000000" w:themeColor="text1"/>
          <w:sz w:val="24"/>
          <w:szCs w:val="24"/>
          <w:lang w:val="en-GB"/>
          <w14:textFill>
            <w14:solidFill>
              <w14:schemeClr w14:val="tx1"/>
            </w14:solidFill>
          </w14:textFill>
        </w:rPr>
        <w:t>. [online]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"file:///C:\\Users\\SHAI%20MOLI%20BASAK\\Downloads\\10.7302\\1279"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10.7302/1279</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de Vasconcellos, S.L., Garrido, I.L. and Parente, R.C. (2019). Organizational creativity as a crucial resource for building international business competence. </w:t>
      </w:r>
      <w:r>
        <w:rPr>
          <w:rFonts w:hint="default" w:ascii="Arial" w:hAnsi="Arial" w:eastAsia="Times New Roman" w:cs="Arial"/>
          <w:i/>
          <w:iCs/>
          <w:color w:val="000000" w:themeColor="text1"/>
          <w:sz w:val="24"/>
          <w:szCs w:val="24"/>
          <w:lang w:val="en-GB"/>
          <w14:textFill>
            <w14:solidFill>
              <w14:schemeClr w14:val="tx1"/>
            </w14:solidFill>
          </w14:textFill>
        </w:rPr>
        <w:t>International Business Review</w:t>
      </w:r>
      <w:r>
        <w:rPr>
          <w:rFonts w:hint="default" w:ascii="Arial" w:hAnsi="Arial" w:eastAsia="Times New Roman" w:cs="Arial"/>
          <w:color w:val="000000" w:themeColor="text1"/>
          <w:sz w:val="24"/>
          <w:szCs w:val="24"/>
          <w:lang w:val="en-GB"/>
          <w14:textFill>
            <w14:solidFill>
              <w14:schemeClr w14:val="tx1"/>
            </w14:solidFill>
          </w14:textFill>
        </w:rPr>
        <w:t>, 28(3), pp.438–449.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"file:///C:\\Users\\SHAI%20MOLI%20BASAK\\Downloads\\10.1016\\j.ibusrev.2018.11.003"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10.1016/j.ibusrev.2018.11.003</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DiJulius, J.R. (2019). </w:t>
      </w:r>
      <w:r>
        <w:rPr>
          <w:rFonts w:hint="default" w:ascii="Arial" w:hAnsi="Arial" w:eastAsia="Times New Roman" w:cs="Arial"/>
          <w:i/>
          <w:iCs/>
          <w:color w:val="000000" w:themeColor="text1"/>
          <w:sz w:val="24"/>
          <w:szCs w:val="24"/>
          <w:lang w:val="en-GB"/>
          <w14:textFill>
            <w14:solidFill>
              <w14:schemeClr w14:val="tx1"/>
            </w14:solidFill>
          </w14:textFill>
        </w:rPr>
        <w:t>The Relationship Economy: Building Stronger Customer Connections in the Digital Age</w:t>
      </w:r>
      <w:r>
        <w:rPr>
          <w:rFonts w:hint="default" w:ascii="Arial" w:hAnsi="Arial" w:eastAsia="Times New Roman" w:cs="Arial"/>
          <w:color w:val="000000" w:themeColor="text1"/>
          <w:sz w:val="24"/>
          <w:szCs w:val="24"/>
          <w:lang w:val="en-GB"/>
          <w14:textFill>
            <w14:solidFill>
              <w14:schemeClr w14:val="tx1"/>
            </w14:solidFill>
          </w14:textFill>
        </w:rPr>
        <w:t xml:space="preserve">. [online] </w:t>
      </w:r>
      <w:r>
        <w:rPr>
          <w:rFonts w:hint="default" w:ascii="Arial" w:hAnsi="Arial" w:eastAsia="Times New Roman" w:cs="Arial"/>
          <w:i/>
          <w:iCs/>
          <w:color w:val="000000" w:themeColor="text1"/>
          <w:sz w:val="24"/>
          <w:szCs w:val="24"/>
          <w:lang w:val="en-GB"/>
          <w14:textFill>
            <w14:solidFill>
              <w14:schemeClr w14:val="tx1"/>
            </w14:solidFill>
          </w14:textFill>
        </w:rPr>
        <w:t>Google Books</w:t>
      </w:r>
      <w:r>
        <w:rPr>
          <w:rFonts w:hint="default" w:ascii="Arial" w:hAnsi="Arial" w:eastAsia="Times New Roman" w:cs="Arial"/>
          <w:color w:val="000000" w:themeColor="text1"/>
          <w:sz w:val="24"/>
          <w:szCs w:val="24"/>
          <w:lang w:val="en-GB"/>
          <w14:textFill>
            <w14:solidFill>
              <w14:schemeClr w14:val="tx1"/>
            </w14:solidFill>
          </w14:textFill>
        </w:rPr>
        <w:t xml:space="preserve">. Greenleaf Book Group. Available at: </w:t>
      </w:r>
      <w:r>
        <w:rPr>
          <w:rFonts w:hint="default" w:ascii="Arial" w:hAnsi="Arial" w:cs="Arial"/>
          <w:sz w:val="24"/>
          <w:szCs w:val="24"/>
        </w:rPr>
        <w:fldChar w:fldCharType="begin"/>
      </w:r>
      <w:r>
        <w:rPr>
          <w:rFonts w:hint="default" w:ascii="Arial" w:hAnsi="Arial" w:cs="Arial"/>
          <w:sz w:val="24"/>
          <w:szCs w:val="24"/>
        </w:rPr>
        <w:instrText xml:space="preserve"> HYPERLINK "https://books.google.com/books?hl=en&amp;lr=&amp;id=XnSqDwAAQBAJ&amp;oi=fnd&amp;pg=PT8&amp;dq=Importance+of+building+relationships+in+business&amp;ots=yk8owksG8l&amp;sig=18JX7rKCBRwHQmlYRnzk_XJxJfo"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https://books.google.com/books?hl=en&amp;lr=&amp;id=XnSqDwAAQBAJ&amp;oi=fnd&amp;pg=PT8&amp;dq=Importance+of+building+relationships+in+business&amp;ots=yk8owksG8l&amp;sig=18JX7rKCBRwHQmlYRnzk_XJxJfo</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 xml:space="preserve"> [Accessed 19 Dec. 2022].</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Erkek, G. and Batur, Z. (2019). Activity Suggestions for Improving Critical Listening Skills. </w:t>
      </w:r>
      <w:r>
        <w:rPr>
          <w:rFonts w:hint="default" w:ascii="Arial" w:hAnsi="Arial" w:eastAsia="Times New Roman" w:cs="Arial"/>
          <w:i/>
          <w:iCs/>
          <w:color w:val="000000" w:themeColor="text1"/>
          <w:sz w:val="24"/>
          <w:szCs w:val="24"/>
          <w:lang w:val="en-GB"/>
          <w14:textFill>
            <w14:solidFill>
              <w14:schemeClr w14:val="tx1"/>
            </w14:solidFill>
          </w14:textFill>
        </w:rPr>
        <w:t>Educational Research and Reviews</w:t>
      </w:r>
      <w:r>
        <w:rPr>
          <w:rFonts w:hint="default" w:ascii="Arial" w:hAnsi="Arial" w:eastAsia="Times New Roman" w:cs="Arial"/>
          <w:color w:val="000000" w:themeColor="text1"/>
          <w:sz w:val="24"/>
          <w:szCs w:val="24"/>
          <w:lang w:val="en-GB"/>
          <w14:textFill>
            <w14:solidFill>
              <w14:schemeClr w14:val="tx1"/>
            </w14:solidFill>
          </w14:textFill>
        </w:rPr>
        <w:t xml:space="preserve">, [online] 14(17), pp.639–646. Available at: </w:t>
      </w:r>
      <w:r>
        <w:rPr>
          <w:rFonts w:hint="default" w:ascii="Arial" w:hAnsi="Arial" w:cs="Arial"/>
          <w:sz w:val="24"/>
          <w:szCs w:val="24"/>
        </w:rPr>
        <w:fldChar w:fldCharType="begin"/>
      </w:r>
      <w:r>
        <w:rPr>
          <w:rFonts w:hint="default" w:ascii="Arial" w:hAnsi="Arial" w:cs="Arial"/>
          <w:sz w:val="24"/>
          <w:szCs w:val="24"/>
        </w:rPr>
        <w:instrText xml:space="preserve"> HYPERLINK "https://eric.ed.gov/?id=EJ1236179"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https://eric.ed.gov/?id=EJ1236179</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Falcão, P., Ramalho, N. and Nobre, M. (2020). Stakeholder management: the new role of business diplomacy. </w:t>
      </w:r>
      <w:r>
        <w:rPr>
          <w:rFonts w:hint="default" w:ascii="Arial" w:hAnsi="Arial" w:eastAsia="Times New Roman" w:cs="Arial"/>
          <w:i/>
          <w:iCs/>
          <w:color w:val="000000" w:themeColor="text1"/>
          <w:sz w:val="24"/>
          <w:szCs w:val="24"/>
          <w:lang w:val="en-GB"/>
          <w14:textFill>
            <w14:solidFill>
              <w14:schemeClr w14:val="tx1"/>
            </w14:solidFill>
          </w14:textFill>
        </w:rPr>
        <w:t>Journal of Business Strategy</w:t>
      </w:r>
      <w:r>
        <w:rPr>
          <w:rFonts w:hint="default" w:ascii="Arial" w:hAnsi="Arial" w:eastAsia="Times New Roman" w:cs="Arial"/>
          <w:color w:val="000000" w:themeColor="text1"/>
          <w:sz w:val="24"/>
          <w:szCs w:val="24"/>
          <w:lang w:val="en-GB"/>
          <w14:textFill>
            <w14:solidFill>
              <w14:schemeClr w14:val="tx1"/>
            </w14:solidFill>
          </w14:textFill>
        </w:rPr>
        <w:t>, ahead-of-print(ahead-of-print).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"file:///C:\\Users\\SHAI%20MOLI%20BASAK\\Downloads\\10.1108\\jbs-01-2020-0016"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10.1108/jbs-01-2020-0016</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Gidron, N., Adams, J. and Horne, W. (2020). American Affective Polarization in Comparative Perspective.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"file:///C:\\Users\\SHAI%20MOLI%20BASAK\\Downloads\\10.1017\\9781108914123"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10.1017/9781108914123</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Haugen, J. and Lucas, K. (2018). Unify and present: Using Monroe’s Motivated Sequence to teach team presentation skills. </w:t>
      </w:r>
      <w:r>
        <w:rPr>
          <w:rFonts w:hint="default" w:ascii="Arial" w:hAnsi="Arial" w:eastAsia="Times New Roman" w:cs="Arial"/>
          <w:i/>
          <w:iCs/>
          <w:color w:val="000000" w:themeColor="text1"/>
          <w:sz w:val="24"/>
          <w:szCs w:val="24"/>
          <w:lang w:val="en-GB"/>
          <w14:textFill>
            <w14:solidFill>
              <w14:schemeClr w14:val="tx1"/>
            </w14:solidFill>
          </w14:textFill>
        </w:rPr>
        <w:t>Communication Teacher</w:t>
      </w:r>
      <w:r>
        <w:rPr>
          <w:rFonts w:hint="default" w:ascii="Arial" w:hAnsi="Arial" w:eastAsia="Times New Roman" w:cs="Arial"/>
          <w:color w:val="000000" w:themeColor="text1"/>
          <w:sz w:val="24"/>
          <w:szCs w:val="24"/>
          <w:lang w:val="en-GB"/>
          <w14:textFill>
            <w14:solidFill>
              <w14:schemeClr w14:val="tx1"/>
            </w14:solidFill>
          </w14:textFill>
        </w:rPr>
        <w:t>, 33(2), pp.112–116.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"file:///C:\\Users\\SHAI%20MOLI%20BASAK\\Downloads\\10.1080\\17404622.2018.1502886"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10.1080/17404622.2018.1502886</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Hefner, R.W. (2018). </w:t>
      </w:r>
      <w:r>
        <w:rPr>
          <w:rFonts w:hint="default" w:ascii="Arial" w:hAnsi="Arial" w:eastAsia="Times New Roman" w:cs="Arial"/>
          <w:i/>
          <w:iCs/>
          <w:color w:val="000000" w:themeColor="text1"/>
          <w:sz w:val="24"/>
          <w:szCs w:val="24"/>
          <w:lang w:val="en-GB"/>
          <w14:textFill>
            <w14:solidFill>
              <w14:schemeClr w14:val="tx1"/>
            </w14:solidFill>
          </w14:textFill>
        </w:rPr>
        <w:t>Market Cultures: Society And Morality In The New Asian Capitalisms</w:t>
      </w:r>
      <w:r>
        <w:rPr>
          <w:rFonts w:hint="default" w:ascii="Arial" w:hAnsi="Arial" w:eastAsia="Times New Roman" w:cs="Arial"/>
          <w:color w:val="000000" w:themeColor="text1"/>
          <w:sz w:val="24"/>
          <w:szCs w:val="24"/>
          <w:lang w:val="en-GB"/>
          <w14:textFill>
            <w14:solidFill>
              <w14:schemeClr w14:val="tx1"/>
            </w14:solidFill>
          </w14:textFill>
        </w:rPr>
        <w:t xml:space="preserve">. [online] </w:t>
      </w:r>
      <w:r>
        <w:rPr>
          <w:rFonts w:hint="default" w:ascii="Arial" w:hAnsi="Arial" w:eastAsia="Times New Roman" w:cs="Arial"/>
          <w:i/>
          <w:iCs/>
          <w:color w:val="000000" w:themeColor="text1"/>
          <w:sz w:val="24"/>
          <w:szCs w:val="24"/>
          <w:lang w:val="en-GB"/>
          <w14:textFill>
            <w14:solidFill>
              <w14:schemeClr w14:val="tx1"/>
            </w14:solidFill>
          </w14:textFill>
        </w:rPr>
        <w:t>Google Books</w:t>
      </w:r>
      <w:r>
        <w:rPr>
          <w:rFonts w:hint="default" w:ascii="Arial" w:hAnsi="Arial" w:eastAsia="Times New Roman" w:cs="Arial"/>
          <w:color w:val="000000" w:themeColor="text1"/>
          <w:sz w:val="24"/>
          <w:szCs w:val="24"/>
          <w:lang w:val="en-GB"/>
          <w14:textFill>
            <w14:solidFill>
              <w14:schemeClr w14:val="tx1"/>
            </w14:solidFill>
          </w14:textFill>
        </w:rPr>
        <w:t xml:space="preserve">. Routledge. Available at: </w:t>
      </w:r>
      <w:r>
        <w:rPr>
          <w:rFonts w:hint="default" w:ascii="Arial" w:hAnsi="Arial" w:cs="Arial"/>
          <w:sz w:val="24"/>
          <w:szCs w:val="24"/>
        </w:rPr>
        <w:fldChar w:fldCharType="begin"/>
      </w:r>
      <w:r>
        <w:rPr>
          <w:rFonts w:hint="default" w:ascii="Arial" w:hAnsi="Arial" w:cs="Arial"/>
          <w:sz w:val="24"/>
          <w:szCs w:val="24"/>
        </w:rPr>
        <w:instrText xml:space="preserve"> HYPERLINK "https://books.google.com/books?hl=en&amp;lr=&amp;id=HwDFDwAAQBAJ&amp;oi=fnd&amp;pg=PP1&amp;dq=asian+business+Culture.&amp;ots=DP7pqNPoxr&amp;sig=zf7qUaTvgxNtCDpVRtNIHdoKdOI"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https://books.google.com/books?hl=en&amp;lr=&amp;id=HwDFDwAAQBAJ&amp;oi=fnd&amp;pg=PP1&amp;dq=asian+business+Culture.&amp;ots=DP7pqNPoxr&amp;sig=zf7qUaTvgxNtCDpVRtNIHdoKdOI</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 xml:space="preserve"> [Accessed 19 Dec. 2022].</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Irwin, H. (2020). </w:t>
      </w:r>
      <w:r>
        <w:rPr>
          <w:rFonts w:hint="default" w:ascii="Arial" w:hAnsi="Arial" w:eastAsia="Times New Roman" w:cs="Arial"/>
          <w:i/>
          <w:iCs/>
          <w:color w:val="000000" w:themeColor="text1"/>
          <w:sz w:val="24"/>
          <w:szCs w:val="24"/>
          <w:lang w:val="en-GB"/>
          <w14:textFill>
            <w14:solidFill>
              <w14:schemeClr w14:val="tx1"/>
            </w14:solidFill>
          </w14:textFill>
        </w:rPr>
        <w:t>Communicating with Asia</w:t>
      </w:r>
      <w:r>
        <w:rPr>
          <w:rFonts w:hint="default" w:ascii="Arial" w:hAnsi="Arial" w:eastAsia="Times New Roman" w:cs="Arial"/>
          <w:color w:val="000000" w:themeColor="text1"/>
          <w:sz w:val="24"/>
          <w:szCs w:val="24"/>
          <w:lang w:val="en-GB"/>
          <w14:textFill>
            <w14:solidFill>
              <w14:schemeClr w14:val="tx1"/>
            </w14:solidFill>
          </w14:textFill>
        </w:rPr>
        <w:t>. 1st ed. London: Routledge, p.200.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"file:///C:\\Users\\SHAI%20MOLI%20BASAK\\Downloads\\10.4324\\9781003134763"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10.4324/9781003134763</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Kaur, K., Suppiah, P.C., Arumugam, N. and Idham, M. (2022). Politeness and Negotiation Strategies in Handling Customers: Conflict-Resolution. </w:t>
      </w:r>
      <w:r>
        <w:rPr>
          <w:rFonts w:hint="default" w:ascii="Arial" w:hAnsi="Arial" w:eastAsia="Times New Roman" w:cs="Arial"/>
          <w:i/>
          <w:iCs/>
          <w:color w:val="000000" w:themeColor="text1"/>
          <w:sz w:val="24"/>
          <w:szCs w:val="24"/>
          <w:lang w:val="en-GB"/>
          <w14:textFill>
            <w14:solidFill>
              <w14:schemeClr w14:val="tx1"/>
            </w14:solidFill>
          </w14:textFill>
        </w:rPr>
        <w:t>International Journal of Academic Research in Business and Social Sciences</w:t>
      </w:r>
      <w:r>
        <w:rPr>
          <w:rFonts w:hint="default" w:ascii="Arial" w:hAnsi="Arial" w:eastAsia="Times New Roman" w:cs="Arial"/>
          <w:color w:val="000000" w:themeColor="text1"/>
          <w:sz w:val="24"/>
          <w:szCs w:val="24"/>
          <w:lang w:val="en-GB"/>
          <w14:textFill>
            <w14:solidFill>
              <w14:schemeClr w14:val="tx1"/>
            </w14:solidFill>
          </w14:textFill>
        </w:rPr>
        <w:t>, 12(8).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"file:///C:\\Users\\SHAI%20MOLI%20BASAK\\Downloads\\10.6007\\ijarbss\\v12-i8\\14669"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10.6007/ijarbss/v12-i8/14669</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Meyer, E. (2017). </w:t>
      </w:r>
      <w:r>
        <w:rPr>
          <w:rFonts w:hint="default" w:ascii="Arial" w:hAnsi="Arial" w:eastAsia="Times New Roman" w:cs="Arial"/>
          <w:i/>
          <w:iCs/>
          <w:color w:val="000000" w:themeColor="text1"/>
          <w:sz w:val="24"/>
          <w:szCs w:val="24"/>
          <w:lang w:val="en-GB"/>
          <w14:textFill>
            <w14:solidFill>
              <w14:schemeClr w14:val="tx1"/>
            </w14:solidFill>
          </w14:textFill>
        </w:rPr>
        <w:t>How Cultures Across the World Approach Leadership</w:t>
      </w:r>
      <w:r>
        <w:rPr>
          <w:rFonts w:hint="default" w:ascii="Arial" w:hAnsi="Arial" w:eastAsia="Times New Roman" w:cs="Arial"/>
          <w:color w:val="000000" w:themeColor="text1"/>
          <w:sz w:val="24"/>
          <w:szCs w:val="24"/>
          <w:lang w:val="en-GB"/>
          <w14:textFill>
            <w14:solidFill>
              <w14:schemeClr w14:val="tx1"/>
            </w14:solidFill>
          </w14:textFill>
        </w:rPr>
        <w:t xml:space="preserve">. [online] hbr.org. Available at: </w:t>
      </w:r>
      <w:r>
        <w:rPr>
          <w:rFonts w:hint="default" w:ascii="Arial" w:hAnsi="Arial" w:cs="Arial"/>
          <w:sz w:val="24"/>
          <w:szCs w:val="24"/>
        </w:rPr>
        <w:fldChar w:fldCharType="begin"/>
      </w:r>
      <w:r>
        <w:rPr>
          <w:rFonts w:hint="default" w:ascii="Arial" w:hAnsi="Arial" w:cs="Arial"/>
          <w:sz w:val="24"/>
          <w:szCs w:val="24"/>
        </w:rPr>
        <w:instrText xml:space="preserve"> HYPERLINK "https://hbr.org/video/5476393165001/how-cultures-across-"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https://hbr.org/video/5476393165001/how-cultures-across-</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 xml:space="preserve"> [Accessed 19 Dec. 2022].</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Murphy, D.F. and Marshall, A. (2020). </w:t>
      </w:r>
      <w:r>
        <w:rPr>
          <w:rFonts w:hint="default" w:ascii="Arial" w:hAnsi="Arial" w:eastAsia="Times New Roman" w:cs="Arial"/>
          <w:i/>
          <w:iCs/>
          <w:color w:val="000000" w:themeColor="text1"/>
          <w:sz w:val="24"/>
          <w:szCs w:val="24"/>
          <w:lang w:val="en-GB"/>
          <w14:textFill>
            <w14:solidFill>
              <w14:schemeClr w14:val="tx1"/>
            </w14:solidFill>
          </w14:textFill>
        </w:rPr>
        <w:t>Citizenship and Sustainability in Organizations: Exploring and Spanning the Boundaries</w:t>
      </w:r>
      <w:r>
        <w:rPr>
          <w:rFonts w:hint="default" w:ascii="Arial" w:hAnsi="Arial" w:eastAsia="Times New Roman" w:cs="Arial"/>
          <w:color w:val="000000" w:themeColor="text1"/>
          <w:sz w:val="24"/>
          <w:szCs w:val="24"/>
          <w:lang w:val="en-GB"/>
          <w14:textFill>
            <w14:solidFill>
              <w14:schemeClr w14:val="tx1"/>
            </w14:solidFill>
          </w14:textFill>
        </w:rPr>
        <w:t xml:space="preserve">. [online] </w:t>
      </w:r>
      <w:r>
        <w:rPr>
          <w:rFonts w:hint="default" w:ascii="Arial" w:hAnsi="Arial" w:eastAsia="Times New Roman" w:cs="Arial"/>
          <w:i/>
          <w:iCs/>
          <w:color w:val="000000" w:themeColor="text1"/>
          <w:sz w:val="24"/>
          <w:szCs w:val="24"/>
          <w:lang w:val="en-GB"/>
          <w14:textFill>
            <w14:solidFill>
              <w14:schemeClr w14:val="tx1"/>
            </w14:solidFill>
          </w14:textFill>
        </w:rPr>
        <w:t>Google Books</w:t>
      </w:r>
      <w:r>
        <w:rPr>
          <w:rFonts w:hint="default" w:ascii="Arial" w:hAnsi="Arial" w:eastAsia="Times New Roman" w:cs="Arial"/>
          <w:color w:val="000000" w:themeColor="text1"/>
          <w:sz w:val="24"/>
          <w:szCs w:val="24"/>
          <w:lang w:val="en-GB"/>
          <w14:textFill>
            <w14:solidFill>
              <w14:schemeClr w14:val="tx1"/>
            </w14:solidFill>
          </w14:textFill>
        </w:rPr>
        <w:t xml:space="preserve">. Routledge. Available at: </w:t>
      </w:r>
      <w:r>
        <w:rPr>
          <w:rFonts w:hint="default" w:ascii="Arial" w:hAnsi="Arial" w:cs="Arial"/>
          <w:sz w:val="24"/>
          <w:szCs w:val="24"/>
        </w:rPr>
        <w:fldChar w:fldCharType="begin"/>
      </w:r>
      <w:r>
        <w:rPr>
          <w:rFonts w:hint="default" w:ascii="Arial" w:hAnsi="Arial" w:cs="Arial"/>
          <w:sz w:val="24"/>
          <w:szCs w:val="24"/>
        </w:rPr>
        <w:instrText xml:space="preserve"> HYPERLINK "https://books.google.com/books?hl=en&amp;lr=&amp;id=PW0LEAAAQBAJ&amp;oi=fnd&amp;pg=PT100&amp;dq=Collaboration+skills+in+business&amp;ots=Dj2Cqg7liK&amp;sig=V9vR6K0YKagiTW6qCkyYm5fpPz4"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https://books.google.com/books?hl=en&amp;lr=&amp;id=PW0LEAAAQBAJ&amp;oi=fnd&amp;pg=PT100&amp;dq=Collaboration+skills+in+business&amp;ots=Dj2Cqg7liK&amp;sig=V9vR6K0YKagiTW6qCkyYm5fpPz4</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 xml:space="preserve"> [Accessed 19 Dec. 2022].</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Myles, N.O. (2018). ‘The individual’ in the individualism/communitarianism debate: In defense of personism. </w:t>
      </w:r>
      <w:r>
        <w:rPr>
          <w:rFonts w:hint="default" w:ascii="Arial" w:hAnsi="Arial" w:eastAsia="Times New Roman" w:cs="Arial"/>
          <w:i/>
          <w:iCs/>
          <w:color w:val="000000" w:themeColor="text1"/>
          <w:sz w:val="24"/>
          <w:szCs w:val="24"/>
          <w:lang w:val="en-GB"/>
          <w14:textFill>
            <w14:solidFill>
              <w14:schemeClr w14:val="tx1"/>
            </w14:solidFill>
          </w14:textFill>
        </w:rPr>
        <w:t>Legon Journal of the Humanities</w:t>
      </w:r>
      <w:r>
        <w:rPr>
          <w:rFonts w:hint="default" w:ascii="Arial" w:hAnsi="Arial" w:eastAsia="Times New Roman" w:cs="Arial"/>
          <w:color w:val="000000" w:themeColor="text1"/>
          <w:sz w:val="24"/>
          <w:szCs w:val="24"/>
          <w:lang w:val="en-GB"/>
          <w14:textFill>
            <w14:solidFill>
              <w14:schemeClr w14:val="tx1"/>
            </w14:solidFill>
          </w14:textFill>
        </w:rPr>
        <w:t>, [online] 29(2), pp.241–263.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"file:///C:\\Users\\SHAI%20MOLI%20BASAK\\Downloads\\10.4314\\ljh.v29i2"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10.4314/ljh.v29i2</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Purvanova, R.K., Charlier, S.D., Reeves, C.J. and Greco, L.M. (2020). Who Emerges into Virtual Team Leadership Roles? The Role of Achievement and Ascription Antecedents for Leadership Emergence Across the Virtuality Spectrum. </w:t>
      </w:r>
      <w:r>
        <w:rPr>
          <w:rFonts w:hint="default" w:ascii="Arial" w:hAnsi="Arial" w:eastAsia="Times New Roman" w:cs="Arial"/>
          <w:i/>
          <w:iCs/>
          <w:color w:val="000000" w:themeColor="text1"/>
          <w:sz w:val="24"/>
          <w:szCs w:val="24"/>
          <w:lang w:val="en-GB"/>
          <w14:textFill>
            <w14:solidFill>
              <w14:schemeClr w14:val="tx1"/>
            </w14:solidFill>
          </w14:textFill>
        </w:rPr>
        <w:t>Journal of Business and Psychology</w:t>
      </w:r>
      <w:r>
        <w:rPr>
          <w:rFonts w:hint="default" w:ascii="Arial" w:hAnsi="Arial" w:eastAsia="Times New Roman" w:cs="Arial"/>
          <w:color w:val="000000" w:themeColor="text1"/>
          <w:sz w:val="24"/>
          <w:szCs w:val="24"/>
          <w:lang w:val="en-GB"/>
          <w14:textFill>
            <w14:solidFill>
              <w14:schemeClr w14:val="tx1"/>
            </w14:solidFill>
          </w14:textFill>
        </w:rPr>
        <w:t>.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"file:///C:\\Users\\SHAI%20MOLI%20BASAK\\Downloads\\10.1007\\s10869-020-09698-0"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10.1007/s10869-020-09698-0</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Reshetnikova, N., Magomedov, M., Buklanov, D. and Zakharchenko, E. (2018). The International Business Cooperation and Its Influence on Enterprise Financial Security Under Globalization. </w:t>
      </w:r>
      <w:r>
        <w:rPr>
          <w:rFonts w:hint="default" w:ascii="Arial" w:hAnsi="Arial" w:eastAsia="Times New Roman" w:cs="Arial"/>
          <w:i/>
          <w:iCs/>
          <w:color w:val="000000" w:themeColor="text1"/>
          <w:sz w:val="24"/>
          <w:szCs w:val="24"/>
          <w:lang w:val="en-GB"/>
          <w14:textFill>
            <w14:solidFill>
              <w14:schemeClr w14:val="tx1"/>
            </w14:solidFill>
          </w14:textFill>
        </w:rPr>
        <w:t>The Future of the Global Financial System: Downfall or Harmony</w:t>
      </w:r>
      <w:r>
        <w:rPr>
          <w:rFonts w:hint="default" w:ascii="Arial" w:hAnsi="Arial" w:eastAsia="Times New Roman" w:cs="Arial"/>
          <w:color w:val="000000" w:themeColor="text1"/>
          <w:sz w:val="24"/>
          <w:szCs w:val="24"/>
          <w:lang w:val="en-GB"/>
          <w14:textFill>
            <w14:solidFill>
              <w14:schemeClr w14:val="tx1"/>
            </w14:solidFill>
          </w14:textFill>
        </w:rPr>
        <w:t>, pp.294–308.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"file:///C:\\Users\\SHAI%20MOLI%20BASAK\\Downloads\\10.1007\\978-3-030-00102-5_31"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10.1007/978-3-030-00102-5_31</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Roberson, Q.M. (2019). Diversity in the Workplace: A Review, Synthesis, and Future Research Agenda. </w:t>
      </w:r>
      <w:r>
        <w:rPr>
          <w:rFonts w:hint="default" w:ascii="Arial" w:hAnsi="Arial" w:eastAsia="Times New Roman" w:cs="Arial"/>
          <w:i/>
          <w:iCs/>
          <w:color w:val="000000" w:themeColor="text1"/>
          <w:sz w:val="24"/>
          <w:szCs w:val="24"/>
          <w:lang w:val="en-GB"/>
          <w14:textFill>
            <w14:solidFill>
              <w14:schemeClr w14:val="tx1"/>
            </w14:solidFill>
          </w14:textFill>
        </w:rPr>
        <w:t>Annual Review of Organizational Psychology and Organizational Behavior</w:t>
      </w:r>
      <w:r>
        <w:rPr>
          <w:rFonts w:hint="default" w:ascii="Arial" w:hAnsi="Arial" w:eastAsia="Times New Roman" w:cs="Arial"/>
          <w:color w:val="000000" w:themeColor="text1"/>
          <w:sz w:val="24"/>
          <w:szCs w:val="24"/>
          <w:lang w:val="en-GB"/>
          <w14:textFill>
            <w14:solidFill>
              <w14:schemeClr w14:val="tx1"/>
            </w14:solidFill>
          </w14:textFill>
        </w:rPr>
        <w:t>, 6(1), pp.69–88.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"file:///C:\\Users\\SHAI%20MOLI%20BASAK\\Downloads\\10.1146\\annurev-orgpsych-012218-015243"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10.1146/annurev-orgpsych-012218-015243</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Rosa, G., Ostrowska, I., Gracz, L. and Slupinska, K. (2018). </w:t>
      </w:r>
      <w:r>
        <w:rPr>
          <w:rFonts w:hint="default" w:ascii="Arial" w:hAnsi="Arial" w:eastAsia="Times New Roman" w:cs="Arial"/>
          <w:i/>
          <w:iCs/>
          <w:color w:val="000000" w:themeColor="text1"/>
          <w:sz w:val="24"/>
          <w:szCs w:val="24"/>
          <w:lang w:val="en-GB"/>
          <w14:textFill>
            <w14:solidFill>
              <w14:schemeClr w14:val="tx1"/>
            </w14:solidFill>
          </w14:textFill>
        </w:rPr>
        <w:t>WRITTEN COMMUNICATION OF A LARGE ORGANIZATION WITH INSTITUTIONAL CUSTOMERS</w:t>
      </w:r>
      <w:r>
        <w:rPr>
          <w:rFonts w:hint="default" w:ascii="Arial" w:hAnsi="Arial" w:eastAsia="Times New Roman" w:cs="Arial"/>
          <w:color w:val="000000" w:themeColor="text1"/>
          <w:sz w:val="24"/>
          <w:szCs w:val="24"/>
          <w:lang w:val="en-GB"/>
          <w14:textFill>
            <w14:solidFill>
              <w14:schemeClr w14:val="tx1"/>
            </w14:solidFill>
          </w14:textFill>
        </w:rPr>
        <w:t>. Online ed. pp.85–94.</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Sattorovich, J. (2020). INTERCULTURAL DIFFERENCE PARAMETERS: HOFSTEDE AND TROMPENAARS THEORIES. </w:t>
      </w:r>
      <w:r>
        <w:rPr>
          <w:rFonts w:hint="default" w:ascii="Arial" w:hAnsi="Arial" w:eastAsia="Times New Roman" w:cs="Arial"/>
          <w:i/>
          <w:iCs/>
          <w:color w:val="000000" w:themeColor="text1"/>
          <w:sz w:val="24"/>
          <w:szCs w:val="24"/>
          <w:lang w:val="en-GB"/>
          <w14:textFill>
            <w14:solidFill>
              <w14:schemeClr w14:val="tx1"/>
            </w14:solidFill>
          </w14:textFill>
        </w:rPr>
        <w:t>European Journal of Research and Reflection in Educational Sciences</w:t>
      </w:r>
      <w:r>
        <w:rPr>
          <w:rFonts w:hint="default" w:ascii="Arial" w:hAnsi="Arial" w:eastAsia="Times New Roman" w:cs="Arial"/>
          <w:color w:val="000000" w:themeColor="text1"/>
          <w:sz w:val="24"/>
          <w:szCs w:val="24"/>
          <w:lang w:val="en-GB"/>
          <w14:textFill>
            <w14:solidFill>
              <w14:schemeClr w14:val="tx1"/>
            </w14:solidFill>
          </w14:textFill>
        </w:rPr>
        <w:t xml:space="preserve">, [online] 8(11). Available at: </w:t>
      </w:r>
      <w:r>
        <w:rPr>
          <w:rFonts w:hint="default" w:ascii="Arial" w:hAnsi="Arial" w:cs="Arial"/>
          <w:sz w:val="24"/>
          <w:szCs w:val="24"/>
        </w:rPr>
        <w:fldChar w:fldCharType="begin"/>
      </w:r>
      <w:r>
        <w:rPr>
          <w:rFonts w:hint="default" w:ascii="Arial" w:hAnsi="Arial" w:cs="Arial"/>
          <w:sz w:val="24"/>
          <w:szCs w:val="24"/>
        </w:rPr>
        <w:instrText xml:space="preserve"> HYPERLINK "https://uniwork.buxdu.uz/resurs/12547_1_254C840264D12E1ED12D280C545FD07FDF196E34.pdf"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https://uniwork.buxdu.uz/resurs/12547_1_254C840264D12E1ED12D280C545FD07FDF196E34.pdf</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 xml:space="preserve"> [Accessed 25 Nov. 2022].</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SEMBILAN, P.S.K.N. and HAMDAN, N.I.B. (2018). </w:t>
      </w:r>
      <w:r>
        <w:rPr>
          <w:rFonts w:hint="default" w:ascii="Arial" w:hAnsi="Arial" w:eastAsia="Times New Roman" w:cs="Arial"/>
          <w:i/>
          <w:iCs/>
          <w:color w:val="000000" w:themeColor="text1"/>
          <w:sz w:val="24"/>
          <w:szCs w:val="24"/>
          <w:lang w:val="en-GB"/>
          <w14:textFill>
            <w14:solidFill>
              <w14:schemeClr w14:val="tx1"/>
            </w14:solidFill>
          </w14:textFill>
        </w:rPr>
        <w:t>MEASURING EFFECTIVE COMMUNICATION AS A TOOL FOR ACHIEVING ORGANIZATIONAL OBJECTIVE IN PEJABAT SETIAUSAHA KERAJAAN NEGERI SEMBILAN</w:t>
      </w:r>
      <w:r>
        <w:rPr>
          <w:rFonts w:hint="default" w:ascii="Arial" w:hAnsi="Arial" w:eastAsia="Times New Roman" w:cs="Arial"/>
          <w:color w:val="000000" w:themeColor="text1"/>
          <w:sz w:val="24"/>
          <w:szCs w:val="24"/>
          <w:lang w:val="en-GB"/>
          <w14:textFill>
            <w14:solidFill>
              <w14:schemeClr w14:val="tx1"/>
            </w14:solidFill>
          </w14:textFill>
        </w:rPr>
        <w:t xml:space="preserve">. [online] Available at: </w:t>
      </w:r>
      <w:r>
        <w:rPr>
          <w:rFonts w:hint="default" w:ascii="Arial" w:hAnsi="Arial" w:cs="Arial"/>
          <w:sz w:val="24"/>
          <w:szCs w:val="24"/>
        </w:rPr>
        <w:fldChar w:fldCharType="begin"/>
      </w:r>
      <w:r>
        <w:rPr>
          <w:rFonts w:hint="default" w:ascii="Arial" w:hAnsi="Arial" w:cs="Arial"/>
          <w:sz w:val="24"/>
          <w:szCs w:val="24"/>
        </w:rPr>
        <w:instrText xml:space="preserve"> HYPERLINK "https://core.ac.uk/download/pdf/195385892.pdf"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https://core.ac.uk/download/pdf/195385892.pdf</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 xml:space="preserve"> [Accessed 19 Dec. 2022].</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Wallensteen, P. (2021). Universalism Versus Particularism: On the Limits of Major Power Order. </w:t>
      </w:r>
      <w:r>
        <w:rPr>
          <w:rFonts w:hint="default" w:ascii="Arial" w:hAnsi="Arial" w:eastAsia="Times New Roman" w:cs="Arial"/>
          <w:i/>
          <w:iCs/>
          <w:color w:val="000000" w:themeColor="text1"/>
          <w:sz w:val="24"/>
          <w:szCs w:val="24"/>
          <w:lang w:val="en-GB"/>
          <w14:textFill>
            <w14:solidFill>
              <w14:schemeClr w14:val="tx1"/>
            </w14:solidFill>
          </w14:textFill>
        </w:rPr>
        <w:t>Pioneers in Arts, Humanities, Science, Engineering, Practice</w:t>
      </w:r>
      <w:r>
        <w:rPr>
          <w:rFonts w:hint="default" w:ascii="Arial" w:hAnsi="Arial" w:eastAsia="Times New Roman" w:cs="Arial"/>
          <w:color w:val="000000" w:themeColor="text1"/>
          <w:sz w:val="24"/>
          <w:szCs w:val="24"/>
          <w:lang w:val="en-GB"/>
          <w14:textFill>
            <w14:solidFill>
              <w14:schemeClr w14:val="tx1"/>
            </w14:solidFill>
          </w14:textFill>
        </w:rPr>
        <w:t>, pp.301–319.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"file:///C:\\Users\\SHAI%20MOLI%20BASAK\\Downloads\\10.1007\\978-3-030-62848-2_16"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10.1007/978-3-030-62848-2_16</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Yang, X., Hou, J. and Arth, Z.W. (2020). Communicating in a proper way: How people from high-/low-context culture choose their media for communication. </w:t>
      </w:r>
      <w:r>
        <w:rPr>
          <w:rFonts w:hint="default" w:ascii="Arial" w:hAnsi="Arial" w:eastAsia="Times New Roman" w:cs="Arial"/>
          <w:i/>
          <w:iCs/>
          <w:color w:val="000000" w:themeColor="text1"/>
          <w:sz w:val="24"/>
          <w:szCs w:val="24"/>
          <w:lang w:val="en-GB"/>
          <w14:textFill>
            <w14:solidFill>
              <w14:schemeClr w14:val="tx1"/>
            </w14:solidFill>
          </w14:textFill>
        </w:rPr>
        <w:t>International Communication Gazette</w:t>
      </w:r>
      <w:r>
        <w:rPr>
          <w:rFonts w:hint="default" w:ascii="Arial" w:hAnsi="Arial" w:eastAsia="Times New Roman" w:cs="Arial"/>
          <w:color w:val="000000" w:themeColor="text1"/>
          <w:sz w:val="24"/>
          <w:szCs w:val="24"/>
          <w:lang w:val="en-GB"/>
          <w14:textFill>
            <w14:solidFill>
              <w14:schemeClr w14:val="tx1"/>
            </w14:solidFill>
          </w14:textFill>
        </w:rPr>
        <w:t>, 83(3), p.174804852090261. doi:</w:t>
      </w:r>
      <w:r>
        <w:rPr>
          <w:rFonts w:hint="default" w:ascii="Arial" w:hAnsi="Arial" w:cs="Arial"/>
          <w:sz w:val="24"/>
          <w:szCs w:val="24"/>
        </w:rPr>
        <w:fldChar w:fldCharType="begin"/>
      </w:r>
      <w:r>
        <w:rPr>
          <w:rFonts w:hint="default" w:ascii="Arial" w:hAnsi="Arial" w:cs="Arial"/>
          <w:sz w:val="24"/>
          <w:szCs w:val="24"/>
        </w:rPr>
        <w:instrText xml:space="preserve"> HYPERLINK "file:///C:\\Users\\SHAI%20MOLI%20BASAK\\Downloads\\10.1177\\1748048520902617"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10.1177/1748048520902617</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w:t>
      </w:r>
    </w:p>
    <w:p>
      <w:pPr>
        <w:widowControl w:val="0"/>
        <w:autoSpaceDE w:val="0"/>
        <w:autoSpaceDN w:val="0"/>
        <w:adjustRightInd w:val="0"/>
        <w:spacing w:after="240" w:line="360" w:lineRule="auto"/>
        <w:rPr>
          <w:rFonts w:hint="default" w:ascii="Arial" w:hAnsi="Arial" w:eastAsia="Times New Roman" w:cs="Arial"/>
          <w:color w:val="000000" w:themeColor="text1"/>
          <w:sz w:val="24"/>
          <w:szCs w:val="24"/>
          <w:lang w:val="en-GB"/>
          <w14:textFill>
            <w14:solidFill>
              <w14:schemeClr w14:val="tx1"/>
            </w14:solidFill>
          </w14:textFill>
        </w:rPr>
      </w:pPr>
      <w:r>
        <w:rPr>
          <w:rFonts w:hint="default" w:ascii="Arial" w:hAnsi="Arial" w:eastAsia="Times New Roman" w:cs="Arial"/>
          <w:color w:val="000000" w:themeColor="text1"/>
          <w:sz w:val="24"/>
          <w:szCs w:val="24"/>
          <w:lang w:val="en-GB"/>
          <w14:textFill>
            <w14:solidFill>
              <w14:schemeClr w14:val="tx1"/>
            </w14:solidFill>
          </w14:textFill>
        </w:rPr>
        <w:t xml:space="preserve">Zamry, A.D. and Nayan, S.M. (2020). What Is the Relationship Between Trust and Customer Satisfaction? </w:t>
      </w:r>
      <w:r>
        <w:rPr>
          <w:rFonts w:hint="default" w:ascii="Arial" w:hAnsi="Arial" w:eastAsia="Times New Roman" w:cs="Arial"/>
          <w:i/>
          <w:iCs/>
          <w:color w:val="000000" w:themeColor="text1"/>
          <w:sz w:val="24"/>
          <w:szCs w:val="24"/>
          <w:lang w:val="en-GB"/>
          <w14:textFill>
            <w14:solidFill>
              <w14:schemeClr w14:val="tx1"/>
            </w14:solidFill>
          </w14:textFill>
        </w:rPr>
        <w:t>Journal of Undergraduate Social Science and Technology</w:t>
      </w:r>
      <w:r>
        <w:rPr>
          <w:rFonts w:hint="default" w:ascii="Arial" w:hAnsi="Arial" w:eastAsia="Times New Roman" w:cs="Arial"/>
          <w:color w:val="000000" w:themeColor="text1"/>
          <w:sz w:val="24"/>
          <w:szCs w:val="24"/>
          <w:lang w:val="en-GB"/>
          <w14:textFill>
            <w14:solidFill>
              <w14:schemeClr w14:val="tx1"/>
            </w14:solidFill>
          </w14:textFill>
        </w:rPr>
        <w:t xml:space="preserve">, [online] 2(2). Available at: </w:t>
      </w:r>
      <w:r>
        <w:rPr>
          <w:rFonts w:hint="default" w:ascii="Arial" w:hAnsi="Arial" w:cs="Arial"/>
          <w:sz w:val="24"/>
          <w:szCs w:val="24"/>
        </w:rPr>
        <w:fldChar w:fldCharType="begin"/>
      </w:r>
      <w:r>
        <w:rPr>
          <w:rFonts w:hint="default" w:ascii="Arial" w:hAnsi="Arial" w:cs="Arial"/>
          <w:sz w:val="24"/>
          <w:szCs w:val="24"/>
        </w:rPr>
        <w:instrText xml:space="preserve"> HYPERLINK "http://abrn.asia/ojs/index.php/JUSST/article/view/76" </w:instrText>
      </w:r>
      <w:r>
        <w:rPr>
          <w:rFonts w:hint="default" w:ascii="Arial" w:hAnsi="Arial" w:cs="Arial"/>
          <w:sz w:val="24"/>
          <w:szCs w:val="24"/>
        </w:rPr>
        <w:fldChar w:fldCharType="separate"/>
      </w:r>
      <w:r>
        <w:rPr>
          <w:rFonts w:hint="default" w:ascii="Arial" w:hAnsi="Arial" w:eastAsia="Times New Roman" w:cs="Arial"/>
          <w:color w:val="000000" w:themeColor="text1"/>
          <w:sz w:val="24"/>
          <w:szCs w:val="24"/>
          <w:lang w:val="en-GB"/>
          <w14:textFill>
            <w14:solidFill>
              <w14:schemeClr w14:val="tx1"/>
            </w14:solidFill>
          </w14:textFill>
        </w:rPr>
        <w:t>http://abrn.asia/ojs/index.php/JUSST/article/view/76</w:t>
      </w:r>
      <w:r>
        <w:rPr>
          <w:rFonts w:hint="default" w:ascii="Arial" w:hAnsi="Arial" w:eastAsia="Times New Roman" w:cs="Arial"/>
          <w:color w:val="000000" w:themeColor="text1"/>
          <w:sz w:val="24"/>
          <w:szCs w:val="24"/>
          <w:lang w:val="en-GB"/>
          <w14:textFill>
            <w14:solidFill>
              <w14:schemeClr w14:val="tx1"/>
            </w14:solidFill>
          </w14:textFill>
        </w:rPr>
        <w:fldChar w:fldCharType="end"/>
      </w:r>
      <w:r>
        <w:rPr>
          <w:rFonts w:hint="default" w:ascii="Arial" w:hAnsi="Arial" w:eastAsia="Times New Roman" w:cs="Arial"/>
          <w:color w:val="000000" w:themeColor="text1"/>
          <w:sz w:val="24"/>
          <w:szCs w:val="24"/>
          <w:lang w:val="en-GB"/>
          <w14:textFill>
            <w14:solidFill>
              <w14:schemeClr w14:val="tx1"/>
            </w14:solidFill>
          </w14:textFill>
        </w:rPr>
        <w:t xml:space="preserve"> [Accessed 25 Mar. 2022].</w:t>
      </w:r>
    </w:p>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061053"/>
    <w:multiLevelType w:val="multilevel"/>
    <w:tmpl w:val="4206105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48B8022E"/>
    <w:multiLevelType w:val="multilevel"/>
    <w:tmpl w:val="48B8022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59CD5B46"/>
    <w:multiLevelType w:val="multilevel"/>
    <w:tmpl w:val="59CD5B4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6A465917"/>
    <w:multiLevelType w:val="multilevel"/>
    <w:tmpl w:val="6A46591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E8356A2"/>
    <w:multiLevelType w:val="multilevel"/>
    <w:tmpl w:val="6E8356A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3YTY5MDA1NzY2NmFhM2NhNGNmOWVmMTM4NjFkZGEifQ=="/>
  </w:docVars>
  <w:rsids>
    <w:rsidRoot w:val="19E07358"/>
    <w:rsid w:val="19E07358"/>
    <w:rsid w:val="7B1F4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IN" w:eastAsia="en-IN" w:bidi="ar-SA"/>
    </w:rPr>
  </w:style>
  <w:style w:type="paragraph" w:styleId="2">
    <w:name w:val="heading 1"/>
    <w:basedOn w:val="1"/>
    <w:next w:val="1"/>
    <w:link w:val="15"/>
    <w:qFormat/>
    <w:uiPriority w:val="0"/>
    <w:pPr>
      <w:keepNext/>
      <w:keepLines/>
      <w:spacing w:before="400" w:after="120" w:line="480" w:lineRule="auto"/>
      <w:jc w:val="both"/>
      <w:outlineLvl w:val="0"/>
    </w:pPr>
    <w:rPr>
      <w:rFonts w:ascii="Times New Roman" w:hAnsi="Times New Roman"/>
      <w:b/>
      <w:color w:val="000000" w:themeColor="text1"/>
      <w:sz w:val="28"/>
      <w:szCs w:val="40"/>
      <w14:textFill>
        <w14:solidFill>
          <w14:schemeClr w14:val="tx1"/>
        </w14:solidFill>
      </w14:textFill>
    </w:rPr>
  </w:style>
  <w:style w:type="paragraph" w:styleId="3">
    <w:name w:val="heading 2"/>
    <w:basedOn w:val="1"/>
    <w:next w:val="1"/>
    <w:qFormat/>
    <w:uiPriority w:val="0"/>
    <w:pPr>
      <w:keepNext/>
      <w:keepLines/>
      <w:spacing w:before="360" w:after="120" w:line="360" w:lineRule="auto"/>
      <w:jc w:val="both"/>
      <w:outlineLvl w:val="1"/>
    </w:pPr>
    <w:rPr>
      <w:rFonts w:ascii="Times New Roman" w:hAnsi="Times New Roman"/>
      <w:b/>
      <w:color w:val="000000" w:themeColor="text1"/>
      <w:sz w:val="26"/>
      <w:szCs w:val="32"/>
      <w14:textFill>
        <w14:solidFill>
          <w14:schemeClr w14:val="tx1"/>
        </w14:solidFill>
      </w14:textFill>
    </w:rPr>
  </w:style>
  <w:style w:type="paragraph" w:styleId="4">
    <w:name w:val="heading 3"/>
    <w:basedOn w:val="1"/>
    <w:next w:val="1"/>
    <w:qFormat/>
    <w:uiPriority w:val="0"/>
    <w:pPr>
      <w:keepNext/>
      <w:keepLines/>
      <w:spacing w:before="320" w:after="80" w:line="240" w:lineRule="auto"/>
      <w:jc w:val="both"/>
      <w:outlineLvl w:val="2"/>
    </w:pPr>
    <w:rPr>
      <w:rFonts w:ascii="Times New Roman" w:hAnsi="Times New Roman"/>
      <w:b/>
      <w:color w:val="000000" w:themeColor="text1"/>
      <w:sz w:val="24"/>
      <w:szCs w:val="28"/>
      <w14:textFill>
        <w14:solidFill>
          <w14:schemeClr w14:val="tx1"/>
        </w14:solidFill>
      </w14:textFill>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unhideWhenUsed/>
    <w:qFormat/>
    <w:uiPriority w:val="39"/>
    <w:pPr>
      <w:spacing w:after="100"/>
      <w:ind w:left="44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20"/>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paragraph" w:customStyle="1" w:styleId="13">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2E75B6" w:themeColor="accent1" w:themeShade="BF"/>
      <w:szCs w:val="28"/>
      <w:lang w:val="en-US" w:eastAsia="ja-JP"/>
    </w:rPr>
  </w:style>
  <w:style w:type="paragraph" w:styleId="14">
    <w:name w:val="List Paragraph"/>
    <w:basedOn w:val="1"/>
    <w:qFormat/>
    <w:uiPriority w:val="34"/>
    <w:pPr>
      <w:ind w:left="720"/>
      <w:contextualSpacing/>
    </w:pPr>
  </w:style>
  <w:style w:type="character" w:customStyle="1" w:styleId="15">
    <w:name w:val="标题 1 Char"/>
    <w:link w:val="2"/>
    <w:uiPriority w:val="0"/>
    <w:rPr>
      <w:rFonts w:ascii="Times New Roman" w:hAnsi="Times New Roman"/>
      <w:b/>
      <w:color w:val="000000" w:themeColor="text1"/>
      <w:sz w:val="28"/>
      <w:szCs w:val="40"/>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GIF"/><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3402</Words>
  <Characters>21736</Characters>
  <Lines>0</Lines>
  <Paragraphs>0</Paragraphs>
  <TotalTime>2</TotalTime>
  <ScaleCrop>false</ScaleCrop>
  <LinksUpToDate>false</LinksUpToDate>
  <CharactersWithSpaces>25669</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2022-12-21T07:56:00Z</dcterms:created>
  <dc:creator>问好</dc:creator>
  <cp:lastModifiedBy>问好</cp:lastModifiedBy>
  <dcterms:modified xsi:type="dcterms:W3CDTF">2022-12-21T08:18:58Z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1DCCE75D407B44A2A05B1EDF42642AAA</vt:lpwstr>
  </property>
</Properties>
</file>