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2D5F9D" w14:textId="77777777" w:rsidR="001D7E24" w:rsidRPr="001D7E24" w:rsidRDefault="001D7E24" w:rsidP="001D7E24">
      <w:pPr>
        <w:rPr>
          <w:b/>
          <w:bCs/>
          <w:sz w:val="24"/>
          <w:szCs w:val="24"/>
        </w:rPr>
      </w:pPr>
    </w:p>
    <w:p w14:paraId="41915861" w14:textId="59EB1D03" w:rsidR="001D7E24" w:rsidRPr="001D7E24" w:rsidRDefault="001D7E24" w:rsidP="001D7E24">
      <w:pPr>
        <w:rPr>
          <w:b/>
          <w:bCs/>
          <w:sz w:val="32"/>
          <w:szCs w:val="32"/>
        </w:rPr>
      </w:pPr>
      <w:r w:rsidRPr="001D7E24">
        <w:rPr>
          <w:b/>
          <w:bCs/>
          <w:sz w:val="32"/>
          <w:szCs w:val="32"/>
        </w:rPr>
        <w:t>Assessment 1</w:t>
      </w:r>
    </w:p>
    <w:p w14:paraId="5A50AF92" w14:textId="77777777" w:rsidR="001D7E24" w:rsidRPr="001D7E24" w:rsidRDefault="001D7E24" w:rsidP="001D7E24">
      <w:pPr>
        <w:rPr>
          <w:b/>
          <w:bCs/>
          <w:sz w:val="32"/>
          <w:szCs w:val="32"/>
        </w:rPr>
      </w:pPr>
    </w:p>
    <w:p w14:paraId="36720563" w14:textId="77777777" w:rsidR="001D7E24" w:rsidRDefault="001D7E24" w:rsidP="001D7E24">
      <w:pPr>
        <w:jc w:val="center"/>
        <w:rPr>
          <w:b/>
          <w:bCs/>
          <w:sz w:val="32"/>
          <w:szCs w:val="32"/>
        </w:rPr>
      </w:pPr>
    </w:p>
    <w:p w14:paraId="3440C07D" w14:textId="77777777" w:rsidR="001D7E24" w:rsidRDefault="001D7E24" w:rsidP="001D7E24">
      <w:pPr>
        <w:jc w:val="center"/>
        <w:rPr>
          <w:b/>
          <w:bCs/>
          <w:sz w:val="32"/>
          <w:szCs w:val="32"/>
        </w:rPr>
      </w:pPr>
    </w:p>
    <w:p w14:paraId="395B7466" w14:textId="77777777" w:rsidR="001D7E24" w:rsidRDefault="001D7E24" w:rsidP="001D7E24">
      <w:pPr>
        <w:jc w:val="center"/>
        <w:rPr>
          <w:b/>
          <w:bCs/>
          <w:sz w:val="32"/>
          <w:szCs w:val="32"/>
        </w:rPr>
      </w:pPr>
    </w:p>
    <w:p w14:paraId="47A85776" w14:textId="255F5E0A" w:rsidR="001D7E24" w:rsidRPr="001D7E24" w:rsidRDefault="00112552" w:rsidP="001D7E24">
      <w:pPr>
        <w:jc w:val="center"/>
        <w:rPr>
          <w:sz w:val="32"/>
          <w:szCs w:val="32"/>
        </w:rPr>
      </w:pPr>
      <w:r>
        <w:rPr>
          <w:b/>
          <w:bCs/>
          <w:sz w:val="32"/>
          <w:szCs w:val="32"/>
        </w:rPr>
        <w:t>Why Does Heritage Matter?</w:t>
      </w:r>
    </w:p>
    <w:p w14:paraId="167256FF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3D452114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0FA3A4DA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2B3C559D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4349BCA1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7BC54829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541D8F00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688526DE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0CBC1444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1CE8F2B0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0598C4AB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1249E748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36C69E41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5094DC7F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023FED10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768B1185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7B1DB688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4E598C8D" w14:textId="77777777" w:rsidR="001D7E24" w:rsidRDefault="001D7E24" w:rsidP="001D7E24">
      <w:pPr>
        <w:jc w:val="right"/>
        <w:rPr>
          <w:b/>
          <w:bCs/>
          <w:sz w:val="24"/>
          <w:szCs w:val="24"/>
        </w:rPr>
      </w:pPr>
    </w:p>
    <w:p w14:paraId="40FD6C8B" w14:textId="5C71D8A2" w:rsidR="001D7E24" w:rsidRPr="001D7E24" w:rsidRDefault="001D7E24" w:rsidP="001D7E24">
      <w:pPr>
        <w:jc w:val="right"/>
      </w:pPr>
      <w:r w:rsidRPr="001D7E24">
        <w:t>Alyson Greening</w:t>
      </w:r>
    </w:p>
    <w:p w14:paraId="4EEABDED" w14:textId="77777777" w:rsidR="00316DB1" w:rsidRPr="001A1C8E" w:rsidRDefault="00316DB1" w:rsidP="00316DB1">
      <w:pPr>
        <w:shd w:val="clear" w:color="auto" w:fill="FFFFFF"/>
        <w:spacing w:after="100" w:afterAutospacing="1" w:line="240" w:lineRule="auto"/>
        <w:jc w:val="right"/>
        <w:outlineLvl w:val="0"/>
        <w:rPr>
          <w:rFonts w:eastAsia="Times New Roman" w:cstheme="minorHAnsi"/>
          <w:color w:val="1D2125"/>
          <w:kern w:val="36"/>
          <w:sz w:val="16"/>
          <w:szCs w:val="16"/>
          <w:lang w:eastAsia="en-GB"/>
          <w14:ligatures w14:val="none"/>
        </w:rPr>
      </w:pPr>
      <w:r w:rsidRPr="001A1C8E">
        <w:rPr>
          <w:rFonts w:eastAsia="Times New Roman" w:cstheme="minorHAnsi"/>
          <w:color w:val="1D2125"/>
          <w:kern w:val="36"/>
          <w:sz w:val="16"/>
          <w:szCs w:val="16"/>
          <w:lang w:eastAsia="en-GB"/>
          <w14:ligatures w14:val="none"/>
        </w:rPr>
        <w:t>Heritage in the Political World: Communities and Comparative Aspects (HPHE7001)</w:t>
      </w:r>
    </w:p>
    <w:p w14:paraId="765869AB" w14:textId="38713B1A" w:rsidR="00640D09" w:rsidRPr="001A1C8E" w:rsidRDefault="00640D09" w:rsidP="00316DB1">
      <w:pPr>
        <w:shd w:val="clear" w:color="auto" w:fill="FFFFFF"/>
        <w:spacing w:after="100" w:afterAutospacing="1" w:line="240" w:lineRule="auto"/>
        <w:jc w:val="right"/>
        <w:outlineLvl w:val="0"/>
        <w:rPr>
          <w:rFonts w:eastAsia="Times New Roman" w:cstheme="minorHAnsi"/>
          <w:color w:val="1D2125"/>
          <w:kern w:val="36"/>
          <w:sz w:val="16"/>
          <w:szCs w:val="16"/>
          <w:lang w:eastAsia="en-GB"/>
          <w14:ligatures w14:val="none"/>
        </w:rPr>
      </w:pPr>
      <w:r w:rsidRPr="001A1C8E">
        <w:rPr>
          <w:rFonts w:eastAsia="Times New Roman" w:cstheme="minorHAnsi"/>
          <w:color w:val="1D2125"/>
          <w:kern w:val="36"/>
          <w:sz w:val="16"/>
          <w:szCs w:val="16"/>
          <w:lang w:eastAsia="en-GB"/>
          <w14:ligatures w14:val="none"/>
        </w:rPr>
        <w:t>1</w:t>
      </w:r>
      <w:r w:rsidRPr="001A1C8E">
        <w:rPr>
          <w:rFonts w:eastAsia="Times New Roman" w:cstheme="minorHAnsi"/>
          <w:color w:val="1D2125"/>
          <w:kern w:val="36"/>
          <w:sz w:val="16"/>
          <w:szCs w:val="16"/>
          <w:vertAlign w:val="superscript"/>
          <w:lang w:eastAsia="en-GB"/>
          <w14:ligatures w14:val="none"/>
        </w:rPr>
        <w:t>st</w:t>
      </w:r>
      <w:r w:rsidRPr="001A1C8E">
        <w:rPr>
          <w:rFonts w:eastAsia="Times New Roman" w:cstheme="minorHAnsi"/>
          <w:color w:val="1D2125"/>
          <w:kern w:val="36"/>
          <w:sz w:val="16"/>
          <w:szCs w:val="16"/>
          <w:lang w:eastAsia="en-GB"/>
          <w14:ligatures w14:val="none"/>
        </w:rPr>
        <w:t xml:space="preserve"> March 2024</w:t>
      </w:r>
    </w:p>
    <w:p w14:paraId="75D53267" w14:textId="77777777" w:rsidR="001D7E24" w:rsidRDefault="001D7E24" w:rsidP="001D7E24">
      <w:pPr>
        <w:rPr>
          <w:b/>
          <w:bCs/>
          <w:sz w:val="24"/>
          <w:szCs w:val="24"/>
          <w:u w:val="single"/>
        </w:rPr>
      </w:pPr>
    </w:p>
    <w:p w14:paraId="41B38C38" w14:textId="0599DEF3" w:rsidR="00BF2F3B" w:rsidRDefault="00AD1DB8" w:rsidP="00B756D6">
      <w:pPr>
        <w:rPr>
          <w:sz w:val="24"/>
          <w:szCs w:val="24"/>
        </w:rPr>
      </w:pPr>
      <w:r w:rsidRPr="00781A43">
        <w:rPr>
          <w:sz w:val="24"/>
          <w:szCs w:val="24"/>
        </w:rPr>
        <w:t>Uzzell describes heritage as ‘the lovechild of a multitude of relationships between academics in many disciplines, nurtured by practitioners and institutions’</w:t>
      </w:r>
      <w:r w:rsidR="001164C2" w:rsidRPr="00781A43">
        <w:rPr>
          <w:rStyle w:val="FootnoteReference"/>
          <w:sz w:val="24"/>
          <w:szCs w:val="24"/>
        </w:rPr>
        <w:footnoteReference w:id="1"/>
      </w:r>
      <w:r w:rsidR="00834004" w:rsidRPr="00781A43">
        <w:rPr>
          <w:sz w:val="24"/>
          <w:szCs w:val="24"/>
        </w:rPr>
        <w:t xml:space="preserve">. It is clear therefore that heritage </w:t>
      </w:r>
      <w:r w:rsidR="007009B1" w:rsidRPr="00781A43">
        <w:rPr>
          <w:sz w:val="24"/>
          <w:szCs w:val="24"/>
        </w:rPr>
        <w:t>locates itself in a nexus</w:t>
      </w:r>
      <w:r w:rsidR="00907DFC" w:rsidRPr="00781A43">
        <w:rPr>
          <w:sz w:val="24"/>
          <w:szCs w:val="24"/>
        </w:rPr>
        <w:t xml:space="preserve"> of </w:t>
      </w:r>
      <w:r w:rsidR="00834004" w:rsidRPr="00781A43">
        <w:rPr>
          <w:sz w:val="24"/>
          <w:szCs w:val="24"/>
        </w:rPr>
        <w:t>multidisciplinary</w:t>
      </w:r>
      <w:r w:rsidR="00907DFC" w:rsidRPr="00781A43">
        <w:rPr>
          <w:sz w:val="24"/>
          <w:szCs w:val="24"/>
        </w:rPr>
        <w:t xml:space="preserve"> </w:t>
      </w:r>
      <w:r w:rsidR="00351FA4" w:rsidRPr="00781A43">
        <w:rPr>
          <w:sz w:val="24"/>
          <w:szCs w:val="24"/>
        </w:rPr>
        <w:t>academic studies.</w:t>
      </w:r>
      <w:r w:rsidR="00351FA4">
        <w:t xml:space="preserve"> </w:t>
      </w:r>
      <w:r w:rsidR="00BE54AA">
        <w:t>T</w:t>
      </w:r>
      <w:r w:rsidR="00E82582">
        <w:rPr>
          <w:sz w:val="24"/>
          <w:szCs w:val="24"/>
        </w:rPr>
        <w:t xml:space="preserve">he Cambridge Dictionary defines Heritage as ‘ </w:t>
      </w:r>
      <w:hyperlink r:id="rId7" w:tooltip="features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features</w:t>
        </w:r>
      </w:hyperlink>
      <w:r w:rsidR="00E82582" w:rsidRPr="002B7303">
        <w:rPr>
          <w:rFonts w:cstheme="minorHAnsi"/>
          <w:sz w:val="24"/>
          <w:szCs w:val="24"/>
        </w:rPr>
        <w:t> </w:t>
      </w:r>
      <w:hyperlink r:id="rId8" w:tooltip="belonging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belonging</w:t>
        </w:r>
      </w:hyperlink>
      <w:r w:rsidR="00E82582" w:rsidRPr="002B7303">
        <w:rPr>
          <w:rFonts w:cstheme="minorHAnsi"/>
          <w:sz w:val="24"/>
          <w:szCs w:val="24"/>
        </w:rPr>
        <w:t> to the </w:t>
      </w:r>
      <w:hyperlink r:id="rId9" w:tooltip="culture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culture</w:t>
        </w:r>
      </w:hyperlink>
      <w:r w:rsidR="00E82582" w:rsidRPr="002B7303">
        <w:rPr>
          <w:rFonts w:cstheme="minorHAnsi"/>
          <w:sz w:val="24"/>
          <w:szCs w:val="24"/>
        </w:rPr>
        <w:t> of a </w:t>
      </w:r>
      <w:hyperlink r:id="rId10" w:tooltip="particular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particular</w:t>
        </w:r>
      </w:hyperlink>
      <w:r w:rsidR="00E82582" w:rsidRPr="002B7303">
        <w:rPr>
          <w:rFonts w:cstheme="minorHAnsi"/>
          <w:sz w:val="24"/>
          <w:szCs w:val="24"/>
        </w:rPr>
        <w:t> </w:t>
      </w:r>
      <w:hyperlink r:id="rId11" w:tooltip="society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society</w:t>
        </w:r>
      </w:hyperlink>
      <w:r w:rsidR="00E82582" w:rsidRPr="002B7303">
        <w:rPr>
          <w:rFonts w:cstheme="minorHAnsi"/>
          <w:sz w:val="24"/>
          <w:szCs w:val="24"/>
        </w:rPr>
        <w:t>, such as </w:t>
      </w:r>
      <w:hyperlink r:id="rId12" w:tooltip="traditions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traditions</w:t>
        </w:r>
      </w:hyperlink>
      <w:r w:rsidR="00E82582" w:rsidRPr="002B7303">
        <w:rPr>
          <w:rFonts w:cstheme="minorHAnsi"/>
          <w:sz w:val="24"/>
          <w:szCs w:val="24"/>
        </w:rPr>
        <w:t>, </w:t>
      </w:r>
      <w:hyperlink r:id="rId13" w:tooltip="languages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languages</w:t>
        </w:r>
      </w:hyperlink>
      <w:r w:rsidR="00E82582" w:rsidRPr="002B7303">
        <w:rPr>
          <w:rFonts w:cstheme="minorHAnsi"/>
          <w:sz w:val="24"/>
          <w:szCs w:val="24"/>
        </w:rPr>
        <w:t>, or </w:t>
      </w:r>
      <w:hyperlink r:id="rId14" w:tooltip="buildings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buildings</w:t>
        </w:r>
      </w:hyperlink>
      <w:r w:rsidR="00E82582" w:rsidRPr="002B7303">
        <w:rPr>
          <w:rFonts w:cstheme="minorHAnsi"/>
          <w:sz w:val="24"/>
          <w:szCs w:val="24"/>
        </w:rPr>
        <w:t>, that were </w:t>
      </w:r>
      <w:hyperlink r:id="rId15" w:tooltip="created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created</w:t>
        </w:r>
      </w:hyperlink>
      <w:r w:rsidR="00E82582" w:rsidRPr="002B7303">
        <w:rPr>
          <w:rFonts w:cstheme="minorHAnsi"/>
          <w:sz w:val="24"/>
          <w:szCs w:val="24"/>
        </w:rPr>
        <w:t> in the past and still have </w:t>
      </w:r>
      <w:hyperlink r:id="rId16" w:tooltip="historical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historical</w:t>
        </w:r>
      </w:hyperlink>
      <w:r w:rsidR="00E82582" w:rsidRPr="002B7303">
        <w:rPr>
          <w:rFonts w:cstheme="minorHAnsi"/>
          <w:sz w:val="24"/>
          <w:szCs w:val="24"/>
        </w:rPr>
        <w:t> </w:t>
      </w:r>
      <w:hyperlink r:id="rId17" w:tooltip="importance" w:history="1">
        <w:r w:rsidR="00E82582" w:rsidRPr="002B7303">
          <w:rPr>
            <w:rStyle w:val="Hyperlink"/>
            <w:rFonts w:cstheme="minorHAnsi"/>
            <w:color w:val="auto"/>
            <w:sz w:val="24"/>
            <w:szCs w:val="24"/>
            <w:u w:val="none"/>
          </w:rPr>
          <w:t>importance</w:t>
        </w:r>
      </w:hyperlink>
      <w:r w:rsidR="00E82582">
        <w:rPr>
          <w:rFonts w:cstheme="minorHAnsi"/>
          <w:sz w:val="24"/>
          <w:szCs w:val="24"/>
        </w:rPr>
        <w:t>’</w:t>
      </w:r>
      <w:r w:rsidR="00BE54AA">
        <w:rPr>
          <w:rFonts w:cstheme="minorHAnsi"/>
          <w:sz w:val="24"/>
          <w:szCs w:val="24"/>
        </w:rPr>
        <w:t>.</w:t>
      </w:r>
      <w:r w:rsidR="00E82582">
        <w:rPr>
          <w:rStyle w:val="FootnoteReference"/>
          <w:rFonts w:cstheme="minorHAnsi"/>
          <w:sz w:val="24"/>
          <w:szCs w:val="24"/>
        </w:rPr>
        <w:footnoteReference w:id="2"/>
      </w:r>
      <w:r w:rsidR="00BE54AA">
        <w:rPr>
          <w:rFonts w:cstheme="minorHAnsi"/>
          <w:sz w:val="24"/>
          <w:szCs w:val="24"/>
        </w:rPr>
        <w:t xml:space="preserve"> </w:t>
      </w:r>
      <w:r w:rsidR="005C306D">
        <w:rPr>
          <w:rFonts w:cstheme="minorHAnsi"/>
          <w:sz w:val="24"/>
          <w:szCs w:val="24"/>
        </w:rPr>
        <w:t xml:space="preserve">Whilst this definition is also true, it </w:t>
      </w:r>
      <w:r w:rsidR="006571AC">
        <w:rPr>
          <w:rFonts w:cstheme="minorHAnsi"/>
          <w:sz w:val="24"/>
          <w:szCs w:val="24"/>
        </w:rPr>
        <w:t xml:space="preserve">belies the significance of natural </w:t>
      </w:r>
      <w:r w:rsidR="00A652D8">
        <w:rPr>
          <w:rFonts w:cstheme="minorHAnsi"/>
          <w:sz w:val="24"/>
          <w:szCs w:val="24"/>
        </w:rPr>
        <w:t xml:space="preserve">heritage </w:t>
      </w:r>
      <w:r w:rsidR="004359FE">
        <w:rPr>
          <w:rFonts w:cstheme="minorHAnsi"/>
          <w:sz w:val="24"/>
          <w:szCs w:val="24"/>
        </w:rPr>
        <w:t xml:space="preserve">and the environment </w:t>
      </w:r>
      <w:r w:rsidR="00A652D8">
        <w:rPr>
          <w:rFonts w:cstheme="minorHAnsi"/>
          <w:sz w:val="24"/>
          <w:szCs w:val="24"/>
        </w:rPr>
        <w:t xml:space="preserve">and in doing so, disregards the concept of </w:t>
      </w:r>
      <w:r w:rsidR="00A26172">
        <w:rPr>
          <w:rFonts w:cstheme="minorHAnsi"/>
          <w:sz w:val="24"/>
          <w:szCs w:val="24"/>
        </w:rPr>
        <w:t xml:space="preserve">the Common Heritage of Humankind and the obligations human society has </w:t>
      </w:r>
      <w:r w:rsidR="00ED4744">
        <w:rPr>
          <w:rFonts w:cstheme="minorHAnsi"/>
          <w:sz w:val="24"/>
          <w:szCs w:val="24"/>
        </w:rPr>
        <w:t xml:space="preserve">to understand how </w:t>
      </w:r>
      <w:r w:rsidR="00C57096">
        <w:rPr>
          <w:rFonts w:cstheme="minorHAnsi"/>
          <w:sz w:val="24"/>
          <w:szCs w:val="24"/>
        </w:rPr>
        <w:t xml:space="preserve">human action, based on an understanding of </w:t>
      </w:r>
      <w:r w:rsidR="00C53140">
        <w:rPr>
          <w:rFonts w:cstheme="minorHAnsi"/>
          <w:sz w:val="24"/>
          <w:szCs w:val="24"/>
        </w:rPr>
        <w:t xml:space="preserve">how </w:t>
      </w:r>
      <w:r w:rsidR="00C57096">
        <w:rPr>
          <w:rFonts w:cstheme="minorHAnsi"/>
          <w:sz w:val="24"/>
          <w:szCs w:val="24"/>
        </w:rPr>
        <w:t xml:space="preserve">past events must </w:t>
      </w:r>
      <w:r w:rsidR="004359FE">
        <w:rPr>
          <w:rFonts w:cstheme="minorHAnsi"/>
          <w:sz w:val="24"/>
          <w:szCs w:val="24"/>
        </w:rPr>
        <w:t>inform the future</w:t>
      </w:r>
      <w:r w:rsidR="00C53140">
        <w:rPr>
          <w:rFonts w:cstheme="minorHAnsi"/>
          <w:sz w:val="24"/>
          <w:szCs w:val="24"/>
        </w:rPr>
        <w:t xml:space="preserve">. </w:t>
      </w:r>
      <w:r w:rsidR="004359FE">
        <w:rPr>
          <w:rFonts w:cstheme="minorHAnsi"/>
          <w:sz w:val="24"/>
          <w:szCs w:val="24"/>
        </w:rPr>
        <w:t xml:space="preserve"> </w:t>
      </w:r>
      <w:r w:rsidR="00BE54AA">
        <w:rPr>
          <w:rFonts w:cstheme="minorHAnsi"/>
          <w:sz w:val="24"/>
          <w:szCs w:val="24"/>
        </w:rPr>
        <w:t xml:space="preserve"> </w:t>
      </w:r>
      <w:r w:rsidR="0010742B">
        <w:rPr>
          <w:sz w:val="24"/>
          <w:szCs w:val="24"/>
        </w:rPr>
        <w:t>Heritage is not the same as History</w:t>
      </w:r>
      <w:r w:rsidR="001E78E7">
        <w:rPr>
          <w:sz w:val="24"/>
          <w:szCs w:val="24"/>
        </w:rPr>
        <w:t xml:space="preserve"> as whilst history </w:t>
      </w:r>
      <w:r w:rsidR="000275E6">
        <w:rPr>
          <w:sz w:val="24"/>
          <w:szCs w:val="24"/>
        </w:rPr>
        <w:t xml:space="preserve">is the study of past events, </w:t>
      </w:r>
      <w:r w:rsidR="001B78BA">
        <w:rPr>
          <w:sz w:val="24"/>
          <w:szCs w:val="24"/>
        </w:rPr>
        <w:t xml:space="preserve">heritage can be seen as </w:t>
      </w:r>
      <w:r w:rsidR="00840FB5">
        <w:rPr>
          <w:sz w:val="24"/>
          <w:szCs w:val="24"/>
        </w:rPr>
        <w:t xml:space="preserve">the past and how it presents itself in the present.  This </w:t>
      </w:r>
      <w:r w:rsidR="00CF6027">
        <w:rPr>
          <w:sz w:val="24"/>
          <w:szCs w:val="24"/>
        </w:rPr>
        <w:t>distinction is important</w:t>
      </w:r>
      <w:r w:rsidR="008D38F4">
        <w:rPr>
          <w:sz w:val="24"/>
          <w:szCs w:val="24"/>
        </w:rPr>
        <w:t>, particularly when considering</w:t>
      </w:r>
      <w:r w:rsidR="00B625DE">
        <w:rPr>
          <w:sz w:val="24"/>
          <w:szCs w:val="24"/>
        </w:rPr>
        <w:t xml:space="preserve"> tangible and </w:t>
      </w:r>
      <w:r w:rsidR="00E1509E">
        <w:rPr>
          <w:sz w:val="24"/>
          <w:szCs w:val="24"/>
        </w:rPr>
        <w:t>intangible heritage</w:t>
      </w:r>
      <w:r w:rsidR="005D31B0">
        <w:rPr>
          <w:rStyle w:val="FootnoteReference"/>
          <w:sz w:val="24"/>
          <w:szCs w:val="24"/>
        </w:rPr>
        <w:footnoteReference w:id="3"/>
      </w:r>
      <w:r w:rsidR="00E1509E">
        <w:rPr>
          <w:sz w:val="24"/>
          <w:szCs w:val="24"/>
        </w:rPr>
        <w:t xml:space="preserve"> </w:t>
      </w:r>
      <w:r w:rsidR="001B36CD">
        <w:rPr>
          <w:sz w:val="24"/>
          <w:szCs w:val="24"/>
        </w:rPr>
        <w:t>as tangible heritage may remain relatively unchanged, while intangible heritage is more</w:t>
      </w:r>
      <w:r w:rsidR="00516259">
        <w:rPr>
          <w:sz w:val="24"/>
          <w:szCs w:val="24"/>
        </w:rPr>
        <w:t xml:space="preserve"> subjective and therefore more </w:t>
      </w:r>
      <w:r w:rsidR="009310AD">
        <w:rPr>
          <w:sz w:val="24"/>
          <w:szCs w:val="24"/>
        </w:rPr>
        <w:t>vulnerable to change, evolution and even invention.  Indeed</w:t>
      </w:r>
      <w:r w:rsidR="00A02566">
        <w:rPr>
          <w:sz w:val="24"/>
          <w:szCs w:val="24"/>
        </w:rPr>
        <w:t>, as Hobs</w:t>
      </w:r>
      <w:r w:rsidR="00A75722">
        <w:rPr>
          <w:sz w:val="24"/>
          <w:szCs w:val="24"/>
        </w:rPr>
        <w:t xml:space="preserve">bawm and Ranger </w:t>
      </w:r>
      <w:r w:rsidR="00F52B52">
        <w:rPr>
          <w:sz w:val="24"/>
          <w:szCs w:val="24"/>
        </w:rPr>
        <w:t xml:space="preserve">suggest, ‘’Traditions’ </w:t>
      </w:r>
      <w:r w:rsidR="0060073D">
        <w:rPr>
          <w:sz w:val="24"/>
          <w:szCs w:val="24"/>
        </w:rPr>
        <w:t xml:space="preserve">which appear or claim to be old are often quite recent </w:t>
      </w:r>
      <w:r w:rsidR="00E372CF">
        <w:rPr>
          <w:sz w:val="24"/>
          <w:szCs w:val="24"/>
        </w:rPr>
        <w:t>in</w:t>
      </w:r>
      <w:r w:rsidR="0060073D">
        <w:rPr>
          <w:sz w:val="24"/>
          <w:szCs w:val="24"/>
        </w:rPr>
        <w:t xml:space="preserve"> origin and sometimes invented.</w:t>
      </w:r>
      <w:r w:rsidR="00D23132">
        <w:rPr>
          <w:sz w:val="24"/>
          <w:szCs w:val="24"/>
        </w:rPr>
        <w:t>’</w:t>
      </w:r>
      <w:r w:rsidR="00D23132">
        <w:rPr>
          <w:rStyle w:val="FootnoteReference"/>
          <w:sz w:val="24"/>
          <w:szCs w:val="24"/>
        </w:rPr>
        <w:footnoteReference w:id="4"/>
      </w:r>
      <w:r w:rsidR="000F3D9F">
        <w:rPr>
          <w:sz w:val="24"/>
          <w:szCs w:val="24"/>
        </w:rPr>
        <w:t xml:space="preserve"> </w:t>
      </w:r>
      <w:r w:rsidR="00AF7826">
        <w:rPr>
          <w:sz w:val="24"/>
          <w:szCs w:val="24"/>
        </w:rPr>
        <w:t>One cannot, therefore, consider the study of Heritage as the study of History</w:t>
      </w:r>
      <w:r w:rsidR="00AE579B">
        <w:rPr>
          <w:sz w:val="24"/>
          <w:szCs w:val="24"/>
        </w:rPr>
        <w:t>:</w:t>
      </w:r>
      <w:r w:rsidR="00840FB5">
        <w:rPr>
          <w:sz w:val="24"/>
          <w:szCs w:val="24"/>
        </w:rPr>
        <w:t xml:space="preserve">  </w:t>
      </w:r>
      <w:r w:rsidR="0010742B">
        <w:rPr>
          <w:sz w:val="24"/>
          <w:szCs w:val="24"/>
        </w:rPr>
        <w:t xml:space="preserve">as Walter Benjamin argues, ‘To articulate the past </w:t>
      </w:r>
      <w:r w:rsidR="000F554A">
        <w:rPr>
          <w:sz w:val="24"/>
          <w:szCs w:val="24"/>
        </w:rPr>
        <w:t>historically does not mean to recognise it as it really was’</w:t>
      </w:r>
      <w:r w:rsidR="000F554A">
        <w:rPr>
          <w:rStyle w:val="FootnoteReference"/>
          <w:sz w:val="24"/>
          <w:szCs w:val="24"/>
        </w:rPr>
        <w:footnoteReference w:id="5"/>
      </w:r>
    </w:p>
    <w:p w14:paraId="7CDAFD5C" w14:textId="6AC08A93" w:rsidR="00F75D44" w:rsidRDefault="00D35F0F" w:rsidP="00B756D6">
      <w:pPr>
        <w:rPr>
          <w:sz w:val="24"/>
          <w:szCs w:val="24"/>
        </w:rPr>
      </w:pPr>
      <w:r>
        <w:rPr>
          <w:sz w:val="24"/>
          <w:szCs w:val="24"/>
        </w:rPr>
        <w:t xml:space="preserve">Indeed, unlike what may be considered the passive </w:t>
      </w:r>
      <w:r w:rsidR="00E150A6">
        <w:rPr>
          <w:sz w:val="24"/>
          <w:szCs w:val="24"/>
        </w:rPr>
        <w:t>study of history</w:t>
      </w:r>
      <w:r w:rsidR="00E150A6">
        <w:rPr>
          <w:rStyle w:val="FootnoteReference"/>
          <w:sz w:val="24"/>
          <w:szCs w:val="24"/>
        </w:rPr>
        <w:footnoteReference w:id="6"/>
      </w:r>
      <w:r w:rsidR="008E667F">
        <w:rPr>
          <w:sz w:val="24"/>
          <w:szCs w:val="24"/>
        </w:rPr>
        <w:t xml:space="preserve">, </w:t>
      </w:r>
      <w:r w:rsidR="00197822">
        <w:rPr>
          <w:sz w:val="24"/>
          <w:szCs w:val="24"/>
        </w:rPr>
        <w:t>h</w:t>
      </w:r>
      <w:r w:rsidR="00DC49EE">
        <w:rPr>
          <w:sz w:val="24"/>
          <w:szCs w:val="24"/>
        </w:rPr>
        <w:t>eritage</w:t>
      </w:r>
      <w:r w:rsidR="00801BC6">
        <w:rPr>
          <w:sz w:val="24"/>
          <w:szCs w:val="24"/>
        </w:rPr>
        <w:t xml:space="preserve">, it is argued is </w:t>
      </w:r>
      <w:r w:rsidR="00653625">
        <w:rPr>
          <w:sz w:val="24"/>
          <w:szCs w:val="24"/>
        </w:rPr>
        <w:t>a</w:t>
      </w:r>
      <w:r w:rsidR="00007F4E">
        <w:rPr>
          <w:sz w:val="24"/>
          <w:szCs w:val="24"/>
        </w:rPr>
        <w:t xml:space="preserve">lways </w:t>
      </w:r>
      <w:r w:rsidR="00653625">
        <w:rPr>
          <w:sz w:val="24"/>
          <w:szCs w:val="24"/>
        </w:rPr>
        <w:t>in an active state</w:t>
      </w:r>
      <w:r w:rsidR="009D047B">
        <w:rPr>
          <w:sz w:val="24"/>
          <w:szCs w:val="24"/>
        </w:rPr>
        <w:t xml:space="preserve">, working as an </w:t>
      </w:r>
      <w:r w:rsidR="001B6186">
        <w:rPr>
          <w:sz w:val="24"/>
          <w:szCs w:val="24"/>
        </w:rPr>
        <w:t>ever-evolving</w:t>
      </w:r>
      <w:r w:rsidR="00197822">
        <w:rPr>
          <w:sz w:val="24"/>
          <w:szCs w:val="24"/>
        </w:rPr>
        <w:t xml:space="preserve"> practice</w:t>
      </w:r>
      <w:r w:rsidR="00757228">
        <w:rPr>
          <w:sz w:val="24"/>
          <w:szCs w:val="24"/>
        </w:rPr>
        <w:t xml:space="preserve"> via cultural identity and memory.  </w:t>
      </w:r>
      <w:r w:rsidR="007D37C0">
        <w:rPr>
          <w:sz w:val="24"/>
          <w:szCs w:val="24"/>
        </w:rPr>
        <w:t>Silverman argues that</w:t>
      </w:r>
      <w:r w:rsidR="00890512">
        <w:rPr>
          <w:sz w:val="24"/>
          <w:szCs w:val="24"/>
        </w:rPr>
        <w:t xml:space="preserve">, far from it being something used for </w:t>
      </w:r>
      <w:r w:rsidR="00822FB2">
        <w:rPr>
          <w:sz w:val="24"/>
          <w:szCs w:val="24"/>
        </w:rPr>
        <w:t>inert understanding</w:t>
      </w:r>
      <w:r w:rsidR="007942CA">
        <w:rPr>
          <w:sz w:val="24"/>
          <w:szCs w:val="24"/>
        </w:rPr>
        <w:t xml:space="preserve"> or social</w:t>
      </w:r>
      <w:r w:rsidR="00822FB2">
        <w:rPr>
          <w:sz w:val="24"/>
          <w:szCs w:val="24"/>
        </w:rPr>
        <w:t xml:space="preserve"> </w:t>
      </w:r>
      <w:r w:rsidR="00890512">
        <w:rPr>
          <w:sz w:val="24"/>
          <w:szCs w:val="24"/>
        </w:rPr>
        <w:t>amusement</w:t>
      </w:r>
      <w:r w:rsidR="007942CA">
        <w:rPr>
          <w:sz w:val="24"/>
          <w:szCs w:val="24"/>
        </w:rPr>
        <w:t xml:space="preserve">, heritage is </w:t>
      </w:r>
    </w:p>
    <w:p w14:paraId="17D6E29C" w14:textId="133C9533" w:rsidR="001E1903" w:rsidRDefault="004C477C" w:rsidP="00DC555B">
      <w:pPr>
        <w:ind w:left="720" w:right="521"/>
        <w:rPr>
          <w:sz w:val="24"/>
          <w:szCs w:val="24"/>
        </w:rPr>
      </w:pPr>
      <w:r>
        <w:rPr>
          <w:sz w:val="24"/>
          <w:szCs w:val="24"/>
        </w:rPr>
        <w:t>[…]</w:t>
      </w:r>
      <w:r w:rsidR="00F75D44">
        <w:rPr>
          <w:sz w:val="24"/>
          <w:szCs w:val="24"/>
        </w:rPr>
        <w:t xml:space="preserve"> </w:t>
      </w:r>
      <w:r w:rsidR="00F75D44" w:rsidRPr="00F75D44">
        <w:rPr>
          <w:sz w:val="24"/>
          <w:szCs w:val="24"/>
        </w:rPr>
        <w:t>always bringing the past into the present through historical contingency and strategic appropriations, deployments, redeployments, and creation of connections and reconnections.</w:t>
      </w:r>
      <w:r w:rsidR="00BA7B3F">
        <w:rPr>
          <w:rStyle w:val="FootnoteReference"/>
          <w:sz w:val="24"/>
          <w:szCs w:val="24"/>
        </w:rPr>
        <w:footnoteReference w:id="7"/>
      </w:r>
    </w:p>
    <w:p w14:paraId="4A31DDEF" w14:textId="3C21D57A" w:rsidR="0079782A" w:rsidRDefault="002317EC" w:rsidP="003D3CAD">
      <w:pPr>
        <w:ind w:right="-3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Moreover, Silverman </w:t>
      </w:r>
      <w:r w:rsidR="00427DCE">
        <w:rPr>
          <w:sz w:val="24"/>
          <w:szCs w:val="24"/>
        </w:rPr>
        <w:t>states</w:t>
      </w:r>
      <w:r>
        <w:rPr>
          <w:sz w:val="24"/>
          <w:szCs w:val="24"/>
        </w:rPr>
        <w:t xml:space="preserve"> that cultural heritage allows society to </w:t>
      </w:r>
      <w:r w:rsidR="00B240B4">
        <w:rPr>
          <w:sz w:val="24"/>
          <w:szCs w:val="24"/>
        </w:rPr>
        <w:t>interact both socially and politically</w:t>
      </w:r>
      <w:r w:rsidR="003E2E19">
        <w:rPr>
          <w:sz w:val="24"/>
          <w:szCs w:val="24"/>
        </w:rPr>
        <w:t xml:space="preserve"> </w:t>
      </w:r>
      <w:r w:rsidR="00CD2E45">
        <w:rPr>
          <w:sz w:val="24"/>
          <w:szCs w:val="24"/>
        </w:rPr>
        <w:t xml:space="preserve">from a local and macro perspective whilst </w:t>
      </w:r>
      <w:r w:rsidR="00CA6B44">
        <w:rPr>
          <w:sz w:val="24"/>
          <w:szCs w:val="24"/>
        </w:rPr>
        <w:t xml:space="preserve">still </w:t>
      </w:r>
      <w:r w:rsidR="00D664C9">
        <w:rPr>
          <w:sz w:val="24"/>
          <w:szCs w:val="24"/>
        </w:rPr>
        <w:t xml:space="preserve">allowing individuals to situate </w:t>
      </w:r>
      <w:r w:rsidR="007359D7">
        <w:rPr>
          <w:sz w:val="24"/>
          <w:szCs w:val="24"/>
        </w:rPr>
        <w:t xml:space="preserve">and ground </w:t>
      </w:r>
      <w:r w:rsidR="00D664C9">
        <w:rPr>
          <w:sz w:val="24"/>
          <w:szCs w:val="24"/>
        </w:rPr>
        <w:t xml:space="preserve">themselves </w:t>
      </w:r>
      <w:r w:rsidR="009F008F">
        <w:rPr>
          <w:sz w:val="24"/>
          <w:szCs w:val="24"/>
        </w:rPr>
        <w:t>in their ‘place</w:t>
      </w:r>
      <w:r w:rsidR="009823FA">
        <w:rPr>
          <w:sz w:val="24"/>
          <w:szCs w:val="24"/>
        </w:rPr>
        <w:t>, home and community’.</w:t>
      </w:r>
      <w:r w:rsidR="009823FA">
        <w:rPr>
          <w:rStyle w:val="FootnoteReference"/>
          <w:sz w:val="24"/>
          <w:szCs w:val="24"/>
        </w:rPr>
        <w:footnoteReference w:id="8"/>
      </w:r>
      <w:r w:rsidR="009823FA">
        <w:rPr>
          <w:sz w:val="24"/>
          <w:szCs w:val="24"/>
        </w:rPr>
        <w:t xml:space="preserve">  Cultural heritage, therefore, </w:t>
      </w:r>
      <w:r w:rsidR="00AD1C9B">
        <w:rPr>
          <w:sz w:val="24"/>
          <w:szCs w:val="24"/>
        </w:rPr>
        <w:t>informs</w:t>
      </w:r>
      <w:r w:rsidR="009823FA">
        <w:rPr>
          <w:sz w:val="24"/>
          <w:szCs w:val="24"/>
        </w:rPr>
        <w:t xml:space="preserve"> both individual and collective identity</w:t>
      </w:r>
      <w:r w:rsidR="007359D7">
        <w:rPr>
          <w:sz w:val="24"/>
          <w:szCs w:val="24"/>
        </w:rPr>
        <w:t xml:space="preserve">. </w:t>
      </w:r>
      <w:r w:rsidR="003F3221">
        <w:rPr>
          <w:sz w:val="24"/>
          <w:szCs w:val="24"/>
        </w:rPr>
        <w:t xml:space="preserve">  Furthermore, </w:t>
      </w:r>
      <w:r w:rsidR="00427DCE">
        <w:rPr>
          <w:sz w:val="24"/>
          <w:szCs w:val="24"/>
        </w:rPr>
        <w:t xml:space="preserve">Apaydin argues that </w:t>
      </w:r>
      <w:r w:rsidR="004839F3">
        <w:rPr>
          <w:sz w:val="24"/>
          <w:szCs w:val="24"/>
        </w:rPr>
        <w:t xml:space="preserve">heritage </w:t>
      </w:r>
      <w:r w:rsidR="000C0838">
        <w:rPr>
          <w:sz w:val="24"/>
          <w:szCs w:val="24"/>
        </w:rPr>
        <w:t xml:space="preserve">and identity are so intertwined, </w:t>
      </w:r>
      <w:r w:rsidR="00420132">
        <w:rPr>
          <w:sz w:val="24"/>
          <w:szCs w:val="24"/>
        </w:rPr>
        <w:t>the annihilation of tangible heritages</w:t>
      </w:r>
      <w:r w:rsidR="00377695">
        <w:rPr>
          <w:sz w:val="24"/>
          <w:szCs w:val="24"/>
        </w:rPr>
        <w:t xml:space="preserve">, which often occur during </w:t>
      </w:r>
      <w:r w:rsidR="00850D55">
        <w:rPr>
          <w:sz w:val="24"/>
          <w:szCs w:val="24"/>
        </w:rPr>
        <w:t>conflict and capitalist developments</w:t>
      </w:r>
      <w:r w:rsidR="007C4C53">
        <w:rPr>
          <w:sz w:val="24"/>
          <w:szCs w:val="24"/>
        </w:rPr>
        <w:t xml:space="preserve">, can result in the </w:t>
      </w:r>
      <w:r w:rsidR="007F72F2">
        <w:rPr>
          <w:sz w:val="24"/>
          <w:szCs w:val="24"/>
        </w:rPr>
        <w:t>loss of individual and group identity.</w:t>
      </w:r>
      <w:r w:rsidR="00792641">
        <w:rPr>
          <w:rStyle w:val="FootnoteReference"/>
          <w:sz w:val="24"/>
          <w:szCs w:val="24"/>
        </w:rPr>
        <w:footnoteReference w:id="9"/>
      </w:r>
      <w:r w:rsidR="007F72F2">
        <w:rPr>
          <w:sz w:val="24"/>
          <w:szCs w:val="24"/>
        </w:rPr>
        <w:t xml:space="preserve">  </w:t>
      </w:r>
      <w:r w:rsidR="00C47489">
        <w:rPr>
          <w:sz w:val="24"/>
          <w:szCs w:val="24"/>
        </w:rPr>
        <w:t>Th</w:t>
      </w:r>
      <w:r w:rsidR="006A6D3E">
        <w:rPr>
          <w:sz w:val="24"/>
          <w:szCs w:val="24"/>
        </w:rPr>
        <w:t>is</w:t>
      </w:r>
      <w:r w:rsidR="00C47489">
        <w:rPr>
          <w:sz w:val="24"/>
          <w:szCs w:val="24"/>
        </w:rPr>
        <w:t xml:space="preserve"> concer</w:t>
      </w:r>
      <w:r w:rsidR="00257A70">
        <w:rPr>
          <w:sz w:val="24"/>
          <w:szCs w:val="24"/>
        </w:rPr>
        <w:t xml:space="preserve">n for preservation </w:t>
      </w:r>
      <w:r w:rsidR="006A6D3E">
        <w:rPr>
          <w:sz w:val="24"/>
          <w:szCs w:val="24"/>
        </w:rPr>
        <w:t xml:space="preserve">of heritage was reflected in </w:t>
      </w:r>
      <w:r w:rsidR="00C30303">
        <w:rPr>
          <w:sz w:val="24"/>
          <w:szCs w:val="24"/>
        </w:rPr>
        <w:t xml:space="preserve">UNESCO’s </w:t>
      </w:r>
      <w:r w:rsidR="00D91805">
        <w:rPr>
          <w:sz w:val="24"/>
          <w:szCs w:val="24"/>
        </w:rPr>
        <w:t xml:space="preserve">constitution of 1945 where, </w:t>
      </w:r>
      <w:r w:rsidR="00A3793C">
        <w:rPr>
          <w:sz w:val="24"/>
          <w:szCs w:val="24"/>
        </w:rPr>
        <w:t xml:space="preserve">as a result of </w:t>
      </w:r>
      <w:r w:rsidR="003E13C6">
        <w:rPr>
          <w:sz w:val="24"/>
          <w:szCs w:val="24"/>
        </w:rPr>
        <w:t xml:space="preserve">historical sites being destroyed in the Second World War, </w:t>
      </w:r>
      <w:r w:rsidR="003C3431">
        <w:rPr>
          <w:sz w:val="24"/>
          <w:szCs w:val="24"/>
        </w:rPr>
        <w:t xml:space="preserve">it committed to </w:t>
      </w:r>
      <w:r w:rsidR="0095714E" w:rsidRPr="0095714E">
        <w:rPr>
          <w:sz w:val="24"/>
          <w:szCs w:val="24"/>
        </w:rPr>
        <w:t xml:space="preserve"> </w:t>
      </w:r>
      <w:r w:rsidR="0095714E">
        <w:rPr>
          <w:sz w:val="24"/>
          <w:szCs w:val="24"/>
        </w:rPr>
        <w:t xml:space="preserve">‘the </w:t>
      </w:r>
      <w:r w:rsidR="0095714E" w:rsidRPr="0095714E">
        <w:rPr>
          <w:sz w:val="24"/>
          <w:szCs w:val="24"/>
        </w:rPr>
        <w:t>conservation and protection of the spectrum of the world’s cultural heritage</w:t>
      </w:r>
      <w:r w:rsidR="00100BB8">
        <w:rPr>
          <w:sz w:val="24"/>
          <w:szCs w:val="24"/>
        </w:rPr>
        <w:t>’</w:t>
      </w:r>
      <w:r w:rsidR="007E04A8">
        <w:rPr>
          <w:sz w:val="24"/>
          <w:szCs w:val="24"/>
        </w:rPr>
        <w:t>.</w:t>
      </w:r>
      <w:r w:rsidR="00100BB8">
        <w:rPr>
          <w:rStyle w:val="FootnoteReference"/>
          <w:sz w:val="24"/>
          <w:szCs w:val="24"/>
        </w:rPr>
        <w:footnoteReference w:id="10"/>
      </w:r>
      <w:r w:rsidR="00100BB8">
        <w:rPr>
          <w:sz w:val="24"/>
          <w:szCs w:val="24"/>
        </w:rPr>
        <w:t xml:space="preserve"> </w:t>
      </w:r>
      <w:r w:rsidR="00F62D37">
        <w:rPr>
          <w:sz w:val="24"/>
          <w:szCs w:val="24"/>
        </w:rPr>
        <w:t xml:space="preserve">This led to the </w:t>
      </w:r>
      <w:r w:rsidR="00257939">
        <w:rPr>
          <w:i/>
          <w:iCs/>
          <w:sz w:val="24"/>
          <w:szCs w:val="24"/>
        </w:rPr>
        <w:t xml:space="preserve">World Heritage Convention </w:t>
      </w:r>
      <w:r w:rsidR="00257939">
        <w:rPr>
          <w:sz w:val="24"/>
          <w:szCs w:val="24"/>
        </w:rPr>
        <w:t xml:space="preserve">of 1972 where the </w:t>
      </w:r>
      <w:r w:rsidR="00257939">
        <w:rPr>
          <w:i/>
          <w:iCs/>
          <w:sz w:val="24"/>
          <w:szCs w:val="24"/>
        </w:rPr>
        <w:t>World Heri</w:t>
      </w:r>
      <w:r w:rsidR="00693912">
        <w:rPr>
          <w:i/>
          <w:iCs/>
          <w:sz w:val="24"/>
          <w:szCs w:val="24"/>
        </w:rPr>
        <w:t xml:space="preserve">tage List </w:t>
      </w:r>
      <w:r w:rsidR="00693912">
        <w:rPr>
          <w:sz w:val="24"/>
          <w:szCs w:val="24"/>
        </w:rPr>
        <w:t>was conceived</w:t>
      </w:r>
      <w:r w:rsidR="00385866">
        <w:rPr>
          <w:sz w:val="24"/>
          <w:szCs w:val="24"/>
        </w:rPr>
        <w:t xml:space="preserve"> and as of </w:t>
      </w:r>
      <w:r w:rsidR="00242FDD">
        <w:rPr>
          <w:sz w:val="24"/>
          <w:szCs w:val="24"/>
        </w:rPr>
        <w:t xml:space="preserve">February 2023, a total of 1199 </w:t>
      </w:r>
      <w:r w:rsidR="00453004">
        <w:rPr>
          <w:sz w:val="24"/>
          <w:szCs w:val="24"/>
        </w:rPr>
        <w:t xml:space="preserve">tangible sites are </w:t>
      </w:r>
      <w:r w:rsidR="00074EB8">
        <w:rPr>
          <w:sz w:val="24"/>
          <w:szCs w:val="24"/>
        </w:rPr>
        <w:t xml:space="preserve">ascribed as </w:t>
      </w:r>
      <w:r w:rsidR="00B72B46">
        <w:rPr>
          <w:sz w:val="24"/>
          <w:szCs w:val="24"/>
        </w:rPr>
        <w:t xml:space="preserve">being of </w:t>
      </w:r>
      <w:r w:rsidR="00A61940">
        <w:rPr>
          <w:sz w:val="24"/>
          <w:szCs w:val="24"/>
        </w:rPr>
        <w:t>‘outstanding value to humanity’.</w:t>
      </w:r>
      <w:r w:rsidR="00A61940">
        <w:rPr>
          <w:rStyle w:val="FootnoteReference"/>
          <w:sz w:val="24"/>
          <w:szCs w:val="24"/>
        </w:rPr>
        <w:footnoteReference w:id="11"/>
      </w:r>
      <w:r w:rsidR="00012DA4">
        <w:rPr>
          <w:rStyle w:val="FootnoteReference"/>
          <w:sz w:val="24"/>
          <w:szCs w:val="24"/>
        </w:rPr>
        <w:footnoteReference w:id="12"/>
      </w:r>
      <w:r w:rsidR="00654FA5">
        <w:rPr>
          <w:sz w:val="24"/>
          <w:szCs w:val="24"/>
        </w:rPr>
        <w:t xml:space="preserve"> </w:t>
      </w:r>
      <w:r w:rsidR="001D76C5">
        <w:rPr>
          <w:sz w:val="24"/>
          <w:szCs w:val="24"/>
        </w:rPr>
        <w:t xml:space="preserve">Further, in 2002 UNESCO created </w:t>
      </w:r>
      <w:r w:rsidR="0076253D">
        <w:rPr>
          <w:sz w:val="24"/>
          <w:szCs w:val="24"/>
        </w:rPr>
        <w:t xml:space="preserve">a more definitive list of what it deemed to fit into the notion of cultural heritage and this included both tangible </w:t>
      </w:r>
      <w:r w:rsidR="00F20C43">
        <w:rPr>
          <w:sz w:val="24"/>
          <w:szCs w:val="24"/>
        </w:rPr>
        <w:t>heritage sites such as historic buildings</w:t>
      </w:r>
      <w:r w:rsidR="00C51577">
        <w:rPr>
          <w:sz w:val="24"/>
          <w:szCs w:val="24"/>
        </w:rPr>
        <w:t>, sacred sites</w:t>
      </w:r>
      <w:r w:rsidR="00F20C43">
        <w:rPr>
          <w:sz w:val="24"/>
          <w:szCs w:val="24"/>
        </w:rPr>
        <w:t xml:space="preserve"> and </w:t>
      </w:r>
      <w:r w:rsidR="00C51577">
        <w:rPr>
          <w:sz w:val="24"/>
          <w:szCs w:val="24"/>
        </w:rPr>
        <w:t xml:space="preserve">natural landscapes, </w:t>
      </w:r>
      <w:r w:rsidR="0076253D">
        <w:rPr>
          <w:sz w:val="24"/>
          <w:szCs w:val="24"/>
        </w:rPr>
        <w:t>and intang</w:t>
      </w:r>
      <w:r w:rsidR="00C46AC2">
        <w:rPr>
          <w:sz w:val="24"/>
          <w:szCs w:val="24"/>
        </w:rPr>
        <w:t>ible heritage such</w:t>
      </w:r>
      <w:r w:rsidR="0095714E" w:rsidRPr="0095714E">
        <w:rPr>
          <w:sz w:val="24"/>
          <w:szCs w:val="24"/>
        </w:rPr>
        <w:t xml:space="preserve"> </w:t>
      </w:r>
      <w:r w:rsidR="00C46AC2">
        <w:rPr>
          <w:sz w:val="24"/>
          <w:szCs w:val="24"/>
        </w:rPr>
        <w:t>as arts and crafts, events and beliefs</w:t>
      </w:r>
      <w:r w:rsidR="00AA5D49">
        <w:rPr>
          <w:sz w:val="24"/>
          <w:szCs w:val="24"/>
        </w:rPr>
        <w:t xml:space="preserve">; all of which </w:t>
      </w:r>
      <w:r w:rsidR="00270BE4">
        <w:rPr>
          <w:sz w:val="24"/>
          <w:szCs w:val="24"/>
        </w:rPr>
        <w:t xml:space="preserve">inform the creation of </w:t>
      </w:r>
      <w:r w:rsidR="009A04DB">
        <w:rPr>
          <w:sz w:val="24"/>
          <w:szCs w:val="24"/>
        </w:rPr>
        <w:t>‘collective memory’.</w:t>
      </w:r>
      <w:r w:rsidR="009A04DB">
        <w:rPr>
          <w:rStyle w:val="FootnoteReference"/>
          <w:sz w:val="24"/>
          <w:szCs w:val="24"/>
        </w:rPr>
        <w:footnoteReference w:id="13"/>
      </w:r>
      <w:r w:rsidR="00A96E4D">
        <w:rPr>
          <w:sz w:val="24"/>
          <w:szCs w:val="24"/>
        </w:rPr>
        <w:t xml:space="preserve">  </w:t>
      </w:r>
      <w:r w:rsidR="004F3A41">
        <w:rPr>
          <w:sz w:val="24"/>
          <w:szCs w:val="24"/>
        </w:rPr>
        <w:t xml:space="preserve">However, </w:t>
      </w:r>
      <w:r w:rsidR="00014E9B">
        <w:rPr>
          <w:sz w:val="24"/>
          <w:szCs w:val="24"/>
        </w:rPr>
        <w:t>w</w:t>
      </w:r>
      <w:r w:rsidR="00CC40F9">
        <w:rPr>
          <w:sz w:val="24"/>
          <w:szCs w:val="24"/>
        </w:rPr>
        <w:t xml:space="preserve">hilst </w:t>
      </w:r>
      <w:r w:rsidR="00014E9B">
        <w:rPr>
          <w:sz w:val="24"/>
          <w:szCs w:val="24"/>
        </w:rPr>
        <w:t xml:space="preserve">it is clear that </w:t>
      </w:r>
      <w:r w:rsidR="00CC40F9">
        <w:rPr>
          <w:sz w:val="24"/>
          <w:szCs w:val="24"/>
        </w:rPr>
        <w:t xml:space="preserve">UNESCO carries out valuable work in the preservation of </w:t>
      </w:r>
      <w:r w:rsidR="00014E9B">
        <w:rPr>
          <w:sz w:val="24"/>
          <w:szCs w:val="24"/>
        </w:rPr>
        <w:t>global h</w:t>
      </w:r>
      <w:r w:rsidR="00F040FC">
        <w:rPr>
          <w:sz w:val="24"/>
          <w:szCs w:val="24"/>
        </w:rPr>
        <w:t xml:space="preserve">eritage, it </w:t>
      </w:r>
      <w:r w:rsidR="00014E9B">
        <w:rPr>
          <w:sz w:val="24"/>
          <w:szCs w:val="24"/>
        </w:rPr>
        <w:t>works through its signatory members</w:t>
      </w:r>
      <w:r w:rsidR="00CD4B9D">
        <w:rPr>
          <w:sz w:val="24"/>
          <w:szCs w:val="24"/>
        </w:rPr>
        <w:t xml:space="preserve"> and is therefore susceptible to poli</w:t>
      </w:r>
      <w:r w:rsidR="00570667">
        <w:rPr>
          <w:sz w:val="24"/>
          <w:szCs w:val="24"/>
        </w:rPr>
        <w:t>tical pressures.  For example</w:t>
      </w:r>
      <w:r w:rsidR="00B260A1">
        <w:rPr>
          <w:sz w:val="24"/>
          <w:szCs w:val="24"/>
        </w:rPr>
        <w:t>,</w:t>
      </w:r>
      <w:r w:rsidR="006A06FB">
        <w:rPr>
          <w:sz w:val="24"/>
          <w:szCs w:val="24"/>
        </w:rPr>
        <w:t xml:space="preserve"> in 20</w:t>
      </w:r>
      <w:r w:rsidR="00B260A1">
        <w:rPr>
          <w:sz w:val="24"/>
          <w:szCs w:val="24"/>
        </w:rPr>
        <w:t>11,</w:t>
      </w:r>
      <w:r w:rsidR="00570667">
        <w:rPr>
          <w:sz w:val="24"/>
          <w:szCs w:val="24"/>
        </w:rPr>
        <w:t xml:space="preserve"> </w:t>
      </w:r>
      <w:r w:rsidR="003D3CAD">
        <w:rPr>
          <w:sz w:val="24"/>
          <w:szCs w:val="24"/>
        </w:rPr>
        <w:t>UNESCO’s pro-</w:t>
      </w:r>
      <w:r w:rsidR="006A06FB">
        <w:rPr>
          <w:sz w:val="24"/>
          <w:szCs w:val="24"/>
        </w:rPr>
        <w:t xml:space="preserve">Palestinian stance </w:t>
      </w:r>
      <w:r w:rsidR="00C5111D">
        <w:rPr>
          <w:sz w:val="24"/>
          <w:szCs w:val="24"/>
        </w:rPr>
        <w:t xml:space="preserve">and monies owed </w:t>
      </w:r>
      <w:r w:rsidR="00B260A1">
        <w:rPr>
          <w:sz w:val="24"/>
          <w:szCs w:val="24"/>
        </w:rPr>
        <w:t>resulted in the withdrawal of membership of the USA and Israel</w:t>
      </w:r>
      <w:r w:rsidR="00BE21B7">
        <w:rPr>
          <w:sz w:val="24"/>
          <w:szCs w:val="24"/>
        </w:rPr>
        <w:t xml:space="preserve"> and while the USA rejoined, in 2017 </w:t>
      </w:r>
      <w:r w:rsidR="00CC127A">
        <w:rPr>
          <w:sz w:val="24"/>
          <w:szCs w:val="24"/>
        </w:rPr>
        <w:t>President</w:t>
      </w:r>
      <w:r w:rsidR="00BE21B7">
        <w:rPr>
          <w:sz w:val="24"/>
          <w:szCs w:val="24"/>
        </w:rPr>
        <w:t xml:space="preserve"> Trump again withdrew from membership citing </w:t>
      </w:r>
      <w:r w:rsidR="00440D06">
        <w:rPr>
          <w:sz w:val="24"/>
          <w:szCs w:val="24"/>
        </w:rPr>
        <w:t>‘</w:t>
      </w:r>
      <w:r w:rsidR="00BE21B7">
        <w:rPr>
          <w:sz w:val="24"/>
          <w:szCs w:val="24"/>
        </w:rPr>
        <w:t>anti-Israeli bias</w:t>
      </w:r>
      <w:r w:rsidR="00440D06">
        <w:rPr>
          <w:sz w:val="24"/>
          <w:szCs w:val="24"/>
        </w:rPr>
        <w:t>’</w:t>
      </w:r>
      <w:r w:rsidR="00CC127A">
        <w:rPr>
          <w:sz w:val="24"/>
          <w:szCs w:val="24"/>
        </w:rPr>
        <w:t xml:space="preserve">.  </w:t>
      </w:r>
      <w:r w:rsidR="00BF7796">
        <w:rPr>
          <w:sz w:val="24"/>
          <w:szCs w:val="24"/>
        </w:rPr>
        <w:t>UNESCO</w:t>
      </w:r>
      <w:r w:rsidR="00CC127A">
        <w:rPr>
          <w:sz w:val="24"/>
          <w:szCs w:val="24"/>
        </w:rPr>
        <w:t xml:space="preserve"> therefore i</w:t>
      </w:r>
      <w:r w:rsidR="00EA7DF2">
        <w:rPr>
          <w:sz w:val="24"/>
          <w:szCs w:val="24"/>
        </w:rPr>
        <w:t>s</w:t>
      </w:r>
      <w:r w:rsidR="00CC127A">
        <w:rPr>
          <w:sz w:val="24"/>
          <w:szCs w:val="24"/>
        </w:rPr>
        <w:t xml:space="preserve"> intrinsically political in its operations.</w:t>
      </w:r>
      <w:r w:rsidR="00CC127A">
        <w:rPr>
          <w:rStyle w:val="FootnoteReference"/>
          <w:sz w:val="24"/>
          <w:szCs w:val="24"/>
        </w:rPr>
        <w:footnoteReference w:id="14"/>
      </w:r>
      <w:r w:rsidR="001155DA">
        <w:rPr>
          <w:sz w:val="24"/>
          <w:szCs w:val="24"/>
        </w:rPr>
        <w:t xml:space="preserve"> This does not make it less valuable </w:t>
      </w:r>
      <w:r w:rsidR="00EB3E4D">
        <w:rPr>
          <w:sz w:val="24"/>
          <w:szCs w:val="24"/>
        </w:rPr>
        <w:t xml:space="preserve">in its work to preserve </w:t>
      </w:r>
      <w:r w:rsidR="00D33CE6">
        <w:rPr>
          <w:sz w:val="24"/>
          <w:szCs w:val="24"/>
        </w:rPr>
        <w:t>g</w:t>
      </w:r>
      <w:r w:rsidR="00EB3E4D">
        <w:rPr>
          <w:sz w:val="24"/>
          <w:szCs w:val="24"/>
        </w:rPr>
        <w:t>lobal</w:t>
      </w:r>
      <w:r w:rsidR="00D33CE6">
        <w:rPr>
          <w:sz w:val="24"/>
          <w:szCs w:val="24"/>
        </w:rPr>
        <w:t xml:space="preserve"> heritage</w:t>
      </w:r>
      <w:r w:rsidR="00EB3E4D">
        <w:rPr>
          <w:sz w:val="24"/>
          <w:szCs w:val="24"/>
        </w:rPr>
        <w:t xml:space="preserve">, but it suggests that </w:t>
      </w:r>
      <w:r w:rsidR="005B53D0">
        <w:rPr>
          <w:sz w:val="24"/>
          <w:szCs w:val="24"/>
        </w:rPr>
        <w:t>it operates in a framework of decision making which</w:t>
      </w:r>
      <w:r w:rsidR="005507FB">
        <w:rPr>
          <w:sz w:val="24"/>
          <w:szCs w:val="24"/>
        </w:rPr>
        <w:t xml:space="preserve"> is heavily governed by </w:t>
      </w:r>
      <w:r w:rsidR="001B6186">
        <w:rPr>
          <w:sz w:val="24"/>
          <w:szCs w:val="24"/>
        </w:rPr>
        <w:t>its</w:t>
      </w:r>
      <w:r w:rsidR="005507FB">
        <w:rPr>
          <w:sz w:val="24"/>
          <w:szCs w:val="24"/>
        </w:rPr>
        <w:t xml:space="preserve"> member states. </w:t>
      </w:r>
      <w:r w:rsidR="00730A76">
        <w:rPr>
          <w:sz w:val="24"/>
          <w:szCs w:val="24"/>
        </w:rPr>
        <w:t xml:space="preserve">In </w:t>
      </w:r>
      <w:r w:rsidR="000E2201">
        <w:rPr>
          <w:sz w:val="24"/>
          <w:szCs w:val="24"/>
        </w:rPr>
        <w:t>addition,</w:t>
      </w:r>
      <w:r w:rsidR="00730A76">
        <w:rPr>
          <w:sz w:val="24"/>
          <w:szCs w:val="24"/>
        </w:rPr>
        <w:t xml:space="preserve"> UNESCO works within a global structure and </w:t>
      </w:r>
      <w:r w:rsidR="0034093A">
        <w:rPr>
          <w:sz w:val="24"/>
          <w:szCs w:val="24"/>
        </w:rPr>
        <w:t xml:space="preserve">it would be a mistake to </w:t>
      </w:r>
      <w:r w:rsidR="00D33CE6">
        <w:rPr>
          <w:sz w:val="24"/>
          <w:szCs w:val="24"/>
        </w:rPr>
        <w:t xml:space="preserve">only view </w:t>
      </w:r>
      <w:r w:rsidR="0034093A">
        <w:rPr>
          <w:sz w:val="24"/>
          <w:szCs w:val="24"/>
        </w:rPr>
        <w:t>heritage in this way.  Indeed</w:t>
      </w:r>
      <w:r w:rsidR="00C56333">
        <w:rPr>
          <w:sz w:val="24"/>
          <w:szCs w:val="24"/>
        </w:rPr>
        <w:t xml:space="preserve"> heritage operates at a much more local level, particularly when considering notions of identity and memory.</w:t>
      </w:r>
    </w:p>
    <w:p w14:paraId="365912F8" w14:textId="1181D13B" w:rsidR="006D573F" w:rsidRDefault="00E8651A" w:rsidP="00D827DA">
      <w:pPr>
        <w:ind w:right="-3"/>
        <w:rPr>
          <w:sz w:val="24"/>
          <w:szCs w:val="24"/>
        </w:rPr>
      </w:pPr>
      <w:r>
        <w:rPr>
          <w:sz w:val="24"/>
          <w:szCs w:val="24"/>
        </w:rPr>
        <w:t xml:space="preserve">Heritage </w:t>
      </w:r>
      <w:r w:rsidR="00B14576">
        <w:rPr>
          <w:sz w:val="24"/>
          <w:szCs w:val="24"/>
        </w:rPr>
        <w:t xml:space="preserve">matters as a commodity, particularly within the tourism where </w:t>
      </w:r>
      <w:r w:rsidR="00E53119">
        <w:rPr>
          <w:sz w:val="24"/>
          <w:szCs w:val="24"/>
        </w:rPr>
        <w:t xml:space="preserve">statistics show that </w:t>
      </w:r>
      <w:r w:rsidR="00435D11">
        <w:rPr>
          <w:sz w:val="24"/>
          <w:szCs w:val="24"/>
        </w:rPr>
        <w:t xml:space="preserve">in 2022 – 2023, </w:t>
      </w:r>
      <w:r w:rsidR="002B282A">
        <w:rPr>
          <w:sz w:val="24"/>
          <w:szCs w:val="24"/>
        </w:rPr>
        <w:t>34% of adults visited an  heritage site in Eng</w:t>
      </w:r>
      <w:r w:rsidR="00435D11">
        <w:rPr>
          <w:sz w:val="24"/>
          <w:szCs w:val="24"/>
        </w:rPr>
        <w:t>land at least three times a year.</w:t>
      </w:r>
      <w:r w:rsidR="00F047E3">
        <w:rPr>
          <w:rStyle w:val="FootnoteReference"/>
          <w:sz w:val="24"/>
          <w:szCs w:val="24"/>
        </w:rPr>
        <w:footnoteReference w:id="15"/>
      </w:r>
      <w:r w:rsidR="00435D11">
        <w:rPr>
          <w:sz w:val="24"/>
          <w:szCs w:val="24"/>
        </w:rPr>
        <w:t xml:space="preserve"> </w:t>
      </w:r>
      <w:r w:rsidR="00F046B1">
        <w:rPr>
          <w:sz w:val="24"/>
          <w:szCs w:val="24"/>
        </w:rPr>
        <w:t xml:space="preserve">Alongside this, in December 2023 Historic England reported that </w:t>
      </w:r>
      <w:r w:rsidR="00902C5C">
        <w:rPr>
          <w:sz w:val="24"/>
          <w:szCs w:val="24"/>
        </w:rPr>
        <w:t>£</w:t>
      </w:r>
      <w:r w:rsidR="00CE28FE">
        <w:rPr>
          <w:sz w:val="24"/>
          <w:szCs w:val="24"/>
        </w:rPr>
        <w:t>1.3 billion was generated by visitors to historic houses</w:t>
      </w:r>
      <w:r w:rsidR="00137C72">
        <w:rPr>
          <w:sz w:val="24"/>
          <w:szCs w:val="24"/>
        </w:rPr>
        <w:t xml:space="preserve">, with the UNESCO brand </w:t>
      </w:r>
      <w:r w:rsidR="008E59E5">
        <w:rPr>
          <w:sz w:val="24"/>
          <w:szCs w:val="24"/>
        </w:rPr>
        <w:t xml:space="preserve">aiding the British economy by </w:t>
      </w:r>
      <w:r w:rsidR="00A21E92">
        <w:rPr>
          <w:sz w:val="24"/>
          <w:szCs w:val="24"/>
        </w:rPr>
        <w:t>£151 million.</w:t>
      </w:r>
      <w:r w:rsidR="00013F5C">
        <w:rPr>
          <w:rStyle w:val="FootnoteReference"/>
          <w:sz w:val="24"/>
          <w:szCs w:val="24"/>
        </w:rPr>
        <w:footnoteReference w:id="16"/>
      </w:r>
      <w:r w:rsidR="00A21E92">
        <w:rPr>
          <w:sz w:val="24"/>
          <w:szCs w:val="24"/>
        </w:rPr>
        <w:t xml:space="preserve">  </w:t>
      </w:r>
      <w:r w:rsidR="008E59E5">
        <w:rPr>
          <w:sz w:val="24"/>
          <w:szCs w:val="24"/>
        </w:rPr>
        <w:t xml:space="preserve"> </w:t>
      </w:r>
      <w:r w:rsidR="001C1D0A">
        <w:rPr>
          <w:sz w:val="24"/>
          <w:szCs w:val="24"/>
        </w:rPr>
        <w:t>By</w:t>
      </w:r>
      <w:r w:rsidR="00C03699">
        <w:rPr>
          <w:sz w:val="24"/>
          <w:szCs w:val="24"/>
        </w:rPr>
        <w:t xml:space="preserve"> implication,</w:t>
      </w:r>
      <w:r w:rsidR="0009032F">
        <w:rPr>
          <w:sz w:val="24"/>
          <w:szCs w:val="24"/>
        </w:rPr>
        <w:t xml:space="preserve"> </w:t>
      </w:r>
      <w:r w:rsidR="00F23813">
        <w:rPr>
          <w:sz w:val="24"/>
          <w:szCs w:val="24"/>
        </w:rPr>
        <w:t xml:space="preserve">heritage of this kind is </w:t>
      </w:r>
      <w:r w:rsidR="00EB6E69">
        <w:rPr>
          <w:sz w:val="24"/>
          <w:szCs w:val="24"/>
        </w:rPr>
        <w:t>accessible only to those who have the financial means to engage with it</w:t>
      </w:r>
      <w:r w:rsidR="00821D31">
        <w:rPr>
          <w:sz w:val="24"/>
          <w:szCs w:val="24"/>
        </w:rPr>
        <w:t xml:space="preserve">, debarring </w:t>
      </w:r>
      <w:r w:rsidR="00D67BB6">
        <w:rPr>
          <w:sz w:val="24"/>
          <w:szCs w:val="24"/>
        </w:rPr>
        <w:t>those without the necessary resources</w:t>
      </w:r>
      <w:r w:rsidR="009319CD">
        <w:rPr>
          <w:sz w:val="24"/>
          <w:szCs w:val="24"/>
        </w:rPr>
        <w:t xml:space="preserve">.  In addition, </w:t>
      </w:r>
      <w:r w:rsidR="006071F7">
        <w:rPr>
          <w:sz w:val="24"/>
          <w:szCs w:val="24"/>
        </w:rPr>
        <w:t xml:space="preserve">Hewison </w:t>
      </w:r>
      <w:r w:rsidR="008919D5">
        <w:rPr>
          <w:sz w:val="24"/>
          <w:szCs w:val="24"/>
        </w:rPr>
        <w:t>argues that heritage has become a form of ‘popular entertainment</w:t>
      </w:r>
      <w:r w:rsidR="001D3FF2">
        <w:rPr>
          <w:sz w:val="24"/>
          <w:szCs w:val="24"/>
        </w:rPr>
        <w:t xml:space="preserve">’ which acts to </w:t>
      </w:r>
      <w:r w:rsidR="005D3FB1">
        <w:rPr>
          <w:sz w:val="24"/>
          <w:szCs w:val="24"/>
        </w:rPr>
        <w:t>create a nostalgia for the past and a distraction from the present.</w:t>
      </w:r>
      <w:r w:rsidR="008B4761">
        <w:rPr>
          <w:rStyle w:val="FootnoteReference"/>
          <w:sz w:val="24"/>
          <w:szCs w:val="24"/>
        </w:rPr>
        <w:footnoteReference w:id="17"/>
      </w:r>
      <w:r w:rsidR="001D3FF2">
        <w:rPr>
          <w:sz w:val="24"/>
          <w:szCs w:val="24"/>
        </w:rPr>
        <w:t xml:space="preserve"> </w:t>
      </w:r>
      <w:r w:rsidR="00A94971">
        <w:rPr>
          <w:sz w:val="24"/>
          <w:szCs w:val="24"/>
        </w:rPr>
        <w:t xml:space="preserve"> It could be argued that this can be seen in the contemporary debates surrounding the </w:t>
      </w:r>
      <w:r w:rsidR="00057536">
        <w:rPr>
          <w:sz w:val="24"/>
          <w:szCs w:val="24"/>
        </w:rPr>
        <w:t xml:space="preserve">positive </w:t>
      </w:r>
      <w:r w:rsidR="00A94971">
        <w:rPr>
          <w:sz w:val="24"/>
          <w:szCs w:val="24"/>
        </w:rPr>
        <w:t xml:space="preserve">iconography of </w:t>
      </w:r>
      <w:r w:rsidR="007B5370">
        <w:rPr>
          <w:sz w:val="24"/>
          <w:szCs w:val="24"/>
        </w:rPr>
        <w:t xml:space="preserve">slave owners </w:t>
      </w:r>
      <w:r w:rsidR="00057536">
        <w:rPr>
          <w:sz w:val="24"/>
          <w:szCs w:val="24"/>
        </w:rPr>
        <w:t xml:space="preserve">in the UK and the subsequent realignment of </w:t>
      </w:r>
      <w:r w:rsidR="00076FDC">
        <w:rPr>
          <w:sz w:val="24"/>
          <w:szCs w:val="24"/>
        </w:rPr>
        <w:t>narratives surrounding these individuals</w:t>
      </w:r>
      <w:r w:rsidR="00D10861">
        <w:rPr>
          <w:sz w:val="24"/>
          <w:szCs w:val="24"/>
        </w:rPr>
        <w:t xml:space="preserve">.  </w:t>
      </w:r>
      <w:r w:rsidR="006D573F">
        <w:rPr>
          <w:sz w:val="24"/>
          <w:szCs w:val="24"/>
        </w:rPr>
        <w:t>Notwithstanding Hewison’s arguments</w:t>
      </w:r>
      <w:r w:rsidR="001C1D0A">
        <w:rPr>
          <w:sz w:val="24"/>
          <w:szCs w:val="24"/>
        </w:rPr>
        <w:t>, however</w:t>
      </w:r>
      <w:r w:rsidR="007B5370">
        <w:rPr>
          <w:sz w:val="24"/>
          <w:szCs w:val="24"/>
        </w:rPr>
        <w:t xml:space="preserve"> </w:t>
      </w:r>
      <w:r w:rsidR="001C1D0A">
        <w:rPr>
          <w:sz w:val="24"/>
          <w:szCs w:val="24"/>
        </w:rPr>
        <w:t xml:space="preserve">it remains evident that heritage </w:t>
      </w:r>
      <w:r w:rsidR="00FD62BF">
        <w:rPr>
          <w:sz w:val="24"/>
          <w:szCs w:val="24"/>
        </w:rPr>
        <w:t xml:space="preserve">serves a major role in the economies </w:t>
      </w:r>
      <w:r w:rsidR="005974B1">
        <w:rPr>
          <w:sz w:val="24"/>
          <w:szCs w:val="24"/>
        </w:rPr>
        <w:t xml:space="preserve"> </w:t>
      </w:r>
      <w:r w:rsidR="00017536">
        <w:rPr>
          <w:sz w:val="24"/>
          <w:szCs w:val="24"/>
        </w:rPr>
        <w:t xml:space="preserve">of many nation states.  </w:t>
      </w:r>
    </w:p>
    <w:p w14:paraId="092C08CF" w14:textId="04BCF479" w:rsidR="00FA410E" w:rsidRDefault="005C5F63" w:rsidP="00C26DE6">
      <w:pPr>
        <w:ind w:right="-3"/>
        <w:rPr>
          <w:sz w:val="24"/>
          <w:szCs w:val="24"/>
        </w:rPr>
      </w:pPr>
      <w:r>
        <w:rPr>
          <w:sz w:val="24"/>
          <w:szCs w:val="24"/>
        </w:rPr>
        <w:t xml:space="preserve">There is a tension between </w:t>
      </w:r>
      <w:r w:rsidR="00AE6655">
        <w:rPr>
          <w:sz w:val="24"/>
          <w:szCs w:val="24"/>
        </w:rPr>
        <w:t>heritage as the relationship between people, places</w:t>
      </w:r>
      <w:r w:rsidR="004F0614">
        <w:rPr>
          <w:sz w:val="24"/>
          <w:szCs w:val="24"/>
        </w:rPr>
        <w:t xml:space="preserve"> and memory – that which is generally known as unofficial heritage, and the official state ascribed </w:t>
      </w:r>
      <w:r w:rsidR="00D827DA">
        <w:rPr>
          <w:sz w:val="24"/>
          <w:szCs w:val="24"/>
        </w:rPr>
        <w:t xml:space="preserve">tangible and intangible </w:t>
      </w:r>
      <w:r w:rsidR="004F0614">
        <w:rPr>
          <w:sz w:val="24"/>
          <w:szCs w:val="24"/>
        </w:rPr>
        <w:t>heritage</w:t>
      </w:r>
      <w:r w:rsidR="0018166D">
        <w:rPr>
          <w:sz w:val="24"/>
          <w:szCs w:val="24"/>
        </w:rPr>
        <w:t>. Multiple heritages exist through this process</w:t>
      </w:r>
      <w:r w:rsidR="004726DA">
        <w:rPr>
          <w:sz w:val="24"/>
          <w:szCs w:val="24"/>
        </w:rPr>
        <w:t xml:space="preserve"> and at the macro/local level. </w:t>
      </w:r>
      <w:r w:rsidR="005E258A">
        <w:rPr>
          <w:sz w:val="24"/>
          <w:szCs w:val="24"/>
        </w:rPr>
        <w:t xml:space="preserve">  </w:t>
      </w:r>
      <w:r w:rsidR="00D60B70">
        <w:rPr>
          <w:sz w:val="24"/>
          <w:szCs w:val="24"/>
        </w:rPr>
        <w:t>Regarding</w:t>
      </w:r>
      <w:r w:rsidR="000C09E8">
        <w:rPr>
          <w:sz w:val="24"/>
          <w:szCs w:val="24"/>
        </w:rPr>
        <w:t xml:space="preserve"> UNESCO</w:t>
      </w:r>
      <w:r w:rsidR="00622F21">
        <w:rPr>
          <w:sz w:val="24"/>
          <w:szCs w:val="24"/>
        </w:rPr>
        <w:t>,</w:t>
      </w:r>
      <w:r w:rsidR="003200E0">
        <w:rPr>
          <w:sz w:val="24"/>
          <w:szCs w:val="24"/>
        </w:rPr>
        <w:t xml:space="preserve"> questions exist regarding </w:t>
      </w:r>
      <w:r w:rsidR="0029278B">
        <w:rPr>
          <w:sz w:val="24"/>
          <w:szCs w:val="24"/>
        </w:rPr>
        <w:t xml:space="preserve">the domination of western heritage models and </w:t>
      </w:r>
      <w:r w:rsidR="004F39F9">
        <w:rPr>
          <w:sz w:val="24"/>
          <w:szCs w:val="24"/>
        </w:rPr>
        <w:t xml:space="preserve">how </w:t>
      </w:r>
      <w:r w:rsidR="00995ACB">
        <w:rPr>
          <w:sz w:val="24"/>
          <w:szCs w:val="24"/>
        </w:rPr>
        <w:t>sites of ‘outstanding universal value’ are categorised</w:t>
      </w:r>
      <w:r w:rsidR="008B714F">
        <w:rPr>
          <w:rStyle w:val="FootnoteReference"/>
          <w:sz w:val="24"/>
          <w:szCs w:val="24"/>
        </w:rPr>
        <w:footnoteReference w:id="18"/>
      </w:r>
      <w:r w:rsidR="005B1D1B">
        <w:rPr>
          <w:sz w:val="24"/>
          <w:szCs w:val="24"/>
        </w:rPr>
        <w:t xml:space="preserve">. Linked to this is the </w:t>
      </w:r>
      <w:r w:rsidR="000C3DE2">
        <w:rPr>
          <w:sz w:val="24"/>
          <w:szCs w:val="24"/>
        </w:rPr>
        <w:t>question that Rodwell poses as to whether</w:t>
      </w:r>
      <w:r w:rsidR="008B714F">
        <w:rPr>
          <w:sz w:val="24"/>
          <w:szCs w:val="24"/>
        </w:rPr>
        <w:t xml:space="preserve"> ‘…</w:t>
      </w:r>
      <w:r w:rsidR="00977EC2">
        <w:rPr>
          <w:sz w:val="24"/>
          <w:szCs w:val="24"/>
        </w:rPr>
        <w:t>outstanding universal value signify the most outstanding p</w:t>
      </w:r>
      <w:r w:rsidR="00E372DA">
        <w:rPr>
          <w:sz w:val="24"/>
          <w:szCs w:val="24"/>
        </w:rPr>
        <w:t>laces in the world?’</w:t>
      </w:r>
      <w:r w:rsidR="00E372DA">
        <w:rPr>
          <w:rStyle w:val="FootnoteReference"/>
          <w:sz w:val="24"/>
          <w:szCs w:val="24"/>
        </w:rPr>
        <w:footnoteReference w:id="19"/>
      </w:r>
      <w:r w:rsidR="00E372DA">
        <w:rPr>
          <w:sz w:val="24"/>
          <w:szCs w:val="24"/>
        </w:rPr>
        <w:t xml:space="preserve"> </w:t>
      </w:r>
      <w:r w:rsidR="000B65D5">
        <w:rPr>
          <w:sz w:val="24"/>
          <w:szCs w:val="24"/>
        </w:rPr>
        <w:t>This essay suggests that, for individuals, it may matter greatly; after all for most populations, the notion of cultural heritage and outstanding value is local based and local</w:t>
      </w:r>
      <w:r w:rsidR="00D33CE6">
        <w:rPr>
          <w:sz w:val="24"/>
          <w:szCs w:val="24"/>
        </w:rPr>
        <w:t>ly</w:t>
      </w:r>
      <w:r w:rsidR="000B65D5">
        <w:rPr>
          <w:sz w:val="24"/>
          <w:szCs w:val="24"/>
        </w:rPr>
        <w:t xml:space="preserve"> mediated.   </w:t>
      </w:r>
      <w:r w:rsidR="00C31EAD">
        <w:rPr>
          <w:sz w:val="24"/>
          <w:szCs w:val="24"/>
        </w:rPr>
        <w:t xml:space="preserve">Furthermore, </w:t>
      </w:r>
      <w:r w:rsidR="00622F21">
        <w:rPr>
          <w:sz w:val="24"/>
          <w:szCs w:val="24"/>
        </w:rPr>
        <w:t>at national level</w:t>
      </w:r>
      <w:r w:rsidR="00002CAA">
        <w:rPr>
          <w:sz w:val="24"/>
          <w:szCs w:val="24"/>
        </w:rPr>
        <w:t>, questions regarding decision making</w:t>
      </w:r>
      <w:r w:rsidR="007F11AA">
        <w:rPr>
          <w:sz w:val="24"/>
          <w:szCs w:val="24"/>
        </w:rPr>
        <w:t xml:space="preserve"> are an intrinsic part of heritage discourse.  </w:t>
      </w:r>
      <w:r w:rsidR="008E51E9">
        <w:rPr>
          <w:sz w:val="24"/>
          <w:szCs w:val="24"/>
        </w:rPr>
        <w:t xml:space="preserve">The question </w:t>
      </w:r>
      <w:r w:rsidR="00563D7A">
        <w:rPr>
          <w:sz w:val="24"/>
          <w:szCs w:val="24"/>
        </w:rPr>
        <w:t xml:space="preserve">therefore, </w:t>
      </w:r>
      <w:r w:rsidR="008E51E9">
        <w:rPr>
          <w:sz w:val="24"/>
          <w:szCs w:val="24"/>
        </w:rPr>
        <w:t xml:space="preserve">of </w:t>
      </w:r>
      <w:r w:rsidR="00563D7A" w:rsidRPr="00D33CE6">
        <w:rPr>
          <w:i/>
          <w:iCs/>
          <w:sz w:val="24"/>
          <w:szCs w:val="24"/>
        </w:rPr>
        <w:t>what</w:t>
      </w:r>
      <w:r w:rsidR="00563D7A">
        <w:rPr>
          <w:sz w:val="24"/>
          <w:szCs w:val="24"/>
        </w:rPr>
        <w:t xml:space="preserve"> heritage matters is arguably of equal importance as the question of </w:t>
      </w:r>
      <w:r w:rsidR="00563D7A" w:rsidRPr="00D33CE6">
        <w:rPr>
          <w:i/>
          <w:iCs/>
          <w:sz w:val="24"/>
          <w:szCs w:val="24"/>
        </w:rPr>
        <w:t>why</w:t>
      </w:r>
      <w:r w:rsidR="00563D7A">
        <w:rPr>
          <w:sz w:val="24"/>
          <w:szCs w:val="24"/>
        </w:rPr>
        <w:t xml:space="preserve"> heritage matters</w:t>
      </w:r>
      <w:r w:rsidR="000B65D5">
        <w:rPr>
          <w:sz w:val="24"/>
          <w:szCs w:val="24"/>
        </w:rPr>
        <w:t xml:space="preserve">.  Heritage is not inherent.  </w:t>
      </w:r>
      <w:r w:rsidR="00F65494">
        <w:rPr>
          <w:sz w:val="24"/>
          <w:szCs w:val="24"/>
        </w:rPr>
        <w:t xml:space="preserve">There is no intrinsic value attached to </w:t>
      </w:r>
      <w:r w:rsidR="00815E08">
        <w:rPr>
          <w:sz w:val="24"/>
          <w:szCs w:val="24"/>
        </w:rPr>
        <w:t>either tangible or intangible</w:t>
      </w:r>
      <w:r w:rsidR="00D33CE6">
        <w:rPr>
          <w:sz w:val="24"/>
          <w:szCs w:val="24"/>
        </w:rPr>
        <w:t xml:space="preserve"> </w:t>
      </w:r>
      <w:r w:rsidR="00334C5D">
        <w:rPr>
          <w:sz w:val="24"/>
          <w:szCs w:val="24"/>
        </w:rPr>
        <w:t>heritage</w:t>
      </w:r>
      <w:r w:rsidR="00D33CE6">
        <w:rPr>
          <w:sz w:val="24"/>
          <w:szCs w:val="24"/>
        </w:rPr>
        <w:t xml:space="preserve"> </w:t>
      </w:r>
      <w:r w:rsidR="00334C5D">
        <w:rPr>
          <w:sz w:val="24"/>
          <w:szCs w:val="24"/>
        </w:rPr>
        <w:t xml:space="preserve"> other than the one </w:t>
      </w:r>
      <w:r w:rsidR="00815E08">
        <w:rPr>
          <w:sz w:val="24"/>
          <w:szCs w:val="24"/>
        </w:rPr>
        <w:t>ascribed to it</w:t>
      </w:r>
      <w:r w:rsidR="009E57CE">
        <w:rPr>
          <w:sz w:val="24"/>
          <w:szCs w:val="24"/>
        </w:rPr>
        <w:t>.</w:t>
      </w:r>
      <w:r w:rsidR="009E57CE">
        <w:rPr>
          <w:rStyle w:val="FootnoteReference"/>
          <w:sz w:val="24"/>
          <w:szCs w:val="24"/>
        </w:rPr>
        <w:footnoteReference w:id="20"/>
      </w:r>
      <w:r w:rsidR="000B65D5">
        <w:rPr>
          <w:sz w:val="24"/>
          <w:szCs w:val="24"/>
        </w:rPr>
        <w:t xml:space="preserve"> </w:t>
      </w:r>
      <w:r w:rsidR="00DE4E12">
        <w:rPr>
          <w:sz w:val="24"/>
          <w:szCs w:val="24"/>
        </w:rPr>
        <w:t xml:space="preserve">Indeed, Smith argues that </w:t>
      </w:r>
      <w:r w:rsidR="006473D5">
        <w:rPr>
          <w:sz w:val="24"/>
          <w:szCs w:val="24"/>
        </w:rPr>
        <w:t xml:space="preserve">not only is heritage performative </w:t>
      </w:r>
      <w:r w:rsidR="00FA410E">
        <w:rPr>
          <w:sz w:val="24"/>
          <w:szCs w:val="24"/>
        </w:rPr>
        <w:t>‘[it]</w:t>
      </w:r>
      <w:r w:rsidR="00FA410E" w:rsidRPr="00FA410E">
        <w:rPr>
          <w:sz w:val="24"/>
          <w:szCs w:val="24"/>
        </w:rPr>
        <w:t>is used to construct</w:t>
      </w:r>
      <w:r w:rsidR="00FA410E">
        <w:rPr>
          <w:sz w:val="24"/>
          <w:szCs w:val="24"/>
        </w:rPr>
        <w:t xml:space="preserve">, </w:t>
      </w:r>
      <w:r w:rsidR="00FA410E" w:rsidRPr="00FA410E">
        <w:rPr>
          <w:sz w:val="24"/>
          <w:szCs w:val="24"/>
        </w:rPr>
        <w:t>reconstruct and negotiate a range of identities and social and cultural values</w:t>
      </w:r>
      <w:r w:rsidR="00FA410E">
        <w:rPr>
          <w:sz w:val="24"/>
          <w:szCs w:val="24"/>
        </w:rPr>
        <w:t xml:space="preserve"> </w:t>
      </w:r>
      <w:r w:rsidR="00FA410E" w:rsidRPr="00FA410E">
        <w:rPr>
          <w:sz w:val="24"/>
          <w:szCs w:val="24"/>
        </w:rPr>
        <w:t>and meanings in the present</w:t>
      </w:r>
      <w:r w:rsidR="00FA410E">
        <w:rPr>
          <w:sz w:val="24"/>
          <w:szCs w:val="24"/>
        </w:rPr>
        <w:t>’</w:t>
      </w:r>
      <w:r w:rsidR="00FA410E" w:rsidRPr="00FA410E">
        <w:rPr>
          <w:sz w:val="24"/>
          <w:szCs w:val="24"/>
        </w:rPr>
        <w:t>.</w:t>
      </w:r>
      <w:r w:rsidR="00FA410E">
        <w:rPr>
          <w:rStyle w:val="FootnoteReference"/>
          <w:sz w:val="24"/>
          <w:szCs w:val="24"/>
        </w:rPr>
        <w:footnoteReference w:id="21"/>
      </w:r>
      <w:r w:rsidR="00C85271">
        <w:rPr>
          <w:sz w:val="24"/>
          <w:szCs w:val="24"/>
        </w:rPr>
        <w:t xml:space="preserve"> </w:t>
      </w:r>
      <w:r w:rsidR="00C26DE6">
        <w:rPr>
          <w:sz w:val="24"/>
          <w:szCs w:val="24"/>
        </w:rPr>
        <w:t xml:space="preserve"> </w:t>
      </w:r>
      <w:r w:rsidR="007327AB">
        <w:rPr>
          <w:sz w:val="24"/>
          <w:szCs w:val="24"/>
        </w:rPr>
        <w:t xml:space="preserve">From the perspective of state decision making, </w:t>
      </w:r>
      <w:r w:rsidR="00AC67B8">
        <w:rPr>
          <w:sz w:val="24"/>
          <w:szCs w:val="24"/>
        </w:rPr>
        <w:t>Smith names this ‘Authorised Heritage Discourse</w:t>
      </w:r>
      <w:r w:rsidR="00D56394">
        <w:rPr>
          <w:sz w:val="24"/>
          <w:szCs w:val="24"/>
        </w:rPr>
        <w:t xml:space="preserve"> (AHD)</w:t>
      </w:r>
      <w:r w:rsidR="00AC67B8">
        <w:rPr>
          <w:sz w:val="24"/>
          <w:szCs w:val="24"/>
        </w:rPr>
        <w:t>’</w:t>
      </w:r>
      <w:r w:rsidR="00910B5E">
        <w:rPr>
          <w:sz w:val="24"/>
          <w:szCs w:val="24"/>
        </w:rPr>
        <w:t xml:space="preserve">, </w:t>
      </w:r>
      <w:r w:rsidR="002A65B5">
        <w:rPr>
          <w:sz w:val="24"/>
          <w:szCs w:val="24"/>
        </w:rPr>
        <w:t xml:space="preserve">and </w:t>
      </w:r>
      <w:r w:rsidR="00E77888">
        <w:rPr>
          <w:sz w:val="24"/>
          <w:szCs w:val="24"/>
        </w:rPr>
        <w:t xml:space="preserve">argues that it is </w:t>
      </w:r>
      <w:r w:rsidR="00181FE1">
        <w:rPr>
          <w:sz w:val="24"/>
          <w:szCs w:val="24"/>
        </w:rPr>
        <w:t xml:space="preserve">based on power relationships which </w:t>
      </w:r>
      <w:r w:rsidR="000042B0">
        <w:rPr>
          <w:sz w:val="24"/>
          <w:szCs w:val="24"/>
        </w:rPr>
        <w:t xml:space="preserve">determine the relative value of a </w:t>
      </w:r>
      <w:r w:rsidR="00F03B2E">
        <w:rPr>
          <w:sz w:val="24"/>
          <w:szCs w:val="24"/>
        </w:rPr>
        <w:t>particular heritage object.</w:t>
      </w:r>
      <w:r w:rsidR="00E77888">
        <w:rPr>
          <w:sz w:val="24"/>
          <w:szCs w:val="24"/>
        </w:rPr>
        <w:t xml:space="preserve"> The issue of </w:t>
      </w:r>
      <w:r w:rsidR="00D56394">
        <w:rPr>
          <w:sz w:val="24"/>
          <w:szCs w:val="24"/>
        </w:rPr>
        <w:t>AHD is an extremely important one, and one that can work at all levels</w:t>
      </w:r>
      <w:r w:rsidR="00496177">
        <w:rPr>
          <w:sz w:val="24"/>
          <w:szCs w:val="24"/>
        </w:rPr>
        <w:t xml:space="preserve">.  For example, it is arguable that </w:t>
      </w:r>
      <w:r w:rsidR="00383165">
        <w:rPr>
          <w:sz w:val="24"/>
          <w:szCs w:val="24"/>
        </w:rPr>
        <w:t xml:space="preserve">an exploration of our museum sector </w:t>
      </w:r>
      <w:r w:rsidR="00F600DE">
        <w:rPr>
          <w:sz w:val="24"/>
          <w:szCs w:val="24"/>
        </w:rPr>
        <w:t>illustrates hegemonic</w:t>
      </w:r>
      <w:r w:rsidR="00730FD4">
        <w:rPr>
          <w:sz w:val="24"/>
          <w:szCs w:val="24"/>
        </w:rPr>
        <w:t xml:space="preserve"> associations, where </w:t>
      </w:r>
      <w:r w:rsidR="00897DAE">
        <w:rPr>
          <w:sz w:val="24"/>
          <w:szCs w:val="24"/>
        </w:rPr>
        <w:t xml:space="preserve">institutions like the British Museum represent elite interests, whilst </w:t>
      </w:r>
      <w:r w:rsidR="00B03461">
        <w:rPr>
          <w:sz w:val="24"/>
          <w:szCs w:val="24"/>
        </w:rPr>
        <w:t xml:space="preserve">so called ‘Folk’ Museums, or museums of life such as the </w:t>
      </w:r>
      <w:r w:rsidR="00193157">
        <w:rPr>
          <w:sz w:val="24"/>
          <w:szCs w:val="24"/>
        </w:rPr>
        <w:t>Irish National Heritage Park</w:t>
      </w:r>
      <w:r w:rsidR="00A7687E">
        <w:rPr>
          <w:sz w:val="24"/>
          <w:szCs w:val="24"/>
        </w:rPr>
        <w:t xml:space="preserve"> are predicated on the </w:t>
      </w:r>
      <w:r w:rsidR="00037137">
        <w:rPr>
          <w:sz w:val="24"/>
          <w:szCs w:val="24"/>
        </w:rPr>
        <w:t>illusion of working class and peasant life through time</w:t>
      </w:r>
      <w:r w:rsidR="003969BB">
        <w:rPr>
          <w:sz w:val="24"/>
          <w:szCs w:val="24"/>
        </w:rPr>
        <w:t>.</w:t>
      </w:r>
      <w:r w:rsidR="00037137">
        <w:rPr>
          <w:rStyle w:val="FootnoteReference"/>
          <w:sz w:val="24"/>
          <w:szCs w:val="24"/>
        </w:rPr>
        <w:footnoteReference w:id="22"/>
      </w:r>
      <w:r w:rsidR="003969BB">
        <w:rPr>
          <w:sz w:val="24"/>
          <w:szCs w:val="24"/>
        </w:rPr>
        <w:t xml:space="preserve"> </w:t>
      </w:r>
      <w:r w:rsidR="00E7747D">
        <w:rPr>
          <w:sz w:val="24"/>
          <w:szCs w:val="24"/>
        </w:rPr>
        <w:t>Of equal importance</w:t>
      </w:r>
      <w:r w:rsidR="008464FB">
        <w:rPr>
          <w:sz w:val="24"/>
          <w:szCs w:val="24"/>
        </w:rPr>
        <w:t xml:space="preserve"> in AHD</w:t>
      </w:r>
      <w:r w:rsidR="00E7747D">
        <w:rPr>
          <w:sz w:val="24"/>
          <w:szCs w:val="24"/>
        </w:rPr>
        <w:t xml:space="preserve"> is the notion of invented traditions</w:t>
      </w:r>
      <w:r w:rsidR="008464FB">
        <w:rPr>
          <w:sz w:val="24"/>
          <w:szCs w:val="24"/>
        </w:rPr>
        <w:t xml:space="preserve"> </w:t>
      </w:r>
      <w:r w:rsidR="00925FD1">
        <w:rPr>
          <w:sz w:val="24"/>
          <w:szCs w:val="24"/>
        </w:rPr>
        <w:t xml:space="preserve">which include </w:t>
      </w:r>
      <w:r w:rsidR="001E5204">
        <w:rPr>
          <w:sz w:val="24"/>
          <w:szCs w:val="24"/>
        </w:rPr>
        <w:t>customs and practices which have been established</w:t>
      </w:r>
      <w:r w:rsidR="000C21C8">
        <w:rPr>
          <w:sz w:val="24"/>
          <w:szCs w:val="24"/>
        </w:rPr>
        <w:t xml:space="preserve"> over a brief period of time but which may appear to be relatively old</w:t>
      </w:r>
      <w:r w:rsidR="005F2400">
        <w:rPr>
          <w:sz w:val="24"/>
          <w:szCs w:val="24"/>
        </w:rPr>
        <w:t xml:space="preserve"> and which may be derived from</w:t>
      </w:r>
      <w:r w:rsidR="002450AA">
        <w:rPr>
          <w:sz w:val="24"/>
          <w:szCs w:val="24"/>
        </w:rPr>
        <w:t xml:space="preserve"> archaic </w:t>
      </w:r>
      <w:r w:rsidR="000D39C4">
        <w:rPr>
          <w:sz w:val="24"/>
          <w:szCs w:val="24"/>
        </w:rPr>
        <w:t>foundations</w:t>
      </w:r>
      <w:r w:rsidR="008C6D4A">
        <w:rPr>
          <w:sz w:val="24"/>
          <w:szCs w:val="24"/>
        </w:rPr>
        <w:t xml:space="preserve"> including myth and folktales</w:t>
      </w:r>
      <w:r w:rsidR="000C21C8">
        <w:rPr>
          <w:sz w:val="24"/>
          <w:szCs w:val="24"/>
        </w:rPr>
        <w:t>.  For example,</w:t>
      </w:r>
      <w:r w:rsidR="008C6D4A">
        <w:rPr>
          <w:sz w:val="24"/>
          <w:szCs w:val="24"/>
        </w:rPr>
        <w:t xml:space="preserve"> </w:t>
      </w:r>
      <w:r w:rsidR="00303594">
        <w:rPr>
          <w:sz w:val="24"/>
          <w:szCs w:val="24"/>
        </w:rPr>
        <w:t>Hobsbawn</w:t>
      </w:r>
      <w:r w:rsidR="00D53199">
        <w:rPr>
          <w:sz w:val="24"/>
          <w:szCs w:val="24"/>
        </w:rPr>
        <w:t xml:space="preserve"> </w:t>
      </w:r>
      <w:r w:rsidR="00303594">
        <w:rPr>
          <w:sz w:val="24"/>
          <w:szCs w:val="24"/>
        </w:rPr>
        <w:t xml:space="preserve"> argues that</w:t>
      </w:r>
      <w:r w:rsidR="002A138B">
        <w:rPr>
          <w:sz w:val="24"/>
          <w:szCs w:val="24"/>
        </w:rPr>
        <w:t xml:space="preserve"> cultural heritage in Scotland </w:t>
      </w:r>
      <w:r w:rsidR="00DE7B68">
        <w:rPr>
          <w:sz w:val="24"/>
          <w:szCs w:val="24"/>
        </w:rPr>
        <w:t>was</w:t>
      </w:r>
      <w:r w:rsidR="002A138B">
        <w:rPr>
          <w:sz w:val="24"/>
          <w:szCs w:val="24"/>
        </w:rPr>
        <w:t xml:space="preserve"> largely </w:t>
      </w:r>
      <w:r w:rsidR="00DE7B68">
        <w:rPr>
          <w:sz w:val="24"/>
          <w:szCs w:val="24"/>
        </w:rPr>
        <w:t>constructed in the late eighteenth and early nineteenth century</w:t>
      </w:r>
      <w:r w:rsidR="009C5D6B">
        <w:rPr>
          <w:sz w:val="24"/>
          <w:szCs w:val="24"/>
        </w:rPr>
        <w:t xml:space="preserve">, which included </w:t>
      </w:r>
      <w:r w:rsidR="001F7888">
        <w:rPr>
          <w:sz w:val="24"/>
          <w:szCs w:val="24"/>
        </w:rPr>
        <w:t xml:space="preserve">the cultural revolution against Ireland and the invention of </w:t>
      </w:r>
      <w:r w:rsidR="003B4ECA">
        <w:rPr>
          <w:sz w:val="24"/>
          <w:szCs w:val="24"/>
        </w:rPr>
        <w:t>new traditions including the kilt and bagpipes</w:t>
      </w:r>
      <w:r w:rsidR="004E1C1E">
        <w:rPr>
          <w:sz w:val="24"/>
          <w:szCs w:val="24"/>
        </w:rPr>
        <w:t>.</w:t>
      </w:r>
      <w:r w:rsidR="00ED1A46">
        <w:rPr>
          <w:rStyle w:val="FootnoteReference"/>
          <w:sz w:val="24"/>
          <w:szCs w:val="24"/>
        </w:rPr>
        <w:footnoteReference w:id="23"/>
      </w:r>
      <w:r w:rsidR="004E1C1E">
        <w:rPr>
          <w:sz w:val="24"/>
          <w:szCs w:val="24"/>
        </w:rPr>
        <w:t xml:space="preserve"> The invention of a whole new AHD during this time</w:t>
      </w:r>
      <w:r w:rsidR="00740F01">
        <w:rPr>
          <w:sz w:val="24"/>
          <w:szCs w:val="24"/>
        </w:rPr>
        <w:t xml:space="preserve"> therefore,</w:t>
      </w:r>
      <w:r w:rsidR="004E1C1E">
        <w:rPr>
          <w:sz w:val="24"/>
          <w:szCs w:val="24"/>
        </w:rPr>
        <w:t xml:space="preserve"> </w:t>
      </w:r>
      <w:r w:rsidR="00E35519">
        <w:rPr>
          <w:sz w:val="24"/>
          <w:szCs w:val="24"/>
        </w:rPr>
        <w:t xml:space="preserve">informed a whole new national identity </w:t>
      </w:r>
      <w:r w:rsidR="00E14D94">
        <w:rPr>
          <w:sz w:val="24"/>
          <w:szCs w:val="24"/>
        </w:rPr>
        <w:t>for Scotland.</w:t>
      </w:r>
      <w:r w:rsidR="00740F01">
        <w:rPr>
          <w:sz w:val="24"/>
          <w:szCs w:val="24"/>
        </w:rPr>
        <w:t xml:space="preserve">  </w:t>
      </w:r>
      <w:r w:rsidR="00454409">
        <w:rPr>
          <w:sz w:val="24"/>
          <w:szCs w:val="24"/>
        </w:rPr>
        <w:t xml:space="preserve">Authorised Heritage Discourse can be used </w:t>
      </w:r>
      <w:r w:rsidR="00756B14">
        <w:rPr>
          <w:sz w:val="24"/>
          <w:szCs w:val="24"/>
        </w:rPr>
        <w:t>in a number of ways</w:t>
      </w:r>
      <w:r w:rsidR="0067765B">
        <w:rPr>
          <w:sz w:val="24"/>
          <w:szCs w:val="24"/>
        </w:rPr>
        <w:t xml:space="preserve"> both from the perspective of ‘top down’ control of cu</w:t>
      </w:r>
      <w:r w:rsidR="006A0C00">
        <w:rPr>
          <w:sz w:val="24"/>
          <w:szCs w:val="24"/>
        </w:rPr>
        <w:t xml:space="preserve">ltural heritage at international, national and </w:t>
      </w:r>
      <w:r w:rsidR="00CA1454">
        <w:rPr>
          <w:sz w:val="24"/>
          <w:szCs w:val="24"/>
        </w:rPr>
        <w:t xml:space="preserve">from </w:t>
      </w:r>
      <w:r w:rsidR="00416992">
        <w:rPr>
          <w:sz w:val="24"/>
          <w:szCs w:val="24"/>
        </w:rPr>
        <w:t xml:space="preserve">a ‘bottom up’ standpoint produced by </w:t>
      </w:r>
      <w:r w:rsidR="006A0C00">
        <w:rPr>
          <w:sz w:val="24"/>
          <w:szCs w:val="24"/>
        </w:rPr>
        <w:t xml:space="preserve">local </w:t>
      </w:r>
      <w:r w:rsidR="00416992">
        <w:rPr>
          <w:sz w:val="24"/>
          <w:szCs w:val="24"/>
        </w:rPr>
        <w:t>communities</w:t>
      </w:r>
      <w:r w:rsidR="0012695B">
        <w:rPr>
          <w:sz w:val="24"/>
          <w:szCs w:val="24"/>
        </w:rPr>
        <w:t xml:space="preserve">.  Moreover, </w:t>
      </w:r>
      <w:r w:rsidR="00975605">
        <w:rPr>
          <w:sz w:val="24"/>
          <w:szCs w:val="24"/>
        </w:rPr>
        <w:t>as seen in the Scottish example it can</w:t>
      </w:r>
      <w:r w:rsidR="00876C63">
        <w:rPr>
          <w:sz w:val="24"/>
          <w:szCs w:val="24"/>
        </w:rPr>
        <w:t>,</w:t>
      </w:r>
      <w:r w:rsidR="00975605">
        <w:rPr>
          <w:sz w:val="24"/>
          <w:szCs w:val="24"/>
        </w:rPr>
        <w:t xml:space="preserve"> </w:t>
      </w:r>
      <w:r w:rsidR="000A5AEF">
        <w:rPr>
          <w:sz w:val="24"/>
          <w:szCs w:val="24"/>
        </w:rPr>
        <w:t xml:space="preserve">through the use of invented traditions and propaganda, </w:t>
      </w:r>
      <w:r w:rsidR="0012695B">
        <w:rPr>
          <w:sz w:val="24"/>
          <w:szCs w:val="24"/>
        </w:rPr>
        <w:t>be used to control the narrative</w:t>
      </w:r>
      <w:r w:rsidR="000A5AEF">
        <w:rPr>
          <w:sz w:val="24"/>
          <w:szCs w:val="24"/>
        </w:rPr>
        <w:t xml:space="preserve"> and development of national </w:t>
      </w:r>
      <w:r w:rsidR="001D018D">
        <w:rPr>
          <w:sz w:val="24"/>
          <w:szCs w:val="24"/>
        </w:rPr>
        <w:t>identity and consequent</w:t>
      </w:r>
      <w:r w:rsidR="00975605">
        <w:rPr>
          <w:sz w:val="24"/>
          <w:szCs w:val="24"/>
        </w:rPr>
        <w:t>ly shift the political framework within which a country may operate</w:t>
      </w:r>
      <w:r w:rsidR="00876C63">
        <w:rPr>
          <w:sz w:val="24"/>
          <w:szCs w:val="24"/>
        </w:rPr>
        <w:t xml:space="preserve">. </w:t>
      </w:r>
    </w:p>
    <w:p w14:paraId="502390B3" w14:textId="69F9FCB1" w:rsidR="005C37A0" w:rsidRPr="00FA410E" w:rsidRDefault="003E1449" w:rsidP="003C5CE6">
      <w:pPr>
        <w:ind w:right="-3"/>
        <w:rPr>
          <w:sz w:val="24"/>
          <w:szCs w:val="24"/>
        </w:rPr>
      </w:pPr>
      <w:r>
        <w:rPr>
          <w:sz w:val="24"/>
          <w:szCs w:val="24"/>
        </w:rPr>
        <w:t>In summary, heritage matters</w:t>
      </w:r>
      <w:r w:rsidR="00B73C67">
        <w:rPr>
          <w:sz w:val="24"/>
          <w:szCs w:val="24"/>
        </w:rPr>
        <w:t>, not least because it provides for a cultural identity</w:t>
      </w:r>
      <w:r w:rsidR="0078386A">
        <w:rPr>
          <w:sz w:val="24"/>
          <w:szCs w:val="24"/>
        </w:rPr>
        <w:t xml:space="preserve"> and informs collective memory.  This in turn allows individuals to develop personal heritage</w:t>
      </w:r>
      <w:r w:rsidR="00F867B4">
        <w:rPr>
          <w:sz w:val="24"/>
          <w:szCs w:val="24"/>
        </w:rPr>
        <w:t>s and identities</w:t>
      </w:r>
      <w:r w:rsidR="0078386A">
        <w:rPr>
          <w:sz w:val="24"/>
          <w:szCs w:val="24"/>
        </w:rPr>
        <w:t>.</w:t>
      </w:r>
      <w:r w:rsidR="003D385D">
        <w:rPr>
          <w:sz w:val="24"/>
          <w:szCs w:val="24"/>
        </w:rPr>
        <w:t xml:space="preserve">  However, cultural identity </w:t>
      </w:r>
      <w:r w:rsidR="00F867B4">
        <w:rPr>
          <w:sz w:val="24"/>
          <w:szCs w:val="24"/>
        </w:rPr>
        <w:t>is</w:t>
      </w:r>
      <w:r w:rsidR="00653857">
        <w:rPr>
          <w:sz w:val="24"/>
          <w:szCs w:val="24"/>
        </w:rPr>
        <w:t xml:space="preserve"> also </w:t>
      </w:r>
      <w:r w:rsidR="003C5CE6">
        <w:rPr>
          <w:sz w:val="24"/>
          <w:szCs w:val="24"/>
        </w:rPr>
        <w:t xml:space="preserve">developed through hegemonic relationships, where the collective memory is </w:t>
      </w:r>
      <w:r w:rsidR="000473C4">
        <w:rPr>
          <w:sz w:val="24"/>
          <w:szCs w:val="24"/>
        </w:rPr>
        <w:t xml:space="preserve">ascribed </w:t>
      </w:r>
      <w:r w:rsidR="00BB703A">
        <w:rPr>
          <w:sz w:val="24"/>
          <w:szCs w:val="24"/>
        </w:rPr>
        <w:t xml:space="preserve">in a way </w:t>
      </w:r>
      <w:r w:rsidR="000473C4">
        <w:rPr>
          <w:sz w:val="24"/>
          <w:szCs w:val="24"/>
        </w:rPr>
        <w:t xml:space="preserve">that is deemed to be valuable in </w:t>
      </w:r>
      <w:r w:rsidR="00DC2FA7">
        <w:rPr>
          <w:sz w:val="24"/>
          <w:szCs w:val="24"/>
        </w:rPr>
        <w:t>terms of the Authorised Heritage Discourse, and through</w:t>
      </w:r>
      <w:r w:rsidR="00FA7576">
        <w:rPr>
          <w:sz w:val="24"/>
          <w:szCs w:val="24"/>
        </w:rPr>
        <w:t xml:space="preserve"> the way in which traditions are invented to channel a specific </w:t>
      </w:r>
      <w:r w:rsidR="00D335E7">
        <w:rPr>
          <w:sz w:val="24"/>
          <w:szCs w:val="24"/>
        </w:rPr>
        <w:t>social and political stance.  This is not to say that heritage</w:t>
      </w:r>
      <w:r w:rsidR="005C3D94">
        <w:rPr>
          <w:sz w:val="24"/>
          <w:szCs w:val="24"/>
        </w:rPr>
        <w:t>, particularly intangible heritage</w:t>
      </w:r>
      <w:r w:rsidR="00D335E7">
        <w:rPr>
          <w:sz w:val="24"/>
          <w:szCs w:val="24"/>
        </w:rPr>
        <w:t xml:space="preserve"> should not evolve</w:t>
      </w:r>
      <w:r w:rsidR="00B039E0">
        <w:rPr>
          <w:sz w:val="24"/>
          <w:szCs w:val="24"/>
        </w:rPr>
        <w:t xml:space="preserve">, but </w:t>
      </w:r>
      <w:r w:rsidR="00555198">
        <w:rPr>
          <w:sz w:val="24"/>
          <w:szCs w:val="24"/>
        </w:rPr>
        <w:t xml:space="preserve">the </w:t>
      </w:r>
      <w:r w:rsidR="00B039E0">
        <w:rPr>
          <w:sz w:val="24"/>
          <w:szCs w:val="24"/>
        </w:rPr>
        <w:t xml:space="preserve">motivations </w:t>
      </w:r>
      <w:r w:rsidR="00555198">
        <w:rPr>
          <w:sz w:val="24"/>
          <w:szCs w:val="24"/>
        </w:rPr>
        <w:t xml:space="preserve">for steering such change </w:t>
      </w:r>
      <w:r w:rsidR="00B039E0">
        <w:rPr>
          <w:sz w:val="24"/>
          <w:szCs w:val="24"/>
        </w:rPr>
        <w:t>should be considered</w:t>
      </w:r>
      <w:r w:rsidR="00A73B32">
        <w:rPr>
          <w:sz w:val="24"/>
          <w:szCs w:val="24"/>
        </w:rPr>
        <w:t xml:space="preserve"> and understood.</w:t>
      </w:r>
    </w:p>
    <w:p w14:paraId="795A9F53" w14:textId="77777777" w:rsidR="00FA410E" w:rsidRPr="00FA410E" w:rsidRDefault="00FA410E" w:rsidP="00FA410E">
      <w:pPr>
        <w:ind w:right="-3"/>
        <w:rPr>
          <w:sz w:val="24"/>
          <w:szCs w:val="24"/>
        </w:rPr>
      </w:pPr>
    </w:p>
    <w:p w14:paraId="7BE0D3B1" w14:textId="23FAD977" w:rsidR="003726B9" w:rsidRDefault="003726B9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975638C" w14:textId="1F7C4FA6" w:rsidR="00933A62" w:rsidRDefault="000340BA" w:rsidP="00FA410E">
      <w:pPr>
        <w:ind w:right="-3"/>
        <w:rPr>
          <w:b/>
          <w:bCs/>
          <w:sz w:val="24"/>
          <w:szCs w:val="24"/>
          <w:u w:val="single"/>
        </w:rPr>
      </w:pPr>
      <w:r w:rsidRPr="00403AC8">
        <w:rPr>
          <w:b/>
          <w:bCs/>
          <w:sz w:val="24"/>
          <w:szCs w:val="24"/>
          <w:u w:val="single"/>
        </w:rPr>
        <w:t>Bibliography</w:t>
      </w:r>
    </w:p>
    <w:p w14:paraId="3D97F7C3" w14:textId="77777777" w:rsidR="00403AC8" w:rsidRPr="00403AC8" w:rsidRDefault="00403AC8" w:rsidP="00FA410E">
      <w:pPr>
        <w:ind w:right="-3"/>
        <w:rPr>
          <w:b/>
          <w:bCs/>
          <w:sz w:val="24"/>
          <w:szCs w:val="24"/>
          <w:u w:val="single"/>
        </w:rPr>
      </w:pPr>
    </w:p>
    <w:p w14:paraId="2E58B749" w14:textId="77777777" w:rsidR="000333CC" w:rsidRDefault="000333CC" w:rsidP="000333CC">
      <w:pPr>
        <w:pStyle w:val="FootnoteText"/>
      </w:pPr>
      <w:r>
        <w:t xml:space="preserve">Aljazeera, </w:t>
      </w:r>
      <w:r>
        <w:rPr>
          <w:i/>
          <w:iCs/>
        </w:rPr>
        <w:t xml:space="preserve">US halts UNESCO funding </w:t>
      </w:r>
      <w:r>
        <w:t xml:space="preserve">(2011) </w:t>
      </w:r>
      <w:hyperlink r:id="rId18" w:history="1">
        <w:r w:rsidRPr="00FA5B40">
          <w:rPr>
            <w:rStyle w:val="Hyperlink"/>
          </w:rPr>
          <w:t>https://www.aljazeera.com/features/2011/11/1/us-halts-unesco-funding</w:t>
        </w:r>
      </w:hyperlink>
      <w:r>
        <w:t xml:space="preserve"> [accessed 27th February 2024).  </w:t>
      </w:r>
    </w:p>
    <w:p w14:paraId="69E5C237" w14:textId="77777777" w:rsidR="000333CC" w:rsidRDefault="000333CC" w:rsidP="00550917">
      <w:pPr>
        <w:pStyle w:val="FootnoteText"/>
      </w:pPr>
    </w:p>
    <w:p w14:paraId="3CEE6A32" w14:textId="39576C62" w:rsidR="00550917" w:rsidRDefault="00550917" w:rsidP="00550917">
      <w:pPr>
        <w:pStyle w:val="FootnoteText"/>
      </w:pPr>
      <w:r>
        <w:t xml:space="preserve">Apaydin, V. </w:t>
      </w:r>
      <w:r>
        <w:rPr>
          <w:i/>
          <w:iCs/>
        </w:rPr>
        <w:t xml:space="preserve">Critical Perspectives on Cultural Memory and Heritage Construction, Transformation and Destruction, </w:t>
      </w:r>
      <w:r>
        <w:t xml:space="preserve">(London: UCL Press, 2020) </w:t>
      </w:r>
    </w:p>
    <w:p w14:paraId="4F74BDC9" w14:textId="77777777" w:rsidR="00EA11D8" w:rsidRPr="005F5857" w:rsidRDefault="00EA11D8" w:rsidP="000340BA">
      <w:pPr>
        <w:pStyle w:val="FootnoteText"/>
      </w:pPr>
    </w:p>
    <w:p w14:paraId="20FBA6E5" w14:textId="4CA1B8B7" w:rsidR="000340BA" w:rsidRDefault="000340BA" w:rsidP="000340BA">
      <w:pPr>
        <w:pStyle w:val="FootnoteText"/>
      </w:pPr>
      <w:r>
        <w:t xml:space="preserve">Cambridge University Press and Assessment, Cambridge Dictionary (2024) </w:t>
      </w:r>
      <w:hyperlink r:id="rId19" w:history="1">
        <w:r w:rsidRPr="00FF5951">
          <w:rPr>
            <w:rStyle w:val="Hyperlink"/>
          </w:rPr>
          <w:t>https://dictionary.cambridge.org/dictionary/english/heritage</w:t>
        </w:r>
      </w:hyperlink>
      <w:r>
        <w:t xml:space="preserve"> [accessed 27th February 2024]</w:t>
      </w:r>
    </w:p>
    <w:p w14:paraId="713E6B3E" w14:textId="77777777" w:rsidR="000340BA" w:rsidRDefault="000340BA" w:rsidP="000340BA">
      <w:pPr>
        <w:pStyle w:val="FootnoteText"/>
      </w:pPr>
    </w:p>
    <w:p w14:paraId="44CB3588" w14:textId="77777777" w:rsidR="000333CC" w:rsidRDefault="000333CC" w:rsidP="000333CC">
      <w:pPr>
        <w:pStyle w:val="FootnoteText"/>
      </w:pPr>
      <w:r>
        <w:t xml:space="preserve">Harrison, R. </w:t>
      </w:r>
      <w:r>
        <w:rPr>
          <w:i/>
          <w:iCs/>
        </w:rPr>
        <w:t xml:space="preserve">Understanding the Politics of Heritage </w:t>
      </w:r>
      <w:r>
        <w:t xml:space="preserve">(Milton Keynes: Open University Press, 2010) </w:t>
      </w:r>
    </w:p>
    <w:p w14:paraId="21DAAD46" w14:textId="77777777" w:rsidR="000333CC" w:rsidRDefault="000333CC" w:rsidP="000333CC">
      <w:pPr>
        <w:pStyle w:val="FootnoteText"/>
      </w:pPr>
    </w:p>
    <w:p w14:paraId="31FFC9ED" w14:textId="77777777" w:rsidR="0084258A" w:rsidRDefault="0084258A" w:rsidP="0084258A">
      <w:pPr>
        <w:pStyle w:val="FootnoteText"/>
      </w:pPr>
      <w:r>
        <w:t xml:space="preserve">Historic England, </w:t>
      </w:r>
      <w:r>
        <w:rPr>
          <w:i/>
          <w:iCs/>
        </w:rPr>
        <w:t xml:space="preserve">The Contribution of the Heritage Sector to the Visitor Economy </w:t>
      </w:r>
      <w:r>
        <w:t xml:space="preserve">(2023) </w:t>
      </w:r>
      <w:hyperlink r:id="rId20" w:history="1">
        <w:r w:rsidRPr="00FA5B40">
          <w:rPr>
            <w:rStyle w:val="Hyperlink"/>
          </w:rPr>
          <w:t>https://historicengland.org.uk/research/heritage-counts/heritage-and-economy/visitor-economy/</w:t>
        </w:r>
      </w:hyperlink>
      <w:r>
        <w:t xml:space="preserve"> [accessed 29</w:t>
      </w:r>
      <w:r w:rsidRPr="00FE2153">
        <w:rPr>
          <w:vertAlign w:val="superscript"/>
        </w:rPr>
        <w:t>th</w:t>
      </w:r>
      <w:r>
        <w:t xml:space="preserve"> February 2024]</w:t>
      </w:r>
    </w:p>
    <w:p w14:paraId="0D9AF6AF" w14:textId="77777777" w:rsidR="0084258A" w:rsidRPr="00540EC2" w:rsidRDefault="0084258A" w:rsidP="0084258A">
      <w:pPr>
        <w:pStyle w:val="FootnoteText"/>
      </w:pPr>
    </w:p>
    <w:p w14:paraId="40C0F71B" w14:textId="77777777" w:rsidR="00771DCC" w:rsidRDefault="000340BA" w:rsidP="00771DCC">
      <w:pPr>
        <w:pStyle w:val="FootnoteText"/>
      </w:pPr>
      <w:r>
        <w:t>Hobsbawm,</w:t>
      </w:r>
      <w:r w:rsidR="00EA11D8">
        <w:t xml:space="preserve"> E.</w:t>
      </w:r>
      <w:r>
        <w:t xml:space="preserve"> </w:t>
      </w:r>
      <w:r w:rsidR="00771DCC">
        <w:t xml:space="preserve">and Ranger, T. (ed) </w:t>
      </w:r>
      <w:r>
        <w:rPr>
          <w:i/>
          <w:iCs/>
        </w:rPr>
        <w:t>The Invention of Tradition</w:t>
      </w:r>
      <w:r>
        <w:t xml:space="preserve"> (New York: Cambridge University Press 21</w:t>
      </w:r>
      <w:r w:rsidRPr="009A18CB">
        <w:rPr>
          <w:vertAlign w:val="superscript"/>
        </w:rPr>
        <w:t>st</w:t>
      </w:r>
      <w:r>
        <w:t xml:space="preserve"> printing 2013)</w:t>
      </w:r>
    </w:p>
    <w:p w14:paraId="5A30001A" w14:textId="77777777" w:rsidR="007D18EE" w:rsidRDefault="007D18EE" w:rsidP="00771DCC">
      <w:pPr>
        <w:pStyle w:val="FootnoteText"/>
      </w:pPr>
    </w:p>
    <w:p w14:paraId="50673C91" w14:textId="77777777" w:rsidR="007D18EE" w:rsidRDefault="007D18EE" w:rsidP="007D18EE">
      <w:pPr>
        <w:pStyle w:val="FootnoteText"/>
      </w:pPr>
      <w:r>
        <w:t xml:space="preserve">Irish National Heritage Park (2024) </w:t>
      </w:r>
      <w:hyperlink r:id="rId21" w:history="1">
        <w:r w:rsidRPr="00A06D4E">
          <w:rPr>
            <w:rStyle w:val="Hyperlink"/>
          </w:rPr>
          <w:t>https://irishheritage.ie/</w:t>
        </w:r>
      </w:hyperlink>
      <w:r>
        <w:t xml:space="preserve"> [accessed 1</w:t>
      </w:r>
      <w:r w:rsidRPr="003969BB">
        <w:rPr>
          <w:vertAlign w:val="superscript"/>
        </w:rPr>
        <w:t>st</w:t>
      </w:r>
      <w:r>
        <w:t xml:space="preserve"> March 2024]</w:t>
      </w:r>
    </w:p>
    <w:p w14:paraId="63B2760A" w14:textId="77777777" w:rsidR="007D18EE" w:rsidRDefault="007D18EE" w:rsidP="00771DCC">
      <w:pPr>
        <w:pStyle w:val="FootnoteText"/>
      </w:pPr>
    </w:p>
    <w:p w14:paraId="330D8132" w14:textId="0FD591BB" w:rsidR="0084258A" w:rsidRDefault="0084258A" w:rsidP="0084258A">
      <w:pPr>
        <w:pStyle w:val="FootnoteText"/>
      </w:pPr>
      <w:r w:rsidRPr="00100BB8">
        <w:t>Rodwell</w:t>
      </w:r>
      <w:r>
        <w:t xml:space="preserve">, D. </w:t>
      </w:r>
      <w:r w:rsidRPr="00100BB8">
        <w:t xml:space="preserve"> </w:t>
      </w:r>
      <w:r>
        <w:t>‘</w:t>
      </w:r>
      <w:r w:rsidRPr="00100BB8">
        <w:t xml:space="preserve">The </w:t>
      </w:r>
      <w:r w:rsidR="00403AC8" w:rsidRPr="00100BB8">
        <w:t>UNESCO</w:t>
      </w:r>
      <w:r w:rsidRPr="00100BB8">
        <w:t xml:space="preserve"> World Heritage Convention, 1972–2012: Reflections and Directions, </w:t>
      </w:r>
      <w:r w:rsidRPr="005B14D0">
        <w:rPr>
          <w:i/>
          <w:iCs/>
        </w:rPr>
        <w:t>The Historic Environment: Policy &amp; Practice</w:t>
      </w:r>
      <w:r w:rsidRPr="00100BB8">
        <w:t>, 3:1</w:t>
      </w:r>
      <w:r>
        <w:t xml:space="preserve"> (2012)</w:t>
      </w:r>
      <w:r w:rsidRPr="00100BB8">
        <w:t xml:space="preserve"> DOI: 10.1179/1756750512Z.0000000004</w:t>
      </w:r>
    </w:p>
    <w:p w14:paraId="25341A0D" w14:textId="77777777" w:rsidR="0084258A" w:rsidRDefault="0084258A" w:rsidP="00771DCC">
      <w:pPr>
        <w:pStyle w:val="FootnoteText"/>
      </w:pPr>
    </w:p>
    <w:p w14:paraId="699AC46C" w14:textId="77777777" w:rsidR="00550917" w:rsidRDefault="00550917" w:rsidP="00550917">
      <w:pPr>
        <w:pStyle w:val="FootnoteText"/>
      </w:pPr>
      <w:r w:rsidRPr="00A9096E">
        <w:t xml:space="preserve">Silverman, </w:t>
      </w:r>
      <w:r>
        <w:t xml:space="preserve">S. </w:t>
      </w:r>
      <w:r w:rsidRPr="00A9096E">
        <w:rPr>
          <w:i/>
          <w:iCs/>
        </w:rPr>
        <w:t>Heritage in Action Making th</w:t>
      </w:r>
      <w:r>
        <w:rPr>
          <w:i/>
          <w:iCs/>
        </w:rPr>
        <w:t>e Past in the Present (</w:t>
      </w:r>
      <w:r>
        <w:t xml:space="preserve">Springer, 2017) </w:t>
      </w:r>
      <w:hyperlink r:id="rId22" w:history="1">
        <w:r w:rsidRPr="007E6C06">
          <w:rPr>
            <w:rStyle w:val="Hyperlink"/>
          </w:rPr>
          <w:t>https://www-vlebooks-com.ezproxy.uwts</w:t>
        </w:r>
        <w:r w:rsidRPr="007E6C06">
          <w:rPr>
            <w:rStyle w:val="Hyperlink"/>
          </w:rPr>
          <w:t>d</w:t>
        </w:r>
        <w:r w:rsidRPr="007E6C06">
          <w:rPr>
            <w:rStyle w:val="Hyperlink"/>
          </w:rPr>
          <w:t>.ac.uk/Product/Index/1927016?page=0&amp;startBookmarkId=-1</w:t>
        </w:r>
      </w:hyperlink>
      <w:r>
        <w:t xml:space="preserve"> [accessed 28</w:t>
      </w:r>
      <w:r w:rsidRPr="00933A62">
        <w:rPr>
          <w:vertAlign w:val="superscript"/>
        </w:rPr>
        <w:t>th</w:t>
      </w:r>
      <w:r>
        <w:t xml:space="preserve"> February 2024]</w:t>
      </w:r>
    </w:p>
    <w:p w14:paraId="3FFA2606" w14:textId="77777777" w:rsidR="007D18EE" w:rsidRDefault="007D18EE" w:rsidP="007D18EE">
      <w:pPr>
        <w:pStyle w:val="FootnoteText"/>
      </w:pPr>
    </w:p>
    <w:p w14:paraId="37279C2C" w14:textId="4BF2E2F8" w:rsidR="007D18EE" w:rsidRPr="003E2E79" w:rsidRDefault="007D18EE" w:rsidP="007D18EE">
      <w:pPr>
        <w:pStyle w:val="FootnoteText"/>
      </w:pPr>
      <w:r>
        <w:t xml:space="preserve">Smith, L. </w:t>
      </w:r>
      <w:r>
        <w:rPr>
          <w:i/>
          <w:iCs/>
        </w:rPr>
        <w:t>Uses of Heritage</w:t>
      </w:r>
      <w:r>
        <w:t xml:space="preserve"> (Oxford: Routledge 2006) </w:t>
      </w:r>
    </w:p>
    <w:p w14:paraId="139430FA" w14:textId="77777777" w:rsidR="007D18EE" w:rsidRDefault="007D18EE" w:rsidP="00550917">
      <w:pPr>
        <w:pStyle w:val="FootnoteText"/>
      </w:pPr>
    </w:p>
    <w:p w14:paraId="79C23197" w14:textId="29F56153" w:rsidR="0084258A" w:rsidRDefault="0084258A" w:rsidP="00550917">
      <w:pPr>
        <w:pStyle w:val="FootnoteText"/>
      </w:pPr>
      <w:r>
        <w:t>Statista, S</w:t>
      </w:r>
      <w:r>
        <w:rPr>
          <w:i/>
          <w:iCs/>
        </w:rPr>
        <w:t xml:space="preserve">hare of adults who visited a heritage site in England in the last 12 months in 2022/2023 by frequency </w:t>
      </w:r>
      <w:r>
        <w:t xml:space="preserve">(2024). </w:t>
      </w:r>
      <w:hyperlink r:id="rId23" w:history="1">
        <w:r w:rsidRPr="00DB7F4F">
          <w:rPr>
            <w:rStyle w:val="Hyperlink"/>
          </w:rPr>
          <w:t>https://www.statista.com/statistics/558111/heritage-site-visit-frequency-uk-england/</w:t>
        </w:r>
      </w:hyperlink>
      <w:r w:rsidRPr="00DB7F4F">
        <w:t xml:space="preserve"> [accessed</w:t>
      </w:r>
      <w:r>
        <w:t xml:space="preserve"> 29</w:t>
      </w:r>
      <w:r w:rsidRPr="00276E97">
        <w:rPr>
          <w:vertAlign w:val="superscript"/>
        </w:rPr>
        <w:t>th</w:t>
      </w:r>
      <w:r>
        <w:t xml:space="preserve"> February 2024]</w:t>
      </w:r>
    </w:p>
    <w:p w14:paraId="66DC99BA" w14:textId="77777777" w:rsidR="0084258A" w:rsidRPr="00A9096E" w:rsidRDefault="0084258A" w:rsidP="00550917">
      <w:pPr>
        <w:pStyle w:val="FootnoteText"/>
      </w:pPr>
    </w:p>
    <w:p w14:paraId="3EF4249B" w14:textId="77777777" w:rsidR="001A6D6C" w:rsidRDefault="001A6D6C" w:rsidP="001A6D6C">
      <w:pPr>
        <w:pStyle w:val="FootnoteText"/>
        <w:rPr>
          <w:rFonts w:ascii="Calibri" w:hAnsi="Calibri" w:cs="Calibri"/>
          <w:color w:val="000000"/>
        </w:rPr>
      </w:pPr>
      <w:r w:rsidRPr="00437464">
        <w:rPr>
          <w:rFonts w:ascii="Calibri" w:hAnsi="Calibri" w:cs="Calibri"/>
          <w:color w:val="000000"/>
        </w:rPr>
        <w:t xml:space="preserve">Stig Sørensen, </w:t>
      </w:r>
      <w:r>
        <w:rPr>
          <w:rFonts w:ascii="Calibri" w:hAnsi="Calibri" w:cs="Calibri"/>
          <w:color w:val="000000"/>
        </w:rPr>
        <w:t xml:space="preserve">M. and </w:t>
      </w:r>
      <w:r w:rsidRPr="00437464">
        <w:rPr>
          <w:rFonts w:ascii="Calibri" w:hAnsi="Calibri" w:cs="Calibri"/>
          <w:color w:val="000000"/>
        </w:rPr>
        <w:t>Carman,</w:t>
      </w:r>
      <w:r>
        <w:rPr>
          <w:rFonts w:ascii="Calibri" w:hAnsi="Calibri" w:cs="Calibri"/>
          <w:color w:val="000000"/>
        </w:rPr>
        <w:t xml:space="preserve"> J</w:t>
      </w:r>
      <w:r w:rsidRPr="00437464">
        <w:rPr>
          <w:rFonts w:ascii="Calibri" w:hAnsi="Calibri" w:cs="Calibri"/>
          <w:color w:val="000000"/>
        </w:rPr>
        <w:t xml:space="preserve"> </w:t>
      </w:r>
      <w:r w:rsidRPr="00437464">
        <w:rPr>
          <w:rFonts w:ascii="Calibri" w:hAnsi="Calibri" w:cs="Calibri"/>
          <w:i/>
          <w:iCs/>
          <w:color w:val="000000"/>
        </w:rPr>
        <w:t>Herit</w:t>
      </w:r>
      <w:r>
        <w:rPr>
          <w:rFonts w:ascii="Calibri" w:hAnsi="Calibri" w:cs="Calibri"/>
          <w:i/>
          <w:iCs/>
          <w:color w:val="000000"/>
        </w:rPr>
        <w:t>age Studies: Methods and Approaches</w:t>
      </w:r>
      <w:r>
        <w:rPr>
          <w:rFonts w:ascii="Calibri" w:hAnsi="Calibri" w:cs="Calibri"/>
          <w:color w:val="000000"/>
        </w:rPr>
        <w:t xml:space="preserve"> (Oxford: Routledge 2009) </w:t>
      </w:r>
      <w:hyperlink w:history="1">
        <w:r w:rsidRPr="00A06D4E">
          <w:rPr>
            <w:rStyle w:val="Hyperlink"/>
            <w:rFonts w:ascii="Calibri" w:hAnsi="Calibri" w:cs="Calibri"/>
          </w:rPr>
          <w:t>https://web-p-ebscohost- com.ezproxy.uwtsd.ac.uk/ehost/ebookviewer/ebook/bmxlYmtfXzI4OTgzNl9fQU41?sid=a69c8cf7-90e6-4051-86aa-43621be655ef@redis&amp;vid=2&amp;format=EB&amp;rid=1</w:t>
        </w:r>
      </w:hyperlink>
      <w:r>
        <w:rPr>
          <w:rFonts w:ascii="Calibri" w:hAnsi="Calibri" w:cs="Calibri"/>
          <w:color w:val="000000"/>
        </w:rPr>
        <w:t xml:space="preserve"> [accessed 27</w:t>
      </w:r>
      <w:r w:rsidRPr="002046E1">
        <w:rPr>
          <w:rFonts w:ascii="Calibri" w:hAnsi="Calibri" w:cs="Calibri"/>
          <w:color w:val="000000"/>
          <w:vertAlign w:val="superscript"/>
        </w:rPr>
        <w:t>th</w:t>
      </w:r>
      <w:r>
        <w:rPr>
          <w:rFonts w:ascii="Calibri" w:hAnsi="Calibri" w:cs="Calibri"/>
          <w:color w:val="000000"/>
        </w:rPr>
        <w:t xml:space="preserve"> February 2024]</w:t>
      </w:r>
    </w:p>
    <w:p w14:paraId="11FB73AF" w14:textId="77777777" w:rsidR="00550917" w:rsidRDefault="00550917" w:rsidP="001A6D6C">
      <w:pPr>
        <w:pStyle w:val="FootnoteText"/>
      </w:pPr>
    </w:p>
    <w:p w14:paraId="100EAD5F" w14:textId="77777777" w:rsidR="001A6D6C" w:rsidRPr="00161A2F" w:rsidRDefault="001A6D6C" w:rsidP="001A6D6C">
      <w:pPr>
        <w:pStyle w:val="FootnoteText"/>
      </w:pPr>
    </w:p>
    <w:p w14:paraId="51EE77D3" w14:textId="77777777" w:rsidR="0084258A" w:rsidRDefault="0084258A" w:rsidP="0084258A">
      <w:pPr>
        <w:pStyle w:val="FootnoteText"/>
      </w:pPr>
      <w:r>
        <w:t xml:space="preserve">Time </w:t>
      </w:r>
      <w:r w:rsidRPr="008C0874">
        <w:rPr>
          <w:i/>
          <w:iCs/>
        </w:rPr>
        <w:t>Why the U</w:t>
      </w:r>
      <w:r>
        <w:rPr>
          <w:i/>
          <w:iCs/>
        </w:rPr>
        <w:t xml:space="preserve">nited States is saying goodbye to UNESCO </w:t>
      </w:r>
      <w:r>
        <w:t xml:space="preserve">(2017) </w:t>
      </w:r>
      <w:hyperlink r:id="rId24" w:history="1">
        <w:r w:rsidRPr="00FA5B40">
          <w:rPr>
            <w:rStyle w:val="Hyperlink"/>
          </w:rPr>
          <w:t>https://time.com/4979481/unesco-us-leaving/</w:t>
        </w:r>
      </w:hyperlink>
      <w:r>
        <w:t xml:space="preserve"> [accessed 27</w:t>
      </w:r>
      <w:r w:rsidRPr="00DC0A64">
        <w:rPr>
          <w:vertAlign w:val="superscript"/>
        </w:rPr>
        <w:t>th</w:t>
      </w:r>
      <w:r>
        <w:t xml:space="preserve"> February 2024]</w:t>
      </w:r>
    </w:p>
    <w:p w14:paraId="61CC3599" w14:textId="77777777" w:rsidR="0084258A" w:rsidRDefault="0084258A" w:rsidP="0084258A">
      <w:pPr>
        <w:pStyle w:val="FootnoteText"/>
      </w:pPr>
    </w:p>
    <w:p w14:paraId="1311B363" w14:textId="77777777" w:rsidR="0084258A" w:rsidRDefault="0084258A" w:rsidP="0084258A">
      <w:pPr>
        <w:pStyle w:val="FootnoteText"/>
      </w:pPr>
      <w:r>
        <w:t xml:space="preserve">UNESCO World Heritage Convention, </w:t>
      </w:r>
      <w:r>
        <w:rPr>
          <w:i/>
          <w:iCs/>
        </w:rPr>
        <w:t xml:space="preserve">Policy Compendium </w:t>
      </w:r>
      <w:r>
        <w:t xml:space="preserve">(2024) </w:t>
      </w:r>
      <w:hyperlink r:id="rId25" w:history="1">
        <w:r w:rsidRPr="006C2E23">
          <w:rPr>
            <w:rStyle w:val="Hyperlink"/>
          </w:rPr>
          <w:t xml:space="preserve">https://whc.unesco.org/en/compendium/?&amp;Documents=1&amp;action=list&amp;id_faq_themes=962 </w:t>
        </w:r>
      </w:hyperlink>
      <w:r>
        <w:t xml:space="preserve"> [accessed 28</w:t>
      </w:r>
      <w:r w:rsidRPr="00012DA4">
        <w:rPr>
          <w:vertAlign w:val="superscript"/>
        </w:rPr>
        <w:t>th</w:t>
      </w:r>
      <w:r>
        <w:t xml:space="preserve"> February 2024]</w:t>
      </w:r>
    </w:p>
    <w:p w14:paraId="58ECE4C8" w14:textId="77777777" w:rsidR="0084258A" w:rsidRPr="004E1019" w:rsidRDefault="0084258A" w:rsidP="0084258A">
      <w:pPr>
        <w:pStyle w:val="FootnoteText"/>
      </w:pPr>
    </w:p>
    <w:p w14:paraId="6F9CFBAE" w14:textId="7C1DAD41" w:rsidR="001A6D6C" w:rsidRDefault="001A6D6C" w:rsidP="001A6D6C">
      <w:pPr>
        <w:pStyle w:val="FootnoteText"/>
      </w:pPr>
      <w:r>
        <w:t xml:space="preserve">UNESCO World Heritage Convention, </w:t>
      </w:r>
      <w:r>
        <w:rPr>
          <w:i/>
          <w:iCs/>
        </w:rPr>
        <w:t xml:space="preserve">The List </w:t>
      </w:r>
      <w:r>
        <w:t xml:space="preserve">(2024) </w:t>
      </w:r>
      <w:hyperlink r:id="rId26" w:history="1">
        <w:r w:rsidRPr="006B41CF">
          <w:rPr>
            <w:rStyle w:val="Hyperlink"/>
          </w:rPr>
          <w:t>https://whc.unesco.org/en/about/</w:t>
        </w:r>
      </w:hyperlink>
      <w:r>
        <w:t xml:space="preserve"> [accessed 28</w:t>
      </w:r>
      <w:r w:rsidRPr="00012DA4">
        <w:rPr>
          <w:vertAlign w:val="superscript"/>
        </w:rPr>
        <w:t>th</w:t>
      </w:r>
      <w:r>
        <w:t xml:space="preserve"> February 2024]</w:t>
      </w:r>
    </w:p>
    <w:p w14:paraId="1918C44A" w14:textId="77777777" w:rsidR="00550917" w:rsidRDefault="00550917" w:rsidP="001A6D6C">
      <w:pPr>
        <w:pStyle w:val="FootnoteText"/>
      </w:pPr>
    </w:p>
    <w:p w14:paraId="46A0CF98" w14:textId="77777777" w:rsidR="00550917" w:rsidRDefault="00550917" w:rsidP="00550917">
      <w:pPr>
        <w:pStyle w:val="FootnoteText"/>
      </w:pPr>
      <w:r>
        <w:t xml:space="preserve">UNESCO World Heritage Convention, </w:t>
      </w:r>
      <w:r>
        <w:rPr>
          <w:i/>
          <w:iCs/>
        </w:rPr>
        <w:t xml:space="preserve">World Heritage </w:t>
      </w:r>
      <w:r>
        <w:t xml:space="preserve">(2024) </w:t>
      </w:r>
      <w:hyperlink r:id="rId27" w:history="1">
        <w:r w:rsidRPr="006B41CF">
          <w:rPr>
            <w:rStyle w:val="Hyperlink"/>
          </w:rPr>
          <w:t>https://whc.unesco.org/en/about/</w:t>
        </w:r>
      </w:hyperlink>
      <w:r>
        <w:t xml:space="preserve"> [accessed 28</w:t>
      </w:r>
      <w:r w:rsidRPr="00012DA4">
        <w:rPr>
          <w:vertAlign w:val="superscript"/>
        </w:rPr>
        <w:t>th</w:t>
      </w:r>
      <w:r>
        <w:t xml:space="preserve"> February 2024]</w:t>
      </w:r>
    </w:p>
    <w:p w14:paraId="3858ED9F" w14:textId="77777777" w:rsidR="00550917" w:rsidRDefault="00550917" w:rsidP="001A6D6C">
      <w:pPr>
        <w:pStyle w:val="FootnoteText"/>
      </w:pPr>
    </w:p>
    <w:p w14:paraId="06DFE3F1" w14:textId="77777777" w:rsidR="00550917" w:rsidRDefault="00550917" w:rsidP="001A6D6C">
      <w:pPr>
        <w:pStyle w:val="FootnoteText"/>
      </w:pPr>
    </w:p>
    <w:p w14:paraId="4D2C5C98" w14:textId="77777777" w:rsidR="00550917" w:rsidRPr="00C319BB" w:rsidRDefault="00550917" w:rsidP="00550917">
      <w:pPr>
        <w:pStyle w:val="FootnoteText"/>
      </w:pPr>
      <w:r>
        <w:t xml:space="preserve">Wright, P </w:t>
      </w:r>
      <w:r>
        <w:rPr>
          <w:i/>
          <w:iCs/>
        </w:rPr>
        <w:t xml:space="preserve">On Living in an Old Country: The National Past in Contemporary Britain </w:t>
      </w:r>
      <w:r>
        <w:t>(New York: Oxford University Press, 2009)</w:t>
      </w:r>
    </w:p>
    <w:p w14:paraId="23B40B90" w14:textId="77777777" w:rsidR="00550917" w:rsidRDefault="00550917" w:rsidP="001A6D6C">
      <w:pPr>
        <w:pStyle w:val="FootnoteText"/>
      </w:pPr>
    </w:p>
    <w:p w14:paraId="3249B7A1" w14:textId="77777777" w:rsidR="00550917" w:rsidRPr="00DC4655" w:rsidRDefault="00550917" w:rsidP="00A97980">
      <w:pPr>
        <w:pStyle w:val="FootnoteText"/>
      </w:pPr>
    </w:p>
    <w:p w14:paraId="630DA6CD" w14:textId="77777777" w:rsidR="00550917" w:rsidRDefault="00550917" w:rsidP="001A6D6C">
      <w:pPr>
        <w:pStyle w:val="FootnoteText"/>
      </w:pPr>
    </w:p>
    <w:p w14:paraId="331C80D2" w14:textId="6407310A" w:rsidR="0084258A" w:rsidRPr="00DB7F4F" w:rsidRDefault="0084258A" w:rsidP="0084258A">
      <w:pPr>
        <w:pStyle w:val="FootnoteText"/>
      </w:pPr>
    </w:p>
    <w:p w14:paraId="0416F738" w14:textId="77777777" w:rsidR="001A6D6C" w:rsidRPr="003726B9" w:rsidRDefault="001A6D6C" w:rsidP="00FA410E">
      <w:pPr>
        <w:ind w:right="-3"/>
        <w:rPr>
          <w:b/>
          <w:bCs/>
          <w:sz w:val="24"/>
          <w:szCs w:val="24"/>
        </w:rPr>
      </w:pPr>
    </w:p>
    <w:sectPr w:rsidR="001A6D6C" w:rsidRPr="003726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F5A94" w14:textId="77777777" w:rsidR="00D74930" w:rsidRDefault="00D74930" w:rsidP="0089385A">
      <w:pPr>
        <w:spacing w:after="0" w:line="240" w:lineRule="auto"/>
      </w:pPr>
      <w:r>
        <w:separator/>
      </w:r>
    </w:p>
  </w:endnote>
  <w:endnote w:type="continuationSeparator" w:id="0">
    <w:p w14:paraId="48E01681" w14:textId="77777777" w:rsidR="00D74930" w:rsidRDefault="00D74930" w:rsidP="008938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9F3F4F" w14:textId="77777777" w:rsidR="00D74930" w:rsidRDefault="00D74930" w:rsidP="0089385A">
      <w:pPr>
        <w:spacing w:after="0" w:line="240" w:lineRule="auto"/>
      </w:pPr>
      <w:r>
        <w:separator/>
      </w:r>
    </w:p>
  </w:footnote>
  <w:footnote w:type="continuationSeparator" w:id="0">
    <w:p w14:paraId="590B9313" w14:textId="77777777" w:rsidR="00D74930" w:rsidRDefault="00D74930" w:rsidP="0089385A">
      <w:pPr>
        <w:spacing w:after="0" w:line="240" w:lineRule="auto"/>
      </w:pPr>
      <w:r>
        <w:continuationSeparator/>
      </w:r>
    </w:p>
  </w:footnote>
  <w:footnote w:id="1">
    <w:p w14:paraId="429B493B" w14:textId="36320B2F" w:rsidR="001164C2" w:rsidRPr="005F5857" w:rsidRDefault="001164C2">
      <w:pPr>
        <w:pStyle w:val="FootnoteText"/>
      </w:pPr>
      <w:r>
        <w:rPr>
          <w:rStyle w:val="FootnoteReference"/>
        </w:rPr>
        <w:footnoteRef/>
      </w:r>
      <w:r w:rsidRPr="00437464">
        <w:t xml:space="preserve"> </w:t>
      </w:r>
      <w:r w:rsidR="00351FA4" w:rsidRPr="00437464">
        <w:t xml:space="preserve">David Uzzell in </w:t>
      </w:r>
      <w:r w:rsidR="00885262" w:rsidRPr="00437464">
        <w:rPr>
          <w:rFonts w:ascii="Calibri" w:hAnsi="Calibri" w:cs="Calibri"/>
          <w:color w:val="000000"/>
        </w:rPr>
        <w:t xml:space="preserve">Marie Louise Stig Sørensen, John Carman, </w:t>
      </w:r>
      <w:r w:rsidR="00437464" w:rsidRPr="00437464">
        <w:rPr>
          <w:rFonts w:ascii="Calibri" w:hAnsi="Calibri" w:cs="Calibri"/>
          <w:i/>
          <w:iCs/>
          <w:color w:val="000000"/>
        </w:rPr>
        <w:t>Herit</w:t>
      </w:r>
      <w:r w:rsidR="00437464">
        <w:rPr>
          <w:rFonts w:ascii="Calibri" w:hAnsi="Calibri" w:cs="Calibri"/>
          <w:i/>
          <w:iCs/>
          <w:color w:val="000000"/>
        </w:rPr>
        <w:t>age Studies: Methods and Approaches</w:t>
      </w:r>
      <w:r w:rsidR="005F5857">
        <w:rPr>
          <w:rFonts w:ascii="Calibri" w:hAnsi="Calibri" w:cs="Calibri"/>
          <w:color w:val="000000"/>
        </w:rPr>
        <w:t xml:space="preserve"> (Oxford: Routledge 2009) p</w:t>
      </w:r>
      <w:r w:rsidR="00384FC3">
        <w:rPr>
          <w:rFonts w:ascii="Calibri" w:hAnsi="Calibri" w:cs="Calibri"/>
          <w:color w:val="000000"/>
        </w:rPr>
        <w:t xml:space="preserve">326 </w:t>
      </w:r>
      <w:hyperlink r:id="rId1" w:history="1">
        <w:r w:rsidR="0022345C" w:rsidRPr="00A54D4B">
          <w:rPr>
            <w:rStyle w:val="Hyperlink"/>
            <w:rFonts w:ascii="Calibri" w:hAnsi="Calibri" w:cs="Calibri"/>
          </w:rPr>
          <w:t>https://web-p-ebscohost-com.ezproxy.uwtsd.ac.uk/ehost/ebookviewer/ebook/bmxlYmtfXzI4OTgzNl9fQU41?sid=a69c8cf7-90e6-4051-86aa-43621be655ef@redis&amp;vid=2&amp;format=EB&amp;rid=1</w:t>
        </w:r>
      </w:hyperlink>
      <w:r w:rsidR="0022345C">
        <w:rPr>
          <w:rFonts w:ascii="Calibri" w:hAnsi="Calibri" w:cs="Calibri"/>
          <w:color w:val="000000"/>
        </w:rPr>
        <w:t xml:space="preserve"> </w:t>
      </w:r>
      <w:r w:rsidR="002046E1">
        <w:rPr>
          <w:rFonts w:ascii="Calibri" w:hAnsi="Calibri" w:cs="Calibri"/>
          <w:color w:val="000000"/>
        </w:rPr>
        <w:t>[accessed 27</w:t>
      </w:r>
      <w:r w:rsidR="002046E1" w:rsidRPr="002046E1">
        <w:rPr>
          <w:rFonts w:ascii="Calibri" w:hAnsi="Calibri" w:cs="Calibri"/>
          <w:color w:val="000000"/>
          <w:vertAlign w:val="superscript"/>
        </w:rPr>
        <w:t>th</w:t>
      </w:r>
      <w:r w:rsidR="002046E1">
        <w:rPr>
          <w:rFonts w:ascii="Calibri" w:hAnsi="Calibri" w:cs="Calibri"/>
          <w:color w:val="000000"/>
        </w:rPr>
        <w:t xml:space="preserve"> February 2024]</w:t>
      </w:r>
    </w:p>
  </w:footnote>
  <w:footnote w:id="2">
    <w:p w14:paraId="03AF3D10" w14:textId="77777777" w:rsidR="00E82582" w:rsidRDefault="00E82582" w:rsidP="00E82582">
      <w:pPr>
        <w:pStyle w:val="FootnoteText"/>
      </w:pPr>
      <w:r w:rsidRPr="00726227">
        <w:rPr>
          <w:rStyle w:val="FootnoteReference"/>
        </w:rPr>
        <w:footnoteRef/>
      </w:r>
      <w:r w:rsidRPr="00726227">
        <w:t xml:space="preserve"> </w:t>
      </w:r>
      <w:r>
        <w:t xml:space="preserve">Cambridge University Press and Assessment, Cambridge Dictionary (2024) </w:t>
      </w:r>
      <w:hyperlink r:id="rId2" w:history="1">
        <w:r w:rsidRPr="00FF5951">
          <w:rPr>
            <w:rStyle w:val="Hyperlink"/>
          </w:rPr>
          <w:t>https://dictionary.cambridge.org/dictionary/english/heritage</w:t>
        </w:r>
      </w:hyperlink>
      <w:r>
        <w:t xml:space="preserve"> [accessed 27th February 2024]</w:t>
      </w:r>
    </w:p>
    <w:p w14:paraId="33B1B870" w14:textId="77777777" w:rsidR="004576C4" w:rsidRDefault="004576C4" w:rsidP="00E82582">
      <w:pPr>
        <w:pStyle w:val="FootnoteText"/>
      </w:pPr>
    </w:p>
  </w:footnote>
  <w:footnote w:id="3">
    <w:p w14:paraId="3E99016A" w14:textId="25C12E44" w:rsidR="005D31B0" w:rsidRDefault="005D31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B4EF5">
        <w:t xml:space="preserve">Tangible Heritage </w:t>
      </w:r>
      <w:r w:rsidR="007808FE">
        <w:t xml:space="preserve">includes buildings, </w:t>
      </w:r>
      <w:r w:rsidR="00A636D4">
        <w:t>L</w:t>
      </w:r>
      <w:r w:rsidR="007808FE">
        <w:t xml:space="preserve">andscapes, </w:t>
      </w:r>
      <w:r w:rsidR="00A636D4">
        <w:t xml:space="preserve">Oceans and other physical </w:t>
      </w:r>
      <w:r w:rsidR="00FE55C4">
        <w:t>structures such as art</w:t>
      </w:r>
      <w:r w:rsidR="00B62B14">
        <w:t xml:space="preserve">.  On the other hand, Intangible Heritage includes </w:t>
      </w:r>
      <w:r w:rsidR="0010509F">
        <w:t>practices which are more conceptual including ritual, behavioural practices</w:t>
      </w:r>
      <w:r w:rsidR="006F7631">
        <w:t xml:space="preserve">, literature and oral practices such as story telling.  </w:t>
      </w:r>
      <w:r w:rsidR="00303CEB">
        <w:t>This distinction may appear straigh</w:t>
      </w:r>
      <w:r w:rsidR="0061114C">
        <w:t>tforward until one considers that many intangible heritage practices require tang</w:t>
      </w:r>
      <w:r w:rsidR="00BE3272">
        <w:t>ible heritage to be able to manifest.  For example</w:t>
      </w:r>
      <w:r w:rsidR="00FF38E4">
        <w:t xml:space="preserve">, literature may </w:t>
      </w:r>
      <w:r w:rsidR="001B6DFB">
        <w:t>need to be written</w:t>
      </w:r>
      <w:r w:rsidR="00FF38E4">
        <w:t xml:space="preserve"> </w:t>
      </w:r>
      <w:r w:rsidR="001B6DFB">
        <w:t xml:space="preserve">paper or vellum to allow the reader to understand the work.  Culinary practices may require traditional </w:t>
      </w:r>
      <w:r w:rsidR="00F87794">
        <w:t>cooking equipment and rituals may need particular forms of dress</w:t>
      </w:r>
      <w:r w:rsidR="00421664">
        <w:t xml:space="preserve"> </w:t>
      </w:r>
      <w:r w:rsidR="00D60B70">
        <w:t>to</w:t>
      </w:r>
      <w:r w:rsidR="00421664">
        <w:t xml:space="preserve"> fully </w:t>
      </w:r>
      <w:r w:rsidR="00A25973">
        <w:t>express</w:t>
      </w:r>
      <w:r w:rsidR="0093016F">
        <w:t xml:space="preserve"> the practice.</w:t>
      </w:r>
    </w:p>
    <w:p w14:paraId="6D020DD8" w14:textId="77777777" w:rsidR="004576C4" w:rsidRDefault="004576C4">
      <w:pPr>
        <w:pStyle w:val="FootnoteText"/>
      </w:pPr>
    </w:p>
  </w:footnote>
  <w:footnote w:id="4">
    <w:p w14:paraId="745838A8" w14:textId="06C6A1F4" w:rsidR="00D23132" w:rsidRPr="0004109A" w:rsidRDefault="00D23132">
      <w:pPr>
        <w:pStyle w:val="FootnoteText"/>
      </w:pPr>
      <w:r>
        <w:rPr>
          <w:rStyle w:val="FootnoteReference"/>
        </w:rPr>
        <w:footnoteRef/>
      </w:r>
      <w:r>
        <w:t xml:space="preserve"> Eric Hobsbaw</w:t>
      </w:r>
      <w:r w:rsidR="00E23612">
        <w:t>m</w:t>
      </w:r>
      <w:r w:rsidR="000758DC">
        <w:t>, ‘Inventing Traditions’</w:t>
      </w:r>
      <w:r w:rsidR="00E23612">
        <w:t xml:space="preserve"> </w:t>
      </w:r>
      <w:r w:rsidR="00887144">
        <w:t xml:space="preserve">in </w:t>
      </w:r>
      <w:r w:rsidR="0004109A">
        <w:rPr>
          <w:i/>
          <w:iCs/>
        </w:rPr>
        <w:t>The Invention of Tradition</w:t>
      </w:r>
      <w:r w:rsidR="0004109A">
        <w:t xml:space="preserve"> ed. By Eric Hobsbawm and </w:t>
      </w:r>
      <w:r w:rsidR="001D715A">
        <w:t>Terence Ranger (</w:t>
      </w:r>
      <w:r w:rsidR="006C28F8">
        <w:t>New York: Cambridge University Press</w:t>
      </w:r>
      <w:r w:rsidR="009A18CB">
        <w:t xml:space="preserve"> 21</w:t>
      </w:r>
      <w:r w:rsidR="009A18CB" w:rsidRPr="009A18CB">
        <w:rPr>
          <w:vertAlign w:val="superscript"/>
        </w:rPr>
        <w:t>st</w:t>
      </w:r>
      <w:r w:rsidR="009A18CB">
        <w:t xml:space="preserve"> printing</w:t>
      </w:r>
      <w:r w:rsidR="00B63466">
        <w:t xml:space="preserve"> 2013), p. 1</w:t>
      </w:r>
    </w:p>
  </w:footnote>
  <w:footnote w:id="5">
    <w:p w14:paraId="3252EEFD" w14:textId="75CC034D" w:rsidR="000F554A" w:rsidRPr="00C319BB" w:rsidRDefault="000F55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3B05">
        <w:t xml:space="preserve">Benjamin </w:t>
      </w:r>
      <w:r w:rsidR="000D02D3">
        <w:t>in</w:t>
      </w:r>
      <w:r w:rsidR="00A4199F">
        <w:t xml:space="preserve"> Patrick </w:t>
      </w:r>
      <w:r w:rsidR="00EA0796">
        <w:t>Wright, On</w:t>
      </w:r>
      <w:r w:rsidR="00B3214A">
        <w:rPr>
          <w:i/>
          <w:iCs/>
        </w:rPr>
        <w:t xml:space="preserve"> Living in an</w:t>
      </w:r>
      <w:r w:rsidR="001E3C4C">
        <w:rPr>
          <w:i/>
          <w:iCs/>
        </w:rPr>
        <w:t xml:space="preserve"> Old Country</w:t>
      </w:r>
      <w:r w:rsidR="00B3214A">
        <w:rPr>
          <w:i/>
          <w:iCs/>
        </w:rPr>
        <w:t>: The National Past in Contemporary Britain</w:t>
      </w:r>
      <w:r w:rsidR="001A6721">
        <w:rPr>
          <w:i/>
          <w:iCs/>
        </w:rPr>
        <w:t xml:space="preserve"> </w:t>
      </w:r>
      <w:r w:rsidR="00C319BB">
        <w:t>(</w:t>
      </w:r>
      <w:r w:rsidR="00CC5827">
        <w:t>New York: Oxford University Press, 2009)</w:t>
      </w:r>
      <w:r w:rsidR="00A51FCD">
        <w:t>, p1</w:t>
      </w:r>
    </w:p>
  </w:footnote>
  <w:footnote w:id="6">
    <w:p w14:paraId="465D8674" w14:textId="160CD490" w:rsidR="00E150A6" w:rsidRDefault="00E150A6">
      <w:pPr>
        <w:pStyle w:val="FootnoteText"/>
      </w:pPr>
      <w:r>
        <w:rPr>
          <w:rStyle w:val="FootnoteReference"/>
        </w:rPr>
        <w:footnoteRef/>
      </w:r>
      <w:r>
        <w:t xml:space="preserve"> Although this is contestable as</w:t>
      </w:r>
      <w:r w:rsidR="005743D5">
        <w:t xml:space="preserve"> </w:t>
      </w:r>
      <w:r w:rsidR="009D22B3">
        <w:t xml:space="preserve">it could be argued that studying </w:t>
      </w:r>
      <w:r w:rsidR="005743D5">
        <w:t>the past will always inform the present</w:t>
      </w:r>
      <w:r w:rsidR="008E667F">
        <w:t xml:space="preserve"> and may influence the future.</w:t>
      </w:r>
    </w:p>
  </w:footnote>
  <w:footnote w:id="7">
    <w:p w14:paraId="16347A94" w14:textId="1BA53ABE" w:rsidR="00BA7B3F" w:rsidRPr="00A9096E" w:rsidRDefault="00BA7B3F">
      <w:pPr>
        <w:pStyle w:val="FootnoteText"/>
      </w:pPr>
      <w:r>
        <w:rPr>
          <w:rStyle w:val="FootnoteReference"/>
        </w:rPr>
        <w:footnoteRef/>
      </w:r>
      <w:r w:rsidRPr="00A9096E">
        <w:t xml:space="preserve"> Helen Silverman</w:t>
      </w:r>
      <w:r w:rsidR="000D02D3" w:rsidRPr="00A9096E">
        <w:t xml:space="preserve">, </w:t>
      </w:r>
      <w:r w:rsidR="009D22B3" w:rsidRPr="00A9096E">
        <w:rPr>
          <w:i/>
          <w:iCs/>
        </w:rPr>
        <w:t>Heritage in Action</w:t>
      </w:r>
      <w:r w:rsidR="00A9096E" w:rsidRPr="00A9096E">
        <w:rPr>
          <w:i/>
          <w:iCs/>
        </w:rPr>
        <w:t xml:space="preserve"> Making th</w:t>
      </w:r>
      <w:r w:rsidR="00A9096E">
        <w:rPr>
          <w:i/>
          <w:iCs/>
        </w:rPr>
        <w:t>e Past in the Present (</w:t>
      </w:r>
      <w:r w:rsidR="00D24074">
        <w:t>Springer, 2017)</w:t>
      </w:r>
      <w:r w:rsidR="00E74090">
        <w:t xml:space="preserve"> p. 11 </w:t>
      </w:r>
      <w:hyperlink r:id="rId3" w:history="1">
        <w:r w:rsidR="00933A62" w:rsidRPr="007E6C06">
          <w:rPr>
            <w:rStyle w:val="Hyperlink"/>
          </w:rPr>
          <w:t>https://www-vlebooks-com.ezproxy.uwtsd.ac.uk/Product/Index/1927016?page=0&amp;startBookmarkId=-1</w:t>
        </w:r>
      </w:hyperlink>
      <w:r w:rsidR="00933A62">
        <w:t xml:space="preserve"> [accessed 28</w:t>
      </w:r>
      <w:r w:rsidR="00933A62" w:rsidRPr="00933A62">
        <w:rPr>
          <w:vertAlign w:val="superscript"/>
        </w:rPr>
        <w:t>th</w:t>
      </w:r>
      <w:r w:rsidR="00933A62">
        <w:t xml:space="preserve"> February 2024]</w:t>
      </w:r>
    </w:p>
  </w:footnote>
  <w:footnote w:id="8">
    <w:p w14:paraId="40EC76CA" w14:textId="3FD20A27" w:rsidR="009823FA" w:rsidRDefault="009823FA">
      <w:pPr>
        <w:pStyle w:val="FootnoteText"/>
      </w:pPr>
      <w:r>
        <w:rPr>
          <w:rStyle w:val="FootnoteReference"/>
        </w:rPr>
        <w:footnoteRef/>
      </w:r>
      <w:r>
        <w:t xml:space="preserve"> Ibid. p.11</w:t>
      </w:r>
    </w:p>
  </w:footnote>
  <w:footnote w:id="9">
    <w:p w14:paraId="0C8E806C" w14:textId="4F350C1A" w:rsidR="00792641" w:rsidRPr="00161A2F" w:rsidRDefault="007926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7B69">
        <w:t>Veysel Apaydin</w:t>
      </w:r>
      <w:r w:rsidR="00F33A80">
        <w:t>,</w:t>
      </w:r>
      <w:r w:rsidR="006E7B69">
        <w:t xml:space="preserve"> </w:t>
      </w:r>
      <w:r w:rsidR="00C77F9B">
        <w:rPr>
          <w:i/>
          <w:iCs/>
        </w:rPr>
        <w:t>Critical Perspectives on Cultural Memory and Heritage</w:t>
      </w:r>
      <w:r w:rsidR="00161A2F">
        <w:rPr>
          <w:i/>
          <w:iCs/>
        </w:rPr>
        <w:t xml:space="preserve"> Construction, Transformation and Destruction, </w:t>
      </w:r>
      <w:r w:rsidR="00161A2F">
        <w:t>(</w:t>
      </w:r>
      <w:r w:rsidR="00F14001">
        <w:t xml:space="preserve">London: UCL Press, 2020) </w:t>
      </w:r>
      <w:r w:rsidR="008E61B2">
        <w:t>p.1</w:t>
      </w:r>
    </w:p>
  </w:footnote>
  <w:footnote w:id="10">
    <w:p w14:paraId="5628D029" w14:textId="6ED698FD" w:rsidR="00100BB8" w:rsidRDefault="00100B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00BB8">
        <w:t xml:space="preserve">Dennis Rodwell </w:t>
      </w:r>
      <w:r w:rsidR="003F7069">
        <w:t>‘</w:t>
      </w:r>
      <w:r w:rsidRPr="00100BB8">
        <w:t xml:space="preserve">The </w:t>
      </w:r>
      <w:r w:rsidR="00EA0796" w:rsidRPr="00100BB8">
        <w:t>UNESCO</w:t>
      </w:r>
      <w:r w:rsidRPr="00100BB8">
        <w:t xml:space="preserve"> World Heritage Convention, 1972–2012: Reflections and Directions, </w:t>
      </w:r>
      <w:r w:rsidRPr="005B14D0">
        <w:rPr>
          <w:i/>
          <w:iCs/>
        </w:rPr>
        <w:t>The Historic Environment: Policy &amp; Practice</w:t>
      </w:r>
      <w:r w:rsidRPr="00100BB8">
        <w:t>, 3:1</w:t>
      </w:r>
      <w:r w:rsidR="00800EC3">
        <w:t xml:space="preserve"> (20</w:t>
      </w:r>
      <w:r w:rsidR="00F556BD">
        <w:t xml:space="preserve">12) </w:t>
      </w:r>
      <w:r w:rsidRPr="00100BB8">
        <w:t>64-85, DOI: 10.1179/1756750512Z.0000000004</w:t>
      </w:r>
    </w:p>
  </w:footnote>
  <w:footnote w:id="11">
    <w:p w14:paraId="6982253D" w14:textId="26E40C8D" w:rsidR="00A61940" w:rsidRPr="00336866" w:rsidRDefault="00A619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108A4">
        <w:t>UNESCO World Heritage Convention</w:t>
      </w:r>
      <w:r w:rsidR="00CB7877">
        <w:t xml:space="preserve">, </w:t>
      </w:r>
      <w:r w:rsidR="00CB7877">
        <w:rPr>
          <w:i/>
          <w:iCs/>
        </w:rPr>
        <w:t>World Heritage</w:t>
      </w:r>
      <w:r w:rsidR="00336866">
        <w:rPr>
          <w:i/>
          <w:iCs/>
        </w:rPr>
        <w:t xml:space="preserve"> </w:t>
      </w:r>
      <w:r w:rsidR="00336866">
        <w:t xml:space="preserve">(2024) </w:t>
      </w:r>
      <w:hyperlink r:id="rId4" w:history="1">
        <w:r w:rsidR="00012DA4" w:rsidRPr="006B41CF">
          <w:rPr>
            <w:rStyle w:val="Hyperlink"/>
          </w:rPr>
          <w:t>https://whc.unesco.org/en/about/</w:t>
        </w:r>
      </w:hyperlink>
      <w:r w:rsidR="00012DA4">
        <w:t xml:space="preserve"> [accessed 28</w:t>
      </w:r>
      <w:r w:rsidR="00012DA4" w:rsidRPr="00012DA4">
        <w:rPr>
          <w:vertAlign w:val="superscript"/>
        </w:rPr>
        <w:t>th</w:t>
      </w:r>
      <w:r w:rsidR="00012DA4">
        <w:t xml:space="preserve"> February 2024]</w:t>
      </w:r>
    </w:p>
  </w:footnote>
  <w:footnote w:id="12">
    <w:p w14:paraId="5ACC7B68" w14:textId="03F0A62A" w:rsidR="00012DA4" w:rsidRDefault="00012DA4" w:rsidP="00012DA4">
      <w:pPr>
        <w:pStyle w:val="FootnoteText"/>
      </w:pPr>
      <w:r>
        <w:rPr>
          <w:rStyle w:val="FootnoteReference"/>
        </w:rPr>
        <w:footnoteRef/>
      </w:r>
      <w:r>
        <w:t xml:space="preserve"> UNESCO World Heritage Convention, </w:t>
      </w:r>
      <w:r>
        <w:rPr>
          <w:i/>
          <w:iCs/>
        </w:rPr>
        <w:t xml:space="preserve">The List </w:t>
      </w:r>
      <w:r>
        <w:t xml:space="preserve">(2024) </w:t>
      </w:r>
      <w:hyperlink r:id="rId5" w:history="1">
        <w:r w:rsidRPr="006B41CF">
          <w:rPr>
            <w:rStyle w:val="Hyperlink"/>
          </w:rPr>
          <w:t>https://whc.unesco.org/en/about/</w:t>
        </w:r>
      </w:hyperlink>
      <w:r>
        <w:t xml:space="preserve"> [accessed 28</w:t>
      </w:r>
      <w:r w:rsidRPr="00012DA4">
        <w:rPr>
          <w:vertAlign w:val="superscript"/>
        </w:rPr>
        <w:t>th</w:t>
      </w:r>
      <w:r>
        <w:t xml:space="preserve"> February 2024]</w:t>
      </w:r>
    </w:p>
  </w:footnote>
  <w:footnote w:id="13">
    <w:p w14:paraId="3C338374" w14:textId="0B8251D5" w:rsidR="009A04DB" w:rsidRPr="00DC4655" w:rsidRDefault="009A04DB">
      <w:pPr>
        <w:pStyle w:val="FootnoteText"/>
      </w:pPr>
      <w:r>
        <w:rPr>
          <w:rStyle w:val="FootnoteReference"/>
        </w:rPr>
        <w:footnoteRef/>
      </w:r>
      <w:r>
        <w:t xml:space="preserve"> Rodney Harrison</w:t>
      </w:r>
      <w:r w:rsidR="00F33A80">
        <w:t xml:space="preserve">, </w:t>
      </w:r>
      <w:r w:rsidR="00F33A80">
        <w:rPr>
          <w:i/>
          <w:iCs/>
        </w:rPr>
        <w:t>Understanding the Politics of Heritage</w:t>
      </w:r>
      <w:r w:rsidR="00DC4655">
        <w:rPr>
          <w:i/>
          <w:iCs/>
        </w:rPr>
        <w:t xml:space="preserve"> </w:t>
      </w:r>
      <w:r w:rsidR="00DC4655">
        <w:t>(Milton Keynes:</w:t>
      </w:r>
      <w:r w:rsidR="00FB3D01">
        <w:t xml:space="preserve"> Open University Press, 2010) pp 10-11</w:t>
      </w:r>
    </w:p>
  </w:footnote>
  <w:footnote w:id="14">
    <w:p w14:paraId="09B925D1" w14:textId="69818ACB" w:rsidR="00CC127A" w:rsidRPr="004E1019" w:rsidRDefault="00CC127A" w:rsidP="00F047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1019">
        <w:t>Aljazeera</w:t>
      </w:r>
      <w:r w:rsidR="00B42CE7">
        <w:t>,</w:t>
      </w:r>
      <w:r w:rsidR="004E1019">
        <w:t xml:space="preserve"> </w:t>
      </w:r>
      <w:r w:rsidR="004E1019">
        <w:rPr>
          <w:i/>
          <w:iCs/>
        </w:rPr>
        <w:t xml:space="preserve">US halts UNESCO funding </w:t>
      </w:r>
      <w:r w:rsidR="00332DC6">
        <w:t xml:space="preserve">(2011) </w:t>
      </w:r>
      <w:hyperlink r:id="rId6" w:history="1">
        <w:r w:rsidR="002C1B6E" w:rsidRPr="00FA5B40">
          <w:rPr>
            <w:rStyle w:val="Hyperlink"/>
          </w:rPr>
          <w:t>https://www.aljazeera.com/features/2011/11/1/us-halts-unesco-funding</w:t>
        </w:r>
      </w:hyperlink>
      <w:r w:rsidR="002C1B6E">
        <w:t xml:space="preserve"> [accessed 27th February 2024). </w:t>
      </w:r>
      <w:r w:rsidR="00062D91">
        <w:t xml:space="preserve"> Time </w:t>
      </w:r>
      <w:r w:rsidR="008C0874" w:rsidRPr="008C0874">
        <w:rPr>
          <w:i/>
          <w:iCs/>
        </w:rPr>
        <w:t>Why the U</w:t>
      </w:r>
      <w:r w:rsidR="008C0874">
        <w:rPr>
          <w:i/>
          <w:iCs/>
        </w:rPr>
        <w:t xml:space="preserve">nited States is saying goodbye to UNESCO </w:t>
      </w:r>
      <w:r w:rsidR="008C0874">
        <w:t xml:space="preserve">(2017) </w:t>
      </w:r>
      <w:hyperlink r:id="rId7" w:history="1">
        <w:r w:rsidR="00DC0A64" w:rsidRPr="00FA5B40">
          <w:rPr>
            <w:rStyle w:val="Hyperlink"/>
          </w:rPr>
          <w:t>https://time.com/4979481/unesco-us-leaving/</w:t>
        </w:r>
      </w:hyperlink>
      <w:r w:rsidR="00DC0A64">
        <w:t xml:space="preserve"> [accessed 27</w:t>
      </w:r>
      <w:r w:rsidR="00DC0A64" w:rsidRPr="00DC0A64">
        <w:rPr>
          <w:vertAlign w:val="superscript"/>
        </w:rPr>
        <w:t>th</w:t>
      </w:r>
      <w:r w:rsidR="00DC0A64">
        <w:t xml:space="preserve"> February 2024]</w:t>
      </w:r>
    </w:p>
  </w:footnote>
  <w:footnote w:id="15">
    <w:p w14:paraId="3FFAF5D7" w14:textId="33199EFC" w:rsidR="00F047E3" w:rsidRPr="00DB7F4F" w:rsidRDefault="00F047E3">
      <w:pPr>
        <w:pStyle w:val="FootnoteText"/>
      </w:pPr>
      <w:r>
        <w:rPr>
          <w:rStyle w:val="FootnoteReference"/>
        </w:rPr>
        <w:footnoteRef/>
      </w:r>
      <w:r>
        <w:t xml:space="preserve"> Statista</w:t>
      </w:r>
      <w:r w:rsidR="00B42CE7">
        <w:t>,</w:t>
      </w:r>
      <w:r>
        <w:t xml:space="preserve"> S</w:t>
      </w:r>
      <w:r>
        <w:rPr>
          <w:i/>
          <w:iCs/>
        </w:rPr>
        <w:t xml:space="preserve">hare of </w:t>
      </w:r>
      <w:r w:rsidR="00DC5E4C">
        <w:rPr>
          <w:i/>
          <w:iCs/>
        </w:rPr>
        <w:t>a</w:t>
      </w:r>
      <w:r>
        <w:rPr>
          <w:i/>
          <w:iCs/>
        </w:rPr>
        <w:t xml:space="preserve">dults </w:t>
      </w:r>
      <w:r w:rsidR="00DC5E4C">
        <w:rPr>
          <w:i/>
          <w:iCs/>
        </w:rPr>
        <w:t>who visited a heritage site in England</w:t>
      </w:r>
      <w:r w:rsidR="005F4185">
        <w:rPr>
          <w:i/>
          <w:iCs/>
        </w:rPr>
        <w:t xml:space="preserve"> in the last 12 months in 2022/2023 by frequency</w:t>
      </w:r>
      <w:r w:rsidR="00DB7F4F">
        <w:rPr>
          <w:i/>
          <w:iCs/>
        </w:rPr>
        <w:t xml:space="preserve"> </w:t>
      </w:r>
      <w:r w:rsidR="00DB7F4F">
        <w:t xml:space="preserve">(2024). </w:t>
      </w:r>
      <w:hyperlink r:id="rId8" w:history="1">
        <w:r w:rsidR="00DB7F4F" w:rsidRPr="00DB7F4F">
          <w:rPr>
            <w:rStyle w:val="Hyperlink"/>
          </w:rPr>
          <w:t>https://www.statista.com/statistics/558111/heritage-site-visit-frequency-uk-england/</w:t>
        </w:r>
      </w:hyperlink>
      <w:r w:rsidR="00DB7F4F" w:rsidRPr="00DB7F4F">
        <w:t xml:space="preserve"> [accessed</w:t>
      </w:r>
      <w:r w:rsidR="00DB7F4F">
        <w:t xml:space="preserve"> </w:t>
      </w:r>
      <w:r w:rsidR="00276E97">
        <w:t>29</w:t>
      </w:r>
      <w:r w:rsidR="00276E97" w:rsidRPr="00276E97">
        <w:rPr>
          <w:vertAlign w:val="superscript"/>
        </w:rPr>
        <w:t>th</w:t>
      </w:r>
      <w:r w:rsidR="00276E97">
        <w:t xml:space="preserve"> February 2024]</w:t>
      </w:r>
    </w:p>
  </w:footnote>
  <w:footnote w:id="16">
    <w:p w14:paraId="573F0BA7" w14:textId="4367359A" w:rsidR="00013F5C" w:rsidRPr="00540EC2" w:rsidRDefault="00013F5C">
      <w:pPr>
        <w:pStyle w:val="FootnoteText"/>
      </w:pPr>
      <w:r>
        <w:rPr>
          <w:rStyle w:val="FootnoteReference"/>
        </w:rPr>
        <w:footnoteRef/>
      </w:r>
      <w:r>
        <w:t xml:space="preserve"> Historic England</w:t>
      </w:r>
      <w:r w:rsidR="00B42CE7">
        <w:t xml:space="preserve">, </w:t>
      </w:r>
      <w:r w:rsidR="00B42CE7">
        <w:rPr>
          <w:i/>
          <w:iCs/>
        </w:rPr>
        <w:t>The Contribution of the Heritage Sector to the Visitor Economy</w:t>
      </w:r>
      <w:r w:rsidR="00540EC2">
        <w:rPr>
          <w:i/>
          <w:iCs/>
        </w:rPr>
        <w:t xml:space="preserve"> </w:t>
      </w:r>
      <w:r w:rsidR="00540EC2">
        <w:t xml:space="preserve">(2023) </w:t>
      </w:r>
      <w:hyperlink r:id="rId9" w:history="1">
        <w:r w:rsidR="00FE2153" w:rsidRPr="00FA5B40">
          <w:rPr>
            <w:rStyle w:val="Hyperlink"/>
          </w:rPr>
          <w:t>https://historicengland.org.uk/research/heritage-counts/heritage-and-economy/visitor-economy/</w:t>
        </w:r>
      </w:hyperlink>
      <w:r w:rsidR="00FE2153">
        <w:t xml:space="preserve"> [accessed 29</w:t>
      </w:r>
      <w:r w:rsidR="00FE2153" w:rsidRPr="00FE2153">
        <w:rPr>
          <w:vertAlign w:val="superscript"/>
        </w:rPr>
        <w:t>th</w:t>
      </w:r>
      <w:r w:rsidR="00FE2153">
        <w:t xml:space="preserve"> February 2024]</w:t>
      </w:r>
    </w:p>
  </w:footnote>
  <w:footnote w:id="17">
    <w:p w14:paraId="00D62E85" w14:textId="0CBDD35A" w:rsidR="008B4761" w:rsidRDefault="008B4761" w:rsidP="008B71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4E0">
        <w:t>Hewison in Rodney Harrison</w:t>
      </w:r>
      <w:r w:rsidR="00A94971">
        <w:t xml:space="preserve">, </w:t>
      </w:r>
      <w:r w:rsidR="00A94971">
        <w:rPr>
          <w:i/>
          <w:iCs/>
        </w:rPr>
        <w:t xml:space="preserve">Understanding the Politics of Heritage </w:t>
      </w:r>
      <w:r w:rsidR="00A94971">
        <w:t xml:space="preserve">(Milton Keynes: Open University Press, 2010) p </w:t>
      </w:r>
      <w:r w:rsidR="001B6186">
        <w:t>16.</w:t>
      </w:r>
    </w:p>
  </w:footnote>
  <w:footnote w:id="18">
    <w:p w14:paraId="0467F9FD" w14:textId="18D1F7B0" w:rsidR="008B714F" w:rsidRDefault="008B71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D28EC">
        <w:t xml:space="preserve">UNESCO World Heritage Convention, </w:t>
      </w:r>
      <w:r w:rsidR="008E4289">
        <w:rPr>
          <w:i/>
          <w:iCs/>
        </w:rPr>
        <w:t>Policy Compendium</w:t>
      </w:r>
      <w:r w:rsidR="000D28EC">
        <w:rPr>
          <w:i/>
          <w:iCs/>
        </w:rPr>
        <w:t xml:space="preserve"> </w:t>
      </w:r>
      <w:r w:rsidR="000D28EC">
        <w:t xml:space="preserve">(2024) </w:t>
      </w:r>
      <w:hyperlink r:id="rId10" w:history="1">
        <w:r w:rsidR="006C2E23" w:rsidRPr="006C2E23">
          <w:rPr>
            <w:rStyle w:val="Hyperlink"/>
          </w:rPr>
          <w:t xml:space="preserve">https://whc.unesco.org/en/compendium/?&amp;Documents=1&amp;action=list&amp;id_faq_themes=962 </w:t>
        </w:r>
      </w:hyperlink>
      <w:r w:rsidR="006C2E23">
        <w:t xml:space="preserve"> </w:t>
      </w:r>
      <w:r w:rsidR="000D28EC">
        <w:t>[accessed 28</w:t>
      </w:r>
      <w:r w:rsidR="000D28EC" w:rsidRPr="00012DA4">
        <w:rPr>
          <w:vertAlign w:val="superscript"/>
        </w:rPr>
        <w:t>th</w:t>
      </w:r>
      <w:r w:rsidR="000D28EC">
        <w:t xml:space="preserve"> February 2024]</w:t>
      </w:r>
    </w:p>
  </w:footnote>
  <w:footnote w:id="19">
    <w:p w14:paraId="3B22414F" w14:textId="686071FA" w:rsidR="00E372DA" w:rsidRDefault="00E372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008A" w:rsidRPr="00100BB8">
        <w:t xml:space="preserve">Dennis Rodwell </w:t>
      </w:r>
      <w:r w:rsidR="003F008A">
        <w:t>‘</w:t>
      </w:r>
      <w:r w:rsidR="003F008A" w:rsidRPr="00100BB8">
        <w:t xml:space="preserve">The </w:t>
      </w:r>
      <w:r w:rsidR="001B6186" w:rsidRPr="00100BB8">
        <w:t>UNESCO</w:t>
      </w:r>
      <w:r w:rsidR="003F008A" w:rsidRPr="00100BB8">
        <w:t xml:space="preserve"> World Heritage Convention, 1972–2012: Reflections and Directions</w:t>
      </w:r>
    </w:p>
  </w:footnote>
  <w:footnote w:id="20">
    <w:p w14:paraId="01FFCF34" w14:textId="4ED46FA6" w:rsidR="009E57CE" w:rsidRPr="009E57CE" w:rsidRDefault="009E57CE">
      <w:pPr>
        <w:pStyle w:val="FootnoteText"/>
      </w:pPr>
      <w:r>
        <w:rPr>
          <w:rStyle w:val="FootnoteReference"/>
        </w:rPr>
        <w:footnoteRef/>
      </w:r>
      <w:r>
        <w:t xml:space="preserve"> Rodney Harrison, </w:t>
      </w:r>
      <w:r>
        <w:rPr>
          <w:i/>
          <w:iCs/>
        </w:rPr>
        <w:t xml:space="preserve">Understanding the Politics of Heritage </w:t>
      </w:r>
      <w:r>
        <w:t>p.25</w:t>
      </w:r>
    </w:p>
  </w:footnote>
  <w:footnote w:id="21">
    <w:p w14:paraId="2FED6D90" w14:textId="01C6089B" w:rsidR="00FA410E" w:rsidRPr="003E2E79" w:rsidRDefault="00FA41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2CC3">
        <w:t xml:space="preserve">Laurajayne Smith, </w:t>
      </w:r>
      <w:r w:rsidR="003E2E79">
        <w:rPr>
          <w:i/>
          <w:iCs/>
        </w:rPr>
        <w:t>Uses of Heritage</w:t>
      </w:r>
      <w:r w:rsidR="003E2E79">
        <w:t xml:space="preserve"> (Oxford: Routledge 2006) p</w:t>
      </w:r>
      <w:r w:rsidR="009C0A96">
        <w:t xml:space="preserve"> 3</w:t>
      </w:r>
    </w:p>
  </w:footnote>
  <w:footnote w:id="22">
    <w:p w14:paraId="11980EE0" w14:textId="354D0424" w:rsidR="00037137" w:rsidRDefault="00037137">
      <w:pPr>
        <w:pStyle w:val="FootnoteText"/>
      </w:pPr>
      <w:r>
        <w:rPr>
          <w:rStyle w:val="FootnoteReference"/>
        </w:rPr>
        <w:footnoteRef/>
      </w:r>
      <w:r>
        <w:t xml:space="preserve"> Irish National Heritage Park (</w:t>
      </w:r>
      <w:r w:rsidR="003969BB">
        <w:t xml:space="preserve">2024) </w:t>
      </w:r>
      <w:hyperlink r:id="rId11" w:history="1">
        <w:r w:rsidR="003969BB" w:rsidRPr="00A06D4E">
          <w:rPr>
            <w:rStyle w:val="Hyperlink"/>
          </w:rPr>
          <w:t>https://irishheritage.ie/</w:t>
        </w:r>
      </w:hyperlink>
      <w:r w:rsidR="003969BB">
        <w:t xml:space="preserve"> [accessed 1</w:t>
      </w:r>
      <w:r w:rsidR="003969BB" w:rsidRPr="003969BB">
        <w:rPr>
          <w:vertAlign w:val="superscript"/>
        </w:rPr>
        <w:t>st</w:t>
      </w:r>
      <w:r w:rsidR="003969BB">
        <w:t xml:space="preserve"> March 2024]</w:t>
      </w:r>
    </w:p>
  </w:footnote>
  <w:footnote w:id="23">
    <w:p w14:paraId="6C3F51AA" w14:textId="0EE56BCC" w:rsidR="00ED1A46" w:rsidRDefault="00ED1A46" w:rsidP="000F46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4609">
        <w:t>Eric Hobsbawm, ‘</w:t>
      </w:r>
      <w:r w:rsidR="000F4609">
        <w:t>The Invention of Tradition’</w:t>
      </w:r>
      <w:r w:rsidR="000F4609">
        <w:t xml:space="preserve"> </w:t>
      </w:r>
      <w:r w:rsidR="004E68F2">
        <w:t>p</w:t>
      </w:r>
      <w:r w:rsidR="004E1C1E">
        <w:t>1</w:t>
      </w:r>
      <w:r w:rsidR="004E68F2">
        <w:t>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E24"/>
    <w:rsid w:val="00002CAA"/>
    <w:rsid w:val="000042B0"/>
    <w:rsid w:val="00007F4E"/>
    <w:rsid w:val="00012DA4"/>
    <w:rsid w:val="00013A9D"/>
    <w:rsid w:val="00013F5C"/>
    <w:rsid w:val="00014E9B"/>
    <w:rsid w:val="00017536"/>
    <w:rsid w:val="000275E6"/>
    <w:rsid w:val="000333CC"/>
    <w:rsid w:val="000340BA"/>
    <w:rsid w:val="00037137"/>
    <w:rsid w:val="00037DA3"/>
    <w:rsid w:val="0004109A"/>
    <w:rsid w:val="000473C4"/>
    <w:rsid w:val="00057536"/>
    <w:rsid w:val="00062D91"/>
    <w:rsid w:val="00074EB8"/>
    <w:rsid w:val="000758DC"/>
    <w:rsid w:val="00076FDC"/>
    <w:rsid w:val="0009032F"/>
    <w:rsid w:val="000A1C5D"/>
    <w:rsid w:val="000A5AEF"/>
    <w:rsid w:val="000B65D5"/>
    <w:rsid w:val="000C0838"/>
    <w:rsid w:val="000C09E8"/>
    <w:rsid w:val="000C21C8"/>
    <w:rsid w:val="000C3DE2"/>
    <w:rsid w:val="000C75BF"/>
    <w:rsid w:val="000D02D3"/>
    <w:rsid w:val="000D28EC"/>
    <w:rsid w:val="000D39C4"/>
    <w:rsid w:val="000E2201"/>
    <w:rsid w:val="000E4334"/>
    <w:rsid w:val="000F2AA9"/>
    <w:rsid w:val="000F3D9F"/>
    <w:rsid w:val="000F4609"/>
    <w:rsid w:val="000F554A"/>
    <w:rsid w:val="00100BB8"/>
    <w:rsid w:val="0010509F"/>
    <w:rsid w:val="0010742B"/>
    <w:rsid w:val="00111FB9"/>
    <w:rsid w:val="00112552"/>
    <w:rsid w:val="001155DA"/>
    <w:rsid w:val="001164C2"/>
    <w:rsid w:val="0012695B"/>
    <w:rsid w:val="00137C72"/>
    <w:rsid w:val="00146FC7"/>
    <w:rsid w:val="001577A9"/>
    <w:rsid w:val="00161A2F"/>
    <w:rsid w:val="00162EFF"/>
    <w:rsid w:val="0018166D"/>
    <w:rsid w:val="00181FE1"/>
    <w:rsid w:val="0018492A"/>
    <w:rsid w:val="00185A69"/>
    <w:rsid w:val="00193157"/>
    <w:rsid w:val="00193364"/>
    <w:rsid w:val="00197822"/>
    <w:rsid w:val="001A1C8E"/>
    <w:rsid w:val="001A6721"/>
    <w:rsid w:val="001A6D6C"/>
    <w:rsid w:val="001B36CD"/>
    <w:rsid w:val="001B6186"/>
    <w:rsid w:val="001B6DFB"/>
    <w:rsid w:val="001B78BA"/>
    <w:rsid w:val="001C1D0A"/>
    <w:rsid w:val="001D018D"/>
    <w:rsid w:val="001D3FF2"/>
    <w:rsid w:val="001D715A"/>
    <w:rsid w:val="001D76C5"/>
    <w:rsid w:val="001D7E24"/>
    <w:rsid w:val="001E1903"/>
    <w:rsid w:val="001E3C4C"/>
    <w:rsid w:val="001E5204"/>
    <w:rsid w:val="001E7279"/>
    <w:rsid w:val="001E78E7"/>
    <w:rsid w:val="001F7888"/>
    <w:rsid w:val="002044E3"/>
    <w:rsid w:val="002046E1"/>
    <w:rsid w:val="0022345C"/>
    <w:rsid w:val="00227CDA"/>
    <w:rsid w:val="002317EC"/>
    <w:rsid w:val="0024235C"/>
    <w:rsid w:val="00242FDD"/>
    <w:rsid w:val="002450AA"/>
    <w:rsid w:val="0025353B"/>
    <w:rsid w:val="00257939"/>
    <w:rsid w:val="00257A70"/>
    <w:rsid w:val="00262DEE"/>
    <w:rsid w:val="00270BE4"/>
    <w:rsid w:val="00276E97"/>
    <w:rsid w:val="0029278B"/>
    <w:rsid w:val="002A138B"/>
    <w:rsid w:val="002A65B5"/>
    <w:rsid w:val="002B282A"/>
    <w:rsid w:val="002B7303"/>
    <w:rsid w:val="002C1B6E"/>
    <w:rsid w:val="002D3EB7"/>
    <w:rsid w:val="002E6358"/>
    <w:rsid w:val="00302086"/>
    <w:rsid w:val="00303594"/>
    <w:rsid w:val="00303CEB"/>
    <w:rsid w:val="00303FF5"/>
    <w:rsid w:val="00316DB1"/>
    <w:rsid w:val="003200E0"/>
    <w:rsid w:val="00332DC6"/>
    <w:rsid w:val="00334C5D"/>
    <w:rsid w:val="00336866"/>
    <w:rsid w:val="0034093A"/>
    <w:rsid w:val="003440EF"/>
    <w:rsid w:val="00351FA4"/>
    <w:rsid w:val="0035585B"/>
    <w:rsid w:val="00370ECD"/>
    <w:rsid w:val="003726B9"/>
    <w:rsid w:val="00377695"/>
    <w:rsid w:val="00383165"/>
    <w:rsid w:val="00384FC3"/>
    <w:rsid w:val="00385866"/>
    <w:rsid w:val="00386652"/>
    <w:rsid w:val="003969BB"/>
    <w:rsid w:val="00397157"/>
    <w:rsid w:val="003B4ECA"/>
    <w:rsid w:val="003C3431"/>
    <w:rsid w:val="003C5CE6"/>
    <w:rsid w:val="003C6E17"/>
    <w:rsid w:val="003D034D"/>
    <w:rsid w:val="003D385D"/>
    <w:rsid w:val="003D3CAD"/>
    <w:rsid w:val="003E13C6"/>
    <w:rsid w:val="003E1449"/>
    <w:rsid w:val="003E2E19"/>
    <w:rsid w:val="003E2E79"/>
    <w:rsid w:val="003F008A"/>
    <w:rsid w:val="003F3221"/>
    <w:rsid w:val="003F3EF3"/>
    <w:rsid w:val="003F7069"/>
    <w:rsid w:val="00403AC8"/>
    <w:rsid w:val="00403C1E"/>
    <w:rsid w:val="00416992"/>
    <w:rsid w:val="00420132"/>
    <w:rsid w:val="00421664"/>
    <w:rsid w:val="00427DCE"/>
    <w:rsid w:val="004359FE"/>
    <w:rsid w:val="00435D11"/>
    <w:rsid w:val="00437464"/>
    <w:rsid w:val="00440D06"/>
    <w:rsid w:val="00451708"/>
    <w:rsid w:val="00453004"/>
    <w:rsid w:val="00454409"/>
    <w:rsid w:val="004576C4"/>
    <w:rsid w:val="004645D8"/>
    <w:rsid w:val="00471D49"/>
    <w:rsid w:val="004726DA"/>
    <w:rsid w:val="0048112F"/>
    <w:rsid w:val="004839F3"/>
    <w:rsid w:val="00496177"/>
    <w:rsid w:val="004B660C"/>
    <w:rsid w:val="004C477C"/>
    <w:rsid w:val="004E1019"/>
    <w:rsid w:val="004E1C1E"/>
    <w:rsid w:val="004E68F2"/>
    <w:rsid w:val="004F0360"/>
    <w:rsid w:val="004F0614"/>
    <w:rsid w:val="004F39F9"/>
    <w:rsid w:val="004F3A41"/>
    <w:rsid w:val="00516259"/>
    <w:rsid w:val="00530908"/>
    <w:rsid w:val="00540EC2"/>
    <w:rsid w:val="00547542"/>
    <w:rsid w:val="005507FB"/>
    <w:rsid w:val="00550917"/>
    <w:rsid w:val="00555198"/>
    <w:rsid w:val="00563D5C"/>
    <w:rsid w:val="00563D7A"/>
    <w:rsid w:val="00570667"/>
    <w:rsid w:val="005743D5"/>
    <w:rsid w:val="00576AC2"/>
    <w:rsid w:val="005951B8"/>
    <w:rsid w:val="005974B1"/>
    <w:rsid w:val="005A7D29"/>
    <w:rsid w:val="005B14D0"/>
    <w:rsid w:val="005B1D1B"/>
    <w:rsid w:val="005B53D0"/>
    <w:rsid w:val="005B59F5"/>
    <w:rsid w:val="005C306D"/>
    <w:rsid w:val="005C37A0"/>
    <w:rsid w:val="005C3D94"/>
    <w:rsid w:val="005C5F63"/>
    <w:rsid w:val="005C73E5"/>
    <w:rsid w:val="005D31B0"/>
    <w:rsid w:val="005D3FB1"/>
    <w:rsid w:val="005D7475"/>
    <w:rsid w:val="005E258A"/>
    <w:rsid w:val="005F2400"/>
    <w:rsid w:val="005F4185"/>
    <w:rsid w:val="005F480D"/>
    <w:rsid w:val="005F5857"/>
    <w:rsid w:val="0060073D"/>
    <w:rsid w:val="006071F7"/>
    <w:rsid w:val="0061114C"/>
    <w:rsid w:val="00622F21"/>
    <w:rsid w:val="00626620"/>
    <w:rsid w:val="00640D09"/>
    <w:rsid w:val="00641F65"/>
    <w:rsid w:val="006473D5"/>
    <w:rsid w:val="00653625"/>
    <w:rsid w:val="00653857"/>
    <w:rsid w:val="00654FA5"/>
    <w:rsid w:val="00655133"/>
    <w:rsid w:val="006571AC"/>
    <w:rsid w:val="00666152"/>
    <w:rsid w:val="0067765B"/>
    <w:rsid w:val="00692450"/>
    <w:rsid w:val="00693912"/>
    <w:rsid w:val="006A06FB"/>
    <w:rsid w:val="006A0C00"/>
    <w:rsid w:val="006A6D3E"/>
    <w:rsid w:val="006B07DA"/>
    <w:rsid w:val="006B4EF5"/>
    <w:rsid w:val="006C28F8"/>
    <w:rsid w:val="006C2E23"/>
    <w:rsid w:val="006D23C0"/>
    <w:rsid w:val="006D573F"/>
    <w:rsid w:val="006E7B69"/>
    <w:rsid w:val="006F20AD"/>
    <w:rsid w:val="006F7631"/>
    <w:rsid w:val="007009B1"/>
    <w:rsid w:val="00704314"/>
    <w:rsid w:val="0071414C"/>
    <w:rsid w:val="00720CFA"/>
    <w:rsid w:val="00726227"/>
    <w:rsid w:val="00730A76"/>
    <w:rsid w:val="00730FD4"/>
    <w:rsid w:val="007327AB"/>
    <w:rsid w:val="007359D7"/>
    <w:rsid w:val="00740F01"/>
    <w:rsid w:val="00742DBE"/>
    <w:rsid w:val="00756B14"/>
    <w:rsid w:val="00757228"/>
    <w:rsid w:val="0076253D"/>
    <w:rsid w:val="00762DD7"/>
    <w:rsid w:val="00771DCC"/>
    <w:rsid w:val="00772C0B"/>
    <w:rsid w:val="007808FE"/>
    <w:rsid w:val="00781A43"/>
    <w:rsid w:val="0078386A"/>
    <w:rsid w:val="00786934"/>
    <w:rsid w:val="00792641"/>
    <w:rsid w:val="007942CA"/>
    <w:rsid w:val="0079782A"/>
    <w:rsid w:val="007B5370"/>
    <w:rsid w:val="007C0A45"/>
    <w:rsid w:val="007C4C53"/>
    <w:rsid w:val="007D18EE"/>
    <w:rsid w:val="007D37C0"/>
    <w:rsid w:val="007D3B05"/>
    <w:rsid w:val="007E04A8"/>
    <w:rsid w:val="007F11AA"/>
    <w:rsid w:val="007F4097"/>
    <w:rsid w:val="007F72F2"/>
    <w:rsid w:val="00800EC3"/>
    <w:rsid w:val="00801BC6"/>
    <w:rsid w:val="00807349"/>
    <w:rsid w:val="00815E08"/>
    <w:rsid w:val="00821D31"/>
    <w:rsid w:val="00822FB2"/>
    <w:rsid w:val="00834004"/>
    <w:rsid w:val="00840FB5"/>
    <w:rsid w:val="0084258A"/>
    <w:rsid w:val="0084453D"/>
    <w:rsid w:val="008464FB"/>
    <w:rsid w:val="00850D55"/>
    <w:rsid w:val="00867B8E"/>
    <w:rsid w:val="00876C63"/>
    <w:rsid w:val="00884C61"/>
    <w:rsid w:val="00885262"/>
    <w:rsid w:val="00887144"/>
    <w:rsid w:val="00890512"/>
    <w:rsid w:val="008919D5"/>
    <w:rsid w:val="0089385A"/>
    <w:rsid w:val="00897DAE"/>
    <w:rsid w:val="008A1AD1"/>
    <w:rsid w:val="008B4761"/>
    <w:rsid w:val="008B714F"/>
    <w:rsid w:val="008C0874"/>
    <w:rsid w:val="008C1786"/>
    <w:rsid w:val="008C578F"/>
    <w:rsid w:val="008C6D4A"/>
    <w:rsid w:val="008D23E8"/>
    <w:rsid w:val="008D38F4"/>
    <w:rsid w:val="008E4289"/>
    <w:rsid w:val="008E51E9"/>
    <w:rsid w:val="008E59E5"/>
    <w:rsid w:val="008E61B2"/>
    <w:rsid w:val="008E667F"/>
    <w:rsid w:val="00902C5C"/>
    <w:rsid w:val="00907DFC"/>
    <w:rsid w:val="00910B5E"/>
    <w:rsid w:val="009214E0"/>
    <w:rsid w:val="00925FD1"/>
    <w:rsid w:val="0093016F"/>
    <w:rsid w:val="009310AD"/>
    <w:rsid w:val="009319CD"/>
    <w:rsid w:val="00933A62"/>
    <w:rsid w:val="0095714E"/>
    <w:rsid w:val="00975605"/>
    <w:rsid w:val="00977EC2"/>
    <w:rsid w:val="009823FA"/>
    <w:rsid w:val="00995ACB"/>
    <w:rsid w:val="009A04DB"/>
    <w:rsid w:val="009A18CB"/>
    <w:rsid w:val="009B0F5F"/>
    <w:rsid w:val="009C0A96"/>
    <w:rsid w:val="009C5D6B"/>
    <w:rsid w:val="009D047B"/>
    <w:rsid w:val="009D22B3"/>
    <w:rsid w:val="009E57CE"/>
    <w:rsid w:val="009F008F"/>
    <w:rsid w:val="009F685A"/>
    <w:rsid w:val="00A02566"/>
    <w:rsid w:val="00A03017"/>
    <w:rsid w:val="00A07331"/>
    <w:rsid w:val="00A0791E"/>
    <w:rsid w:val="00A21E92"/>
    <w:rsid w:val="00A25973"/>
    <w:rsid w:val="00A26172"/>
    <w:rsid w:val="00A32E4F"/>
    <w:rsid w:val="00A3793C"/>
    <w:rsid w:val="00A4199F"/>
    <w:rsid w:val="00A51FCD"/>
    <w:rsid w:val="00A61940"/>
    <w:rsid w:val="00A636D4"/>
    <w:rsid w:val="00A652D8"/>
    <w:rsid w:val="00A73521"/>
    <w:rsid w:val="00A73B32"/>
    <w:rsid w:val="00A75722"/>
    <w:rsid w:val="00A7687E"/>
    <w:rsid w:val="00A9096E"/>
    <w:rsid w:val="00A94971"/>
    <w:rsid w:val="00A96E4D"/>
    <w:rsid w:val="00A97980"/>
    <w:rsid w:val="00AA5D49"/>
    <w:rsid w:val="00AC5735"/>
    <w:rsid w:val="00AC67B8"/>
    <w:rsid w:val="00AC7DA4"/>
    <w:rsid w:val="00AD1C9B"/>
    <w:rsid w:val="00AD1DB8"/>
    <w:rsid w:val="00AE579B"/>
    <w:rsid w:val="00AE6655"/>
    <w:rsid w:val="00AF7826"/>
    <w:rsid w:val="00B03461"/>
    <w:rsid w:val="00B039E0"/>
    <w:rsid w:val="00B06595"/>
    <w:rsid w:val="00B14576"/>
    <w:rsid w:val="00B240B4"/>
    <w:rsid w:val="00B260A1"/>
    <w:rsid w:val="00B2712C"/>
    <w:rsid w:val="00B3214A"/>
    <w:rsid w:val="00B42CE7"/>
    <w:rsid w:val="00B450D3"/>
    <w:rsid w:val="00B625DE"/>
    <w:rsid w:val="00B62B14"/>
    <w:rsid w:val="00B63466"/>
    <w:rsid w:val="00B72B46"/>
    <w:rsid w:val="00B73C67"/>
    <w:rsid w:val="00B756D6"/>
    <w:rsid w:val="00BA7B3F"/>
    <w:rsid w:val="00BB703A"/>
    <w:rsid w:val="00BC452F"/>
    <w:rsid w:val="00BC7DB8"/>
    <w:rsid w:val="00BD516E"/>
    <w:rsid w:val="00BD5E7E"/>
    <w:rsid w:val="00BE21B7"/>
    <w:rsid w:val="00BE3272"/>
    <w:rsid w:val="00BE54AA"/>
    <w:rsid w:val="00BF2F3B"/>
    <w:rsid w:val="00BF4F4C"/>
    <w:rsid w:val="00BF7796"/>
    <w:rsid w:val="00C03699"/>
    <w:rsid w:val="00C26DE6"/>
    <w:rsid w:val="00C30303"/>
    <w:rsid w:val="00C319BB"/>
    <w:rsid w:val="00C31EAD"/>
    <w:rsid w:val="00C460B2"/>
    <w:rsid w:val="00C46AC2"/>
    <w:rsid w:val="00C47489"/>
    <w:rsid w:val="00C47996"/>
    <w:rsid w:val="00C5111D"/>
    <w:rsid w:val="00C51577"/>
    <w:rsid w:val="00C53140"/>
    <w:rsid w:val="00C56333"/>
    <w:rsid w:val="00C57096"/>
    <w:rsid w:val="00C7024D"/>
    <w:rsid w:val="00C77F9B"/>
    <w:rsid w:val="00C85271"/>
    <w:rsid w:val="00C92136"/>
    <w:rsid w:val="00CA1454"/>
    <w:rsid w:val="00CA6B44"/>
    <w:rsid w:val="00CB7877"/>
    <w:rsid w:val="00CC127A"/>
    <w:rsid w:val="00CC40F9"/>
    <w:rsid w:val="00CC5827"/>
    <w:rsid w:val="00CD2E45"/>
    <w:rsid w:val="00CD4B9D"/>
    <w:rsid w:val="00CD4ECF"/>
    <w:rsid w:val="00CE28FE"/>
    <w:rsid w:val="00CF4F89"/>
    <w:rsid w:val="00CF6027"/>
    <w:rsid w:val="00D10861"/>
    <w:rsid w:val="00D108A4"/>
    <w:rsid w:val="00D23132"/>
    <w:rsid w:val="00D24074"/>
    <w:rsid w:val="00D335E7"/>
    <w:rsid w:val="00D33CE6"/>
    <w:rsid w:val="00D35F0F"/>
    <w:rsid w:val="00D40130"/>
    <w:rsid w:val="00D53199"/>
    <w:rsid w:val="00D56394"/>
    <w:rsid w:val="00D60B70"/>
    <w:rsid w:val="00D62D71"/>
    <w:rsid w:val="00D664C9"/>
    <w:rsid w:val="00D67BB6"/>
    <w:rsid w:val="00D74930"/>
    <w:rsid w:val="00D827DA"/>
    <w:rsid w:val="00D91805"/>
    <w:rsid w:val="00D94B96"/>
    <w:rsid w:val="00DB7F4F"/>
    <w:rsid w:val="00DC0A64"/>
    <w:rsid w:val="00DC2FA7"/>
    <w:rsid w:val="00DC4655"/>
    <w:rsid w:val="00DC49EE"/>
    <w:rsid w:val="00DC555B"/>
    <w:rsid w:val="00DC5E4C"/>
    <w:rsid w:val="00DE4E12"/>
    <w:rsid w:val="00DE7B68"/>
    <w:rsid w:val="00E0537C"/>
    <w:rsid w:val="00E12941"/>
    <w:rsid w:val="00E14D94"/>
    <w:rsid w:val="00E1509E"/>
    <w:rsid w:val="00E150A6"/>
    <w:rsid w:val="00E23217"/>
    <w:rsid w:val="00E23612"/>
    <w:rsid w:val="00E35519"/>
    <w:rsid w:val="00E36BDA"/>
    <w:rsid w:val="00E372CF"/>
    <w:rsid w:val="00E372DA"/>
    <w:rsid w:val="00E53119"/>
    <w:rsid w:val="00E74090"/>
    <w:rsid w:val="00E7747D"/>
    <w:rsid w:val="00E77888"/>
    <w:rsid w:val="00E82582"/>
    <w:rsid w:val="00E8651A"/>
    <w:rsid w:val="00EA0796"/>
    <w:rsid w:val="00EA11D8"/>
    <w:rsid w:val="00EA7DF2"/>
    <w:rsid w:val="00EB2CC3"/>
    <w:rsid w:val="00EB3E4D"/>
    <w:rsid w:val="00EB4CD8"/>
    <w:rsid w:val="00EB6E69"/>
    <w:rsid w:val="00ED135A"/>
    <w:rsid w:val="00ED1A46"/>
    <w:rsid w:val="00ED4744"/>
    <w:rsid w:val="00F03B2E"/>
    <w:rsid w:val="00F040FC"/>
    <w:rsid w:val="00F046B1"/>
    <w:rsid w:val="00F047E3"/>
    <w:rsid w:val="00F14001"/>
    <w:rsid w:val="00F20C43"/>
    <w:rsid w:val="00F23813"/>
    <w:rsid w:val="00F25DD0"/>
    <w:rsid w:val="00F26DD6"/>
    <w:rsid w:val="00F33A80"/>
    <w:rsid w:val="00F43E95"/>
    <w:rsid w:val="00F52B52"/>
    <w:rsid w:val="00F52EB9"/>
    <w:rsid w:val="00F556BD"/>
    <w:rsid w:val="00F600DE"/>
    <w:rsid w:val="00F62D37"/>
    <w:rsid w:val="00F65494"/>
    <w:rsid w:val="00F75D44"/>
    <w:rsid w:val="00F867B4"/>
    <w:rsid w:val="00F87794"/>
    <w:rsid w:val="00FA410E"/>
    <w:rsid w:val="00FA7576"/>
    <w:rsid w:val="00FB1C3B"/>
    <w:rsid w:val="00FB3D01"/>
    <w:rsid w:val="00FD4FCD"/>
    <w:rsid w:val="00FD62BF"/>
    <w:rsid w:val="00FE2153"/>
    <w:rsid w:val="00FE304F"/>
    <w:rsid w:val="00FE55C4"/>
    <w:rsid w:val="00FF3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ADB26"/>
  <w15:chartTrackingRefBased/>
  <w15:docId w15:val="{414294B3-F1F4-4485-A0EA-515C769A6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16DB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6DB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B7303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9385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9385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9385A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E36BD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8A1AD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A1AD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A1AD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A1AD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A1AD1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30208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88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belonging" TargetMode="External"/><Relationship Id="rId13" Type="http://schemas.openxmlformats.org/officeDocument/2006/relationships/hyperlink" Target="https://dictionary.cambridge.org/dictionary/english/language" TargetMode="External"/><Relationship Id="rId18" Type="http://schemas.openxmlformats.org/officeDocument/2006/relationships/hyperlink" Target="https://www.aljazeera.com/features/2011/11/1/us-halts-unesco-funding" TargetMode="External"/><Relationship Id="rId26" Type="http://schemas.openxmlformats.org/officeDocument/2006/relationships/hyperlink" Target="https://whc.unesco.org/en/abou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irishheritage.ie/" TargetMode="External"/><Relationship Id="rId7" Type="http://schemas.openxmlformats.org/officeDocument/2006/relationships/hyperlink" Target="https://dictionary.cambridge.org/dictionary/english/feature" TargetMode="External"/><Relationship Id="rId12" Type="http://schemas.openxmlformats.org/officeDocument/2006/relationships/hyperlink" Target="https://dictionary.cambridge.org/dictionary/english/tradition" TargetMode="External"/><Relationship Id="rId17" Type="http://schemas.openxmlformats.org/officeDocument/2006/relationships/hyperlink" Target="https://dictionary.cambridge.org/dictionary/english/importance" TargetMode="External"/><Relationship Id="rId25" Type="http://schemas.openxmlformats.org/officeDocument/2006/relationships/hyperlink" Target="https://whc.unesco.org/en/compendium/?&amp;Documents=1&amp;action=list&amp;id_faq_themes=962" TargetMode="External"/><Relationship Id="rId2" Type="http://schemas.openxmlformats.org/officeDocument/2006/relationships/styles" Target="styles.xml"/><Relationship Id="rId16" Type="http://schemas.openxmlformats.org/officeDocument/2006/relationships/hyperlink" Target="https://dictionary.cambridge.org/dictionary/english/historical" TargetMode="External"/><Relationship Id="rId20" Type="http://schemas.openxmlformats.org/officeDocument/2006/relationships/hyperlink" Target="https://historicengland.org.uk/research/heritage-counts/heritage-and-economy/visitor-economy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ictionary.cambridge.org/dictionary/english/society" TargetMode="External"/><Relationship Id="rId24" Type="http://schemas.openxmlformats.org/officeDocument/2006/relationships/hyperlink" Target="https://time.com/4979481/unesco-us-leaving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ictionary.cambridge.org/dictionary/english/create" TargetMode="External"/><Relationship Id="rId23" Type="http://schemas.openxmlformats.org/officeDocument/2006/relationships/hyperlink" Target="https://www.statista.com/statistics/558111/heritage-site-visit-frequency-uk-england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ictionary.cambridge.org/dictionary/english/particular" TargetMode="External"/><Relationship Id="rId19" Type="http://schemas.openxmlformats.org/officeDocument/2006/relationships/hyperlink" Target="https://dictionary.cambridge.org/dictionary/english/heritag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ctionary.cambridge.org/dictionary/english/culture" TargetMode="External"/><Relationship Id="rId14" Type="http://schemas.openxmlformats.org/officeDocument/2006/relationships/hyperlink" Target="https://dictionary.cambridge.org/dictionary/english/building" TargetMode="External"/><Relationship Id="rId22" Type="http://schemas.openxmlformats.org/officeDocument/2006/relationships/hyperlink" Target="https://www-vlebooks-com.ezproxy.uwtsd.ac.uk/Product/Index/1927016?page=0&amp;startBookmarkId=-1" TargetMode="External"/><Relationship Id="rId27" Type="http://schemas.openxmlformats.org/officeDocument/2006/relationships/hyperlink" Target="https://whc.unesco.org/en/about/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558111/heritage-site-visit-frequency-uk-england/" TargetMode="External"/><Relationship Id="rId3" Type="http://schemas.openxmlformats.org/officeDocument/2006/relationships/hyperlink" Target="https://www-vlebooks-com.ezproxy.uwtsd.ac.uk/Product/Index/1927016?page=0&amp;startBookmarkId=-1" TargetMode="External"/><Relationship Id="rId7" Type="http://schemas.openxmlformats.org/officeDocument/2006/relationships/hyperlink" Target="https://time.com/4979481/unesco-us-leaving/" TargetMode="External"/><Relationship Id="rId2" Type="http://schemas.openxmlformats.org/officeDocument/2006/relationships/hyperlink" Target="https://dictionary.cambridge.org/dictionary/english/heritage" TargetMode="External"/><Relationship Id="rId1" Type="http://schemas.openxmlformats.org/officeDocument/2006/relationships/hyperlink" Target="https://web-p-ebscohost-com.ezproxy.uwtsd.ac.uk/ehost/ebookviewer/ebook/bmxlYmtfXzI4OTgzNl9fQU41?sid=a69c8cf7-90e6-4051-86aa-43621be655ef@redis&amp;vid=2&amp;format=EB&amp;rid=1" TargetMode="External"/><Relationship Id="rId6" Type="http://schemas.openxmlformats.org/officeDocument/2006/relationships/hyperlink" Target="https://www.aljazeera.com/features/2011/11/1/us-halts-unesco-funding" TargetMode="External"/><Relationship Id="rId11" Type="http://schemas.openxmlformats.org/officeDocument/2006/relationships/hyperlink" Target="https://irishheritage.ie/" TargetMode="External"/><Relationship Id="rId5" Type="http://schemas.openxmlformats.org/officeDocument/2006/relationships/hyperlink" Target="https://whc.unesco.org/en/about/" TargetMode="External"/><Relationship Id="rId10" Type="http://schemas.openxmlformats.org/officeDocument/2006/relationships/hyperlink" Target="https://whc.unesco.org/en/compendium/?&amp;Documents=1&amp;action=list&amp;id_faq_themes=962" TargetMode="External"/><Relationship Id="rId4" Type="http://schemas.openxmlformats.org/officeDocument/2006/relationships/hyperlink" Target="https://whc.unesco.org/en/about/" TargetMode="External"/><Relationship Id="rId9" Type="http://schemas.openxmlformats.org/officeDocument/2006/relationships/hyperlink" Target="https://historicengland.org.uk/research/heritage-counts/heritage-and-economy/visitor-econom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95713E-AC8C-47E8-8DB1-32FDFD530E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2096</Words>
  <Characters>11949</Characters>
  <Application>Microsoft Office Word</Application>
  <DocSecurity>0</DocSecurity>
  <Lines>99</Lines>
  <Paragraphs>28</Paragraphs>
  <ScaleCrop>false</ScaleCrop>
  <Company/>
  <LinksUpToDate>false</LinksUpToDate>
  <CharactersWithSpaces>14017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Alyson Greening</dc:creator>
  <cp:keywords/>
  <dc:description/>
  <cp:lastModifiedBy>Alyson Greening</cp:lastModifiedBy>
  <cp:revision>2</cp:revision>
  <dcterms:created xsi:type="dcterms:W3CDTF">2024-03-01T04:36:00Z</dcterms:created>
  <dcterms:modified xsi:type="dcterms:W3CDTF">2024-03-01T04:36:00Z</dcterms:modified>
</cp:coreProperties>
</file>