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BA731" w14:textId="77777777" w:rsidR="00132F03" w:rsidRDefault="00132F03" w:rsidP="008354B1">
      <w:pPr>
        <w:pStyle w:val="Title"/>
      </w:pPr>
    </w:p>
    <w:p w14:paraId="09B9160E" w14:textId="77777777" w:rsidR="00132F03" w:rsidRDefault="00132F03" w:rsidP="008354B1">
      <w:pPr>
        <w:pStyle w:val="Title"/>
      </w:pPr>
    </w:p>
    <w:p w14:paraId="5423FEEE" w14:textId="77777777" w:rsidR="00132F03" w:rsidRDefault="00132F03" w:rsidP="008354B1">
      <w:pPr>
        <w:pStyle w:val="Title"/>
      </w:pPr>
    </w:p>
    <w:p w14:paraId="56CA9E9B" w14:textId="77777777" w:rsidR="00132F03" w:rsidRDefault="00132F03" w:rsidP="008354B1">
      <w:pPr>
        <w:pStyle w:val="Title"/>
      </w:pPr>
    </w:p>
    <w:p w14:paraId="711287C4" w14:textId="77777777" w:rsidR="00132F03" w:rsidRDefault="00132F03" w:rsidP="008354B1">
      <w:pPr>
        <w:pStyle w:val="Title"/>
      </w:pPr>
    </w:p>
    <w:p w14:paraId="6F8783E8" w14:textId="77777777" w:rsidR="00132F03" w:rsidRDefault="00132F03" w:rsidP="008354B1">
      <w:pPr>
        <w:pStyle w:val="Title"/>
      </w:pPr>
    </w:p>
    <w:p w14:paraId="6D2CF01A" w14:textId="77777777" w:rsidR="00132F03" w:rsidRDefault="00132F03" w:rsidP="008354B1">
      <w:pPr>
        <w:pStyle w:val="Title"/>
      </w:pPr>
    </w:p>
    <w:p w14:paraId="648C17FB" w14:textId="77777777" w:rsidR="00132F03" w:rsidRDefault="00132F03" w:rsidP="008354B1">
      <w:pPr>
        <w:pStyle w:val="Title"/>
      </w:pPr>
    </w:p>
    <w:p w14:paraId="1C3E42D0" w14:textId="63EF0B80" w:rsidR="00132F03" w:rsidRDefault="00132F03" w:rsidP="008354B1">
      <w:pPr>
        <w:pStyle w:val="Title"/>
      </w:pPr>
      <w:r w:rsidRPr="00132F03">
        <w:t>Financial Management for the Hotel Industry</w:t>
      </w:r>
    </w:p>
    <w:p w14:paraId="64992A07" w14:textId="77777777" w:rsidR="00132F03" w:rsidRDefault="00132F03">
      <w:pPr>
        <w:spacing w:line="259" w:lineRule="auto"/>
        <w:jc w:val="left"/>
        <w:rPr>
          <w:rFonts w:eastAsiaTheme="majorEastAsia" w:cstheme="majorBidi"/>
          <w:caps/>
          <w:spacing w:val="5"/>
          <w:kern w:val="28"/>
          <w:sz w:val="40"/>
          <w:szCs w:val="52"/>
        </w:rPr>
      </w:pPr>
      <w:r>
        <w:br w:type="page"/>
      </w:r>
    </w:p>
    <w:sdt>
      <w:sdtPr>
        <w:rPr>
          <w:rFonts w:ascii="Times New Roman" w:eastAsiaTheme="minorHAnsi" w:hAnsi="Times New Roman" w:cstheme="minorBidi"/>
          <w:b w:val="0"/>
          <w:bCs w:val="0"/>
          <w:color w:val="auto"/>
          <w:sz w:val="24"/>
          <w:szCs w:val="22"/>
        </w:rPr>
        <w:id w:val="1503863371"/>
        <w:docPartObj>
          <w:docPartGallery w:val="Table of Contents"/>
          <w:docPartUnique/>
        </w:docPartObj>
      </w:sdtPr>
      <w:sdtEndPr>
        <w:rPr>
          <w:noProof/>
        </w:rPr>
      </w:sdtEndPr>
      <w:sdtContent>
        <w:p w14:paraId="06E31CF9" w14:textId="02138C75" w:rsidR="00BD22E4" w:rsidRDefault="00BD22E4">
          <w:pPr>
            <w:pStyle w:val="TOCHeading"/>
          </w:pPr>
          <w:r>
            <w:t>Table of Contents</w:t>
          </w:r>
        </w:p>
        <w:p w14:paraId="3A90F772" w14:textId="634FAD04" w:rsidR="00BD22E4" w:rsidRDefault="00BD22E4">
          <w:pPr>
            <w:pStyle w:val="TOC1"/>
            <w:tabs>
              <w:tab w:val="right" w:leader="dot" w:pos="9017"/>
            </w:tabs>
            <w:rPr>
              <w:rFonts w:asciiTheme="minorHAnsi" w:eastAsiaTheme="minorEastAsia" w:hAnsiTheme="minorHAnsi"/>
              <w:noProof/>
              <w:sz w:val="22"/>
              <w:szCs w:val="28"/>
              <w:lang w:bidi="bn-BD"/>
            </w:rPr>
          </w:pPr>
          <w:r>
            <w:fldChar w:fldCharType="begin"/>
          </w:r>
          <w:r>
            <w:instrText xml:space="preserve"> TOC \o "1-3" \h \z \u </w:instrText>
          </w:r>
          <w:r>
            <w:fldChar w:fldCharType="separate"/>
          </w:r>
          <w:hyperlink w:anchor="_Toc103801903" w:history="1">
            <w:r w:rsidRPr="00836599">
              <w:rPr>
                <w:rStyle w:val="Hyperlink"/>
                <w:noProof/>
              </w:rPr>
              <w:t>Introduction</w:t>
            </w:r>
            <w:r>
              <w:rPr>
                <w:noProof/>
                <w:webHidden/>
              </w:rPr>
              <w:tab/>
            </w:r>
            <w:r>
              <w:rPr>
                <w:noProof/>
                <w:webHidden/>
              </w:rPr>
              <w:fldChar w:fldCharType="begin"/>
            </w:r>
            <w:r>
              <w:rPr>
                <w:noProof/>
                <w:webHidden/>
              </w:rPr>
              <w:instrText xml:space="preserve"> PAGEREF _Toc103801903 \h </w:instrText>
            </w:r>
            <w:r>
              <w:rPr>
                <w:noProof/>
                <w:webHidden/>
              </w:rPr>
            </w:r>
            <w:r>
              <w:rPr>
                <w:noProof/>
                <w:webHidden/>
              </w:rPr>
              <w:fldChar w:fldCharType="separate"/>
            </w:r>
            <w:r>
              <w:rPr>
                <w:noProof/>
                <w:webHidden/>
              </w:rPr>
              <w:t>3</w:t>
            </w:r>
            <w:r>
              <w:rPr>
                <w:noProof/>
                <w:webHidden/>
              </w:rPr>
              <w:fldChar w:fldCharType="end"/>
            </w:r>
          </w:hyperlink>
        </w:p>
        <w:p w14:paraId="667199C4" w14:textId="629B97B3" w:rsidR="00BD22E4" w:rsidRDefault="00F334A1">
          <w:pPr>
            <w:pStyle w:val="TOC1"/>
            <w:tabs>
              <w:tab w:val="right" w:leader="dot" w:pos="9017"/>
            </w:tabs>
            <w:rPr>
              <w:rFonts w:asciiTheme="minorHAnsi" w:eastAsiaTheme="minorEastAsia" w:hAnsiTheme="minorHAnsi"/>
              <w:noProof/>
              <w:sz w:val="22"/>
              <w:szCs w:val="28"/>
              <w:lang w:bidi="bn-BD"/>
            </w:rPr>
          </w:pPr>
          <w:hyperlink w:anchor="_Toc103801904" w:history="1">
            <w:r w:rsidR="00BD22E4" w:rsidRPr="00836599">
              <w:rPr>
                <w:rStyle w:val="Hyperlink"/>
                <w:noProof/>
              </w:rPr>
              <w:t>Calculations of Horizontal Ratio and Interpretations</w:t>
            </w:r>
            <w:r w:rsidR="00BD22E4">
              <w:rPr>
                <w:noProof/>
                <w:webHidden/>
              </w:rPr>
              <w:tab/>
            </w:r>
            <w:r w:rsidR="00BD22E4">
              <w:rPr>
                <w:noProof/>
                <w:webHidden/>
              </w:rPr>
              <w:fldChar w:fldCharType="begin"/>
            </w:r>
            <w:r w:rsidR="00BD22E4">
              <w:rPr>
                <w:noProof/>
                <w:webHidden/>
              </w:rPr>
              <w:instrText xml:space="preserve"> PAGEREF _Toc103801904 \h </w:instrText>
            </w:r>
            <w:r w:rsidR="00BD22E4">
              <w:rPr>
                <w:noProof/>
                <w:webHidden/>
              </w:rPr>
            </w:r>
            <w:r w:rsidR="00BD22E4">
              <w:rPr>
                <w:noProof/>
                <w:webHidden/>
              </w:rPr>
              <w:fldChar w:fldCharType="separate"/>
            </w:r>
            <w:r w:rsidR="00BD22E4">
              <w:rPr>
                <w:noProof/>
                <w:webHidden/>
              </w:rPr>
              <w:t>4</w:t>
            </w:r>
            <w:r w:rsidR="00BD22E4">
              <w:rPr>
                <w:noProof/>
                <w:webHidden/>
              </w:rPr>
              <w:fldChar w:fldCharType="end"/>
            </w:r>
          </w:hyperlink>
        </w:p>
        <w:p w14:paraId="2F24EDBD" w14:textId="33813374" w:rsidR="00BD22E4" w:rsidRDefault="00F334A1">
          <w:pPr>
            <w:pStyle w:val="TOC1"/>
            <w:tabs>
              <w:tab w:val="right" w:leader="dot" w:pos="9017"/>
            </w:tabs>
            <w:rPr>
              <w:rFonts w:asciiTheme="minorHAnsi" w:eastAsiaTheme="minorEastAsia" w:hAnsiTheme="minorHAnsi"/>
              <w:noProof/>
              <w:sz w:val="22"/>
              <w:szCs w:val="28"/>
              <w:lang w:bidi="bn-BD"/>
            </w:rPr>
          </w:pPr>
          <w:hyperlink w:anchor="_Toc103801905" w:history="1">
            <w:r w:rsidR="00BD22E4" w:rsidRPr="00836599">
              <w:rPr>
                <w:rStyle w:val="Hyperlink"/>
                <w:noProof/>
              </w:rPr>
              <w:t>Significance of Ratio Analysis in Decision Making</w:t>
            </w:r>
            <w:r w:rsidR="00BD22E4">
              <w:rPr>
                <w:noProof/>
                <w:webHidden/>
              </w:rPr>
              <w:tab/>
            </w:r>
            <w:r w:rsidR="00BD22E4">
              <w:rPr>
                <w:noProof/>
                <w:webHidden/>
              </w:rPr>
              <w:fldChar w:fldCharType="begin"/>
            </w:r>
            <w:r w:rsidR="00BD22E4">
              <w:rPr>
                <w:noProof/>
                <w:webHidden/>
              </w:rPr>
              <w:instrText xml:space="preserve"> PAGEREF _Toc103801905 \h </w:instrText>
            </w:r>
            <w:r w:rsidR="00BD22E4">
              <w:rPr>
                <w:noProof/>
                <w:webHidden/>
              </w:rPr>
            </w:r>
            <w:r w:rsidR="00BD22E4">
              <w:rPr>
                <w:noProof/>
                <w:webHidden/>
              </w:rPr>
              <w:fldChar w:fldCharType="separate"/>
            </w:r>
            <w:r w:rsidR="00BD22E4">
              <w:rPr>
                <w:noProof/>
                <w:webHidden/>
              </w:rPr>
              <w:t>6</w:t>
            </w:r>
            <w:r w:rsidR="00BD22E4">
              <w:rPr>
                <w:noProof/>
                <w:webHidden/>
              </w:rPr>
              <w:fldChar w:fldCharType="end"/>
            </w:r>
          </w:hyperlink>
        </w:p>
        <w:p w14:paraId="36C136F7" w14:textId="6F1EF0EB" w:rsidR="00BD22E4" w:rsidRDefault="00F334A1">
          <w:pPr>
            <w:pStyle w:val="TOC1"/>
            <w:tabs>
              <w:tab w:val="right" w:leader="dot" w:pos="9017"/>
            </w:tabs>
            <w:rPr>
              <w:rFonts w:asciiTheme="minorHAnsi" w:eastAsiaTheme="minorEastAsia" w:hAnsiTheme="minorHAnsi"/>
              <w:noProof/>
              <w:sz w:val="22"/>
              <w:szCs w:val="28"/>
              <w:lang w:bidi="bn-BD"/>
            </w:rPr>
          </w:pPr>
          <w:hyperlink w:anchor="_Toc103801906" w:history="1">
            <w:r w:rsidR="00BD22E4" w:rsidRPr="00836599">
              <w:rPr>
                <w:rStyle w:val="Hyperlink"/>
                <w:noProof/>
              </w:rPr>
              <w:t>Limitations of Ratio Analysis</w:t>
            </w:r>
            <w:r w:rsidR="00BD22E4">
              <w:rPr>
                <w:noProof/>
                <w:webHidden/>
              </w:rPr>
              <w:tab/>
            </w:r>
            <w:r w:rsidR="00BD22E4">
              <w:rPr>
                <w:noProof/>
                <w:webHidden/>
              </w:rPr>
              <w:fldChar w:fldCharType="begin"/>
            </w:r>
            <w:r w:rsidR="00BD22E4">
              <w:rPr>
                <w:noProof/>
                <w:webHidden/>
              </w:rPr>
              <w:instrText xml:space="preserve"> PAGEREF _Toc103801906 \h </w:instrText>
            </w:r>
            <w:r w:rsidR="00BD22E4">
              <w:rPr>
                <w:noProof/>
                <w:webHidden/>
              </w:rPr>
            </w:r>
            <w:r w:rsidR="00BD22E4">
              <w:rPr>
                <w:noProof/>
                <w:webHidden/>
              </w:rPr>
              <w:fldChar w:fldCharType="separate"/>
            </w:r>
            <w:r w:rsidR="00BD22E4">
              <w:rPr>
                <w:noProof/>
                <w:webHidden/>
              </w:rPr>
              <w:t>8</w:t>
            </w:r>
            <w:r w:rsidR="00BD22E4">
              <w:rPr>
                <w:noProof/>
                <w:webHidden/>
              </w:rPr>
              <w:fldChar w:fldCharType="end"/>
            </w:r>
          </w:hyperlink>
        </w:p>
        <w:p w14:paraId="2D666A43" w14:textId="649EB92D" w:rsidR="00BD22E4" w:rsidRDefault="00F334A1">
          <w:pPr>
            <w:pStyle w:val="TOC2"/>
            <w:tabs>
              <w:tab w:val="right" w:leader="dot" w:pos="9017"/>
            </w:tabs>
            <w:rPr>
              <w:rFonts w:asciiTheme="minorHAnsi" w:eastAsiaTheme="minorEastAsia" w:hAnsiTheme="minorHAnsi"/>
              <w:noProof/>
              <w:sz w:val="22"/>
              <w:szCs w:val="28"/>
              <w:lang w:bidi="bn-BD"/>
            </w:rPr>
          </w:pPr>
          <w:hyperlink w:anchor="_Toc103801907" w:history="1">
            <w:r w:rsidR="00BD22E4" w:rsidRPr="00836599">
              <w:rPr>
                <w:rStyle w:val="Hyperlink"/>
                <w:noProof/>
              </w:rPr>
              <w:t>Understanding of Ratio and Its Fluctuations in Hotel Management:</w:t>
            </w:r>
            <w:r w:rsidR="00BD22E4">
              <w:rPr>
                <w:noProof/>
                <w:webHidden/>
              </w:rPr>
              <w:tab/>
            </w:r>
            <w:r w:rsidR="00BD22E4">
              <w:rPr>
                <w:noProof/>
                <w:webHidden/>
              </w:rPr>
              <w:fldChar w:fldCharType="begin"/>
            </w:r>
            <w:r w:rsidR="00BD22E4">
              <w:rPr>
                <w:noProof/>
                <w:webHidden/>
              </w:rPr>
              <w:instrText xml:space="preserve"> PAGEREF _Toc103801907 \h </w:instrText>
            </w:r>
            <w:r w:rsidR="00BD22E4">
              <w:rPr>
                <w:noProof/>
                <w:webHidden/>
              </w:rPr>
            </w:r>
            <w:r w:rsidR="00BD22E4">
              <w:rPr>
                <w:noProof/>
                <w:webHidden/>
              </w:rPr>
              <w:fldChar w:fldCharType="separate"/>
            </w:r>
            <w:r w:rsidR="00BD22E4">
              <w:rPr>
                <w:noProof/>
                <w:webHidden/>
              </w:rPr>
              <w:t>8</w:t>
            </w:r>
            <w:r w:rsidR="00BD22E4">
              <w:rPr>
                <w:noProof/>
                <w:webHidden/>
              </w:rPr>
              <w:fldChar w:fldCharType="end"/>
            </w:r>
          </w:hyperlink>
        </w:p>
        <w:p w14:paraId="4D075F96" w14:textId="75BA1C62" w:rsidR="00BD22E4" w:rsidRDefault="00F334A1">
          <w:pPr>
            <w:pStyle w:val="TOC1"/>
            <w:tabs>
              <w:tab w:val="right" w:leader="dot" w:pos="9017"/>
            </w:tabs>
            <w:rPr>
              <w:rFonts w:asciiTheme="minorHAnsi" w:eastAsiaTheme="minorEastAsia" w:hAnsiTheme="minorHAnsi"/>
              <w:noProof/>
              <w:sz w:val="22"/>
              <w:szCs w:val="28"/>
              <w:lang w:bidi="bn-BD"/>
            </w:rPr>
          </w:pPr>
          <w:hyperlink w:anchor="_Toc103801908" w:history="1">
            <w:r w:rsidR="00BD22E4" w:rsidRPr="00836599">
              <w:rPr>
                <w:rStyle w:val="Hyperlink"/>
                <w:noProof/>
              </w:rPr>
              <w:t>Conclusion</w:t>
            </w:r>
            <w:r w:rsidR="00BD22E4">
              <w:rPr>
                <w:noProof/>
                <w:webHidden/>
              </w:rPr>
              <w:tab/>
            </w:r>
            <w:r w:rsidR="00BD22E4">
              <w:rPr>
                <w:noProof/>
                <w:webHidden/>
              </w:rPr>
              <w:fldChar w:fldCharType="begin"/>
            </w:r>
            <w:r w:rsidR="00BD22E4">
              <w:rPr>
                <w:noProof/>
                <w:webHidden/>
              </w:rPr>
              <w:instrText xml:space="preserve"> PAGEREF _Toc103801908 \h </w:instrText>
            </w:r>
            <w:r w:rsidR="00BD22E4">
              <w:rPr>
                <w:noProof/>
                <w:webHidden/>
              </w:rPr>
            </w:r>
            <w:r w:rsidR="00BD22E4">
              <w:rPr>
                <w:noProof/>
                <w:webHidden/>
              </w:rPr>
              <w:fldChar w:fldCharType="separate"/>
            </w:r>
            <w:r w:rsidR="00BD22E4">
              <w:rPr>
                <w:noProof/>
                <w:webHidden/>
              </w:rPr>
              <w:t>10</w:t>
            </w:r>
            <w:r w:rsidR="00BD22E4">
              <w:rPr>
                <w:noProof/>
                <w:webHidden/>
              </w:rPr>
              <w:fldChar w:fldCharType="end"/>
            </w:r>
          </w:hyperlink>
        </w:p>
        <w:p w14:paraId="2EEACFC4" w14:textId="67DC552E" w:rsidR="00BD22E4" w:rsidRDefault="00F334A1">
          <w:pPr>
            <w:pStyle w:val="TOC1"/>
            <w:tabs>
              <w:tab w:val="right" w:leader="dot" w:pos="9017"/>
            </w:tabs>
            <w:rPr>
              <w:rFonts w:asciiTheme="minorHAnsi" w:eastAsiaTheme="minorEastAsia" w:hAnsiTheme="minorHAnsi"/>
              <w:noProof/>
              <w:sz w:val="22"/>
              <w:szCs w:val="28"/>
              <w:lang w:bidi="bn-BD"/>
            </w:rPr>
          </w:pPr>
          <w:hyperlink w:anchor="_Toc103801909" w:history="1">
            <w:r w:rsidR="00BD22E4" w:rsidRPr="00836599">
              <w:rPr>
                <w:rStyle w:val="Hyperlink"/>
                <w:noProof/>
              </w:rPr>
              <w:t>Reference</w:t>
            </w:r>
            <w:r w:rsidR="00BD22E4">
              <w:rPr>
                <w:noProof/>
                <w:webHidden/>
              </w:rPr>
              <w:tab/>
            </w:r>
            <w:r w:rsidR="00BD22E4">
              <w:rPr>
                <w:noProof/>
                <w:webHidden/>
              </w:rPr>
              <w:fldChar w:fldCharType="begin"/>
            </w:r>
            <w:r w:rsidR="00BD22E4">
              <w:rPr>
                <w:noProof/>
                <w:webHidden/>
              </w:rPr>
              <w:instrText xml:space="preserve"> PAGEREF _Toc103801909 \h </w:instrText>
            </w:r>
            <w:r w:rsidR="00BD22E4">
              <w:rPr>
                <w:noProof/>
                <w:webHidden/>
              </w:rPr>
            </w:r>
            <w:r w:rsidR="00BD22E4">
              <w:rPr>
                <w:noProof/>
                <w:webHidden/>
              </w:rPr>
              <w:fldChar w:fldCharType="separate"/>
            </w:r>
            <w:r w:rsidR="00BD22E4">
              <w:rPr>
                <w:noProof/>
                <w:webHidden/>
              </w:rPr>
              <w:t>11</w:t>
            </w:r>
            <w:r w:rsidR="00BD22E4">
              <w:rPr>
                <w:noProof/>
                <w:webHidden/>
              </w:rPr>
              <w:fldChar w:fldCharType="end"/>
            </w:r>
          </w:hyperlink>
        </w:p>
        <w:p w14:paraId="51DB3507" w14:textId="0ABCA506" w:rsidR="00BD22E4" w:rsidRDefault="00BD22E4">
          <w:r>
            <w:rPr>
              <w:b/>
              <w:bCs/>
              <w:noProof/>
            </w:rPr>
            <w:fldChar w:fldCharType="end"/>
          </w:r>
        </w:p>
      </w:sdtContent>
    </w:sdt>
    <w:p w14:paraId="0797C1B6" w14:textId="72A0662D" w:rsidR="00132F03" w:rsidRDefault="00132F03" w:rsidP="008354B1">
      <w:pPr>
        <w:pStyle w:val="Title"/>
      </w:pPr>
    </w:p>
    <w:p w14:paraId="0E7CD193" w14:textId="77777777" w:rsidR="00132F03" w:rsidRDefault="00132F03">
      <w:pPr>
        <w:spacing w:line="259" w:lineRule="auto"/>
        <w:jc w:val="left"/>
        <w:rPr>
          <w:rFonts w:eastAsiaTheme="majorEastAsia" w:cstheme="majorBidi"/>
          <w:caps/>
          <w:spacing w:val="5"/>
          <w:kern w:val="28"/>
          <w:sz w:val="40"/>
          <w:szCs w:val="52"/>
        </w:rPr>
      </w:pPr>
      <w:r>
        <w:br w:type="page"/>
      </w:r>
    </w:p>
    <w:p w14:paraId="6AA90E8F" w14:textId="6A68BDDD" w:rsidR="00132F03" w:rsidRDefault="00132F03" w:rsidP="00132F03">
      <w:pPr>
        <w:pStyle w:val="Heading1"/>
      </w:pPr>
      <w:bookmarkStart w:id="0" w:name="_Toc103801903"/>
      <w:r>
        <w:lastRenderedPageBreak/>
        <w:t>Introduction</w:t>
      </w:r>
      <w:bookmarkEnd w:id="0"/>
      <w:r>
        <w:t xml:space="preserve"> </w:t>
      </w:r>
    </w:p>
    <w:p w14:paraId="4F48BB20" w14:textId="00CDC473" w:rsidR="001D44C5" w:rsidRPr="001D44C5" w:rsidRDefault="001D44C5" w:rsidP="001D44C5">
      <w:r>
        <w:t>The report is based on the hotel industry and its usage of ratio analysis. The horizon</w:t>
      </w:r>
      <w:r w:rsidR="00FC239E">
        <w:t>t</w:t>
      </w:r>
      <w:r>
        <w:t xml:space="preserve">al ratio analysis of Hotel Hilton is provided in the first segment. </w:t>
      </w:r>
      <w:r w:rsidR="00606FA9">
        <w:t>The next part involves the descriptions of the significance of the ratio analysis in decision</w:t>
      </w:r>
      <w:r w:rsidR="00FC239E">
        <w:t>-</w:t>
      </w:r>
      <w:r w:rsidR="00606FA9">
        <w:t>making. Finally, the limitation of ratio analysis as well as the importance of understanding financial ratio</w:t>
      </w:r>
      <w:r w:rsidR="00FC239E">
        <w:t>s</w:t>
      </w:r>
      <w:r w:rsidR="00606FA9">
        <w:t xml:space="preserve"> in hotel management is also narrated.</w:t>
      </w:r>
    </w:p>
    <w:p w14:paraId="0C5ED462" w14:textId="77777777" w:rsidR="00132F03" w:rsidRDefault="00132F03">
      <w:pPr>
        <w:spacing w:line="259" w:lineRule="auto"/>
        <w:jc w:val="left"/>
        <w:rPr>
          <w:rFonts w:eastAsiaTheme="majorEastAsia" w:cstheme="majorBidi"/>
          <w:b/>
          <w:bCs/>
          <w:color w:val="000000" w:themeColor="text1"/>
          <w:sz w:val="32"/>
          <w:szCs w:val="28"/>
        </w:rPr>
      </w:pPr>
      <w:r>
        <w:br w:type="page"/>
      </w:r>
    </w:p>
    <w:p w14:paraId="5AD14755" w14:textId="371DB518" w:rsidR="00132F03" w:rsidRDefault="00132F03" w:rsidP="00132F03">
      <w:pPr>
        <w:pStyle w:val="Heading1"/>
      </w:pPr>
      <w:bookmarkStart w:id="1" w:name="_Toc103801904"/>
      <w:r>
        <w:lastRenderedPageBreak/>
        <w:t>Calculations of Horizontal Ratio and Interpretations</w:t>
      </w:r>
      <w:bookmarkEnd w:id="1"/>
    </w:p>
    <w:p w14:paraId="1467DE06" w14:textId="34F46696" w:rsidR="001B6BC5" w:rsidRDefault="00FC239E" w:rsidP="001B6BC5">
      <w:r>
        <w:t>A h</w:t>
      </w:r>
      <w:r w:rsidR="00925234">
        <w:t xml:space="preserve">orizontal ratio is the calculation of </w:t>
      </w:r>
      <w:r w:rsidR="004C184B">
        <w:t xml:space="preserve">a change by dividing the change between </w:t>
      </w:r>
      <w:r>
        <w:t xml:space="preserve">the </w:t>
      </w:r>
      <w:r w:rsidR="004C184B">
        <w:t>comparison year and the base year by dividing the base year</w:t>
      </w:r>
      <w:r w:rsidR="000732AF">
        <w:t xml:space="preserve"> </w:t>
      </w:r>
      <w:r w:rsidR="000732AF">
        <w:rPr>
          <w:rStyle w:val="selectable"/>
          <w:color w:val="000000"/>
        </w:rPr>
        <w:t>(</w:t>
      </w:r>
      <w:proofErr w:type="spellStart"/>
      <w:r w:rsidR="000732AF">
        <w:rPr>
          <w:rStyle w:val="selectable"/>
          <w:color w:val="000000"/>
        </w:rPr>
        <w:t>Hirji</w:t>
      </w:r>
      <w:proofErr w:type="spellEnd"/>
      <w:r w:rsidR="000732AF">
        <w:rPr>
          <w:rStyle w:val="selectable"/>
          <w:color w:val="000000"/>
        </w:rPr>
        <w:t>, 2019)</w:t>
      </w:r>
      <w:r w:rsidR="004C184B">
        <w:t xml:space="preserve">. </w:t>
      </w:r>
      <w:r w:rsidR="001B6BC5">
        <w:t>The horizontal ratio calculation of Hotel Hilton is provided below:</w:t>
      </w:r>
    </w:p>
    <w:tbl>
      <w:tblPr>
        <w:tblStyle w:val="GridTable4-Accent1"/>
        <w:tblW w:w="8185" w:type="dxa"/>
        <w:jc w:val="center"/>
        <w:tblLook w:val="04A0" w:firstRow="1" w:lastRow="0" w:firstColumn="1" w:lastColumn="0" w:noHBand="0" w:noVBand="1"/>
      </w:tblPr>
      <w:tblGrid>
        <w:gridCol w:w="3074"/>
        <w:gridCol w:w="1298"/>
        <w:gridCol w:w="1298"/>
        <w:gridCol w:w="1165"/>
        <w:gridCol w:w="1350"/>
      </w:tblGrid>
      <w:tr w:rsidR="001B6BC5" w:rsidRPr="001B6BC5" w14:paraId="33754488" w14:textId="77777777" w:rsidTr="001B6BC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185" w:type="dxa"/>
            <w:gridSpan w:val="5"/>
            <w:noWrap/>
            <w:hideMark/>
          </w:tcPr>
          <w:p w14:paraId="0273E718" w14:textId="51F29A8D" w:rsidR="001B6BC5" w:rsidRPr="001B6BC5" w:rsidRDefault="001B6BC5" w:rsidP="001B6BC5">
            <w:pPr>
              <w:spacing w:line="240" w:lineRule="auto"/>
              <w:jc w:val="center"/>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Comprehensive Income Statement</w:t>
            </w:r>
          </w:p>
        </w:tc>
      </w:tr>
      <w:tr w:rsidR="001B6BC5" w:rsidRPr="001B6BC5" w14:paraId="7B67EDE6"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34D2F3D2" w14:textId="77777777" w:rsidR="001B6BC5" w:rsidRPr="001B6BC5" w:rsidRDefault="001B6BC5" w:rsidP="001B6BC5">
            <w:pPr>
              <w:spacing w:line="240" w:lineRule="auto"/>
              <w:jc w:val="center"/>
              <w:rPr>
                <w:rFonts w:ascii="Calibri" w:eastAsia="Times New Roman" w:hAnsi="Calibri" w:cs="Calibri"/>
                <w:color w:val="000000"/>
                <w:sz w:val="22"/>
                <w:lang w:bidi="bn-BD"/>
              </w:rPr>
            </w:pPr>
          </w:p>
        </w:tc>
        <w:tc>
          <w:tcPr>
            <w:tcW w:w="1298" w:type="dxa"/>
            <w:noWrap/>
            <w:hideMark/>
          </w:tcPr>
          <w:p w14:paraId="1BE084AD"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2020</w:t>
            </w:r>
          </w:p>
        </w:tc>
        <w:tc>
          <w:tcPr>
            <w:tcW w:w="1298" w:type="dxa"/>
            <w:noWrap/>
            <w:hideMark/>
          </w:tcPr>
          <w:p w14:paraId="0F4E9BF8"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2019</w:t>
            </w:r>
          </w:p>
        </w:tc>
        <w:tc>
          <w:tcPr>
            <w:tcW w:w="1165" w:type="dxa"/>
            <w:noWrap/>
            <w:hideMark/>
          </w:tcPr>
          <w:p w14:paraId="55C238A2"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Change</w:t>
            </w:r>
          </w:p>
        </w:tc>
        <w:tc>
          <w:tcPr>
            <w:tcW w:w="1350" w:type="dxa"/>
            <w:noWrap/>
            <w:hideMark/>
          </w:tcPr>
          <w:p w14:paraId="170379E4"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 Change</w:t>
            </w:r>
          </w:p>
        </w:tc>
      </w:tr>
      <w:tr w:rsidR="001B6BC5" w:rsidRPr="001B6BC5" w14:paraId="38935911" w14:textId="77777777" w:rsidTr="001B6BC5">
        <w:trPr>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5D1E9B18"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Fiscal Year Ends</w:t>
            </w:r>
          </w:p>
        </w:tc>
        <w:tc>
          <w:tcPr>
            <w:tcW w:w="1298" w:type="dxa"/>
            <w:noWrap/>
            <w:hideMark/>
          </w:tcPr>
          <w:p w14:paraId="7A30E260"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31/12/2021</w:t>
            </w:r>
          </w:p>
        </w:tc>
        <w:tc>
          <w:tcPr>
            <w:tcW w:w="1298" w:type="dxa"/>
            <w:noWrap/>
            <w:hideMark/>
          </w:tcPr>
          <w:p w14:paraId="406963FA"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bidi="bn-BD"/>
              </w:rPr>
            </w:pPr>
            <w:r w:rsidRPr="001B6BC5">
              <w:rPr>
                <w:rFonts w:ascii="Calibri" w:eastAsia="Times New Roman" w:hAnsi="Calibri" w:cs="Calibri"/>
                <w:b/>
                <w:bCs/>
                <w:color w:val="000000"/>
                <w:sz w:val="22"/>
                <w:lang w:bidi="bn-BD"/>
              </w:rPr>
              <w:t>31/12/2020</w:t>
            </w:r>
          </w:p>
        </w:tc>
        <w:tc>
          <w:tcPr>
            <w:tcW w:w="1165" w:type="dxa"/>
            <w:noWrap/>
            <w:hideMark/>
          </w:tcPr>
          <w:p w14:paraId="262D4543"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bidi="bn-BD"/>
              </w:rPr>
            </w:pPr>
            <w:r w:rsidRPr="001B6BC5">
              <w:rPr>
                <w:rFonts w:eastAsia="Times New Roman" w:cs="Times New Roman"/>
                <w:b/>
                <w:bCs/>
                <w:color w:val="000000"/>
                <w:sz w:val="20"/>
                <w:szCs w:val="20"/>
                <w:lang w:bidi="bn-BD"/>
              </w:rPr>
              <w:t>-</w:t>
            </w:r>
          </w:p>
        </w:tc>
        <w:tc>
          <w:tcPr>
            <w:tcW w:w="1350" w:type="dxa"/>
            <w:noWrap/>
            <w:hideMark/>
          </w:tcPr>
          <w:p w14:paraId="31C6F435"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bidi="bn-BD"/>
              </w:rPr>
            </w:pPr>
            <w:r w:rsidRPr="001B6BC5">
              <w:rPr>
                <w:rFonts w:eastAsia="Times New Roman" w:cs="Times New Roman"/>
                <w:b/>
                <w:bCs/>
                <w:color w:val="000000"/>
                <w:sz w:val="20"/>
                <w:szCs w:val="20"/>
                <w:lang w:bidi="bn-BD"/>
              </w:rPr>
              <w:t>-</w:t>
            </w:r>
          </w:p>
        </w:tc>
      </w:tr>
      <w:tr w:rsidR="001B6BC5" w:rsidRPr="001B6BC5" w14:paraId="7A1FB42D"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07CCA36B"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Sales</w:t>
            </w:r>
          </w:p>
        </w:tc>
        <w:tc>
          <w:tcPr>
            <w:tcW w:w="1298" w:type="dxa"/>
            <w:noWrap/>
            <w:hideMark/>
          </w:tcPr>
          <w:p w14:paraId="50A5E2DD"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4,307,000</w:t>
            </w:r>
          </w:p>
        </w:tc>
        <w:tc>
          <w:tcPr>
            <w:tcW w:w="1298" w:type="dxa"/>
            <w:noWrap/>
            <w:hideMark/>
          </w:tcPr>
          <w:p w14:paraId="06FD0B76"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9,452,000</w:t>
            </w:r>
          </w:p>
        </w:tc>
        <w:tc>
          <w:tcPr>
            <w:tcW w:w="1165" w:type="dxa"/>
            <w:noWrap/>
            <w:hideMark/>
          </w:tcPr>
          <w:p w14:paraId="34AD52CF"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-5,145,000</w:t>
            </w:r>
          </w:p>
        </w:tc>
        <w:tc>
          <w:tcPr>
            <w:tcW w:w="1350" w:type="dxa"/>
            <w:noWrap/>
            <w:hideMark/>
          </w:tcPr>
          <w:p w14:paraId="784E97BA"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-0.544329242</w:t>
            </w:r>
          </w:p>
        </w:tc>
      </w:tr>
      <w:tr w:rsidR="001B6BC5" w:rsidRPr="001B6BC5" w14:paraId="0DFD060D" w14:textId="77777777" w:rsidTr="001B6BC5">
        <w:trPr>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2D501B0F"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Cost of goods sold</w:t>
            </w:r>
          </w:p>
        </w:tc>
        <w:tc>
          <w:tcPr>
            <w:tcW w:w="1298" w:type="dxa"/>
            <w:noWrap/>
            <w:hideMark/>
          </w:tcPr>
          <w:p w14:paraId="752AD9E6"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3,724,000</w:t>
            </w:r>
          </w:p>
        </w:tc>
        <w:tc>
          <w:tcPr>
            <w:tcW w:w="1298" w:type="dxa"/>
            <w:noWrap/>
            <w:hideMark/>
          </w:tcPr>
          <w:p w14:paraId="07F64964"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7,017,000</w:t>
            </w:r>
          </w:p>
        </w:tc>
        <w:tc>
          <w:tcPr>
            <w:tcW w:w="1165" w:type="dxa"/>
            <w:noWrap/>
            <w:hideMark/>
          </w:tcPr>
          <w:p w14:paraId="0E6A261F"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-3,293,000</w:t>
            </w:r>
          </w:p>
        </w:tc>
        <w:tc>
          <w:tcPr>
            <w:tcW w:w="1350" w:type="dxa"/>
            <w:noWrap/>
            <w:hideMark/>
          </w:tcPr>
          <w:p w14:paraId="19452DDC"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-0.46928887</w:t>
            </w:r>
          </w:p>
        </w:tc>
      </w:tr>
      <w:tr w:rsidR="001B6BC5" w:rsidRPr="001B6BC5" w14:paraId="41E4B97A"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3EDDCBE2"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Gross profit</w:t>
            </w:r>
          </w:p>
        </w:tc>
        <w:tc>
          <w:tcPr>
            <w:tcW w:w="1298" w:type="dxa"/>
            <w:noWrap/>
            <w:hideMark/>
          </w:tcPr>
          <w:p w14:paraId="5DE3688E"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583,000</w:t>
            </w:r>
          </w:p>
        </w:tc>
        <w:tc>
          <w:tcPr>
            <w:tcW w:w="1298" w:type="dxa"/>
            <w:noWrap/>
            <w:hideMark/>
          </w:tcPr>
          <w:p w14:paraId="782EE60D"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2,435,000</w:t>
            </w:r>
          </w:p>
        </w:tc>
        <w:tc>
          <w:tcPr>
            <w:tcW w:w="1165" w:type="dxa"/>
            <w:noWrap/>
            <w:hideMark/>
          </w:tcPr>
          <w:p w14:paraId="3A3C7217"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-1,852,000</w:t>
            </w:r>
          </w:p>
        </w:tc>
        <w:tc>
          <w:tcPr>
            <w:tcW w:w="1350" w:type="dxa"/>
            <w:noWrap/>
            <w:hideMark/>
          </w:tcPr>
          <w:p w14:paraId="3BF1AF74"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-0.760574949</w:t>
            </w:r>
          </w:p>
        </w:tc>
      </w:tr>
      <w:tr w:rsidR="001B6BC5" w:rsidRPr="001B6BC5" w14:paraId="1A1362E9" w14:textId="77777777" w:rsidTr="001B6BC5">
        <w:trPr>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7EAC49F8"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Operating Expenses</w:t>
            </w:r>
          </w:p>
        </w:tc>
        <w:tc>
          <w:tcPr>
            <w:tcW w:w="1298" w:type="dxa"/>
            <w:noWrap/>
            <w:hideMark/>
          </w:tcPr>
          <w:p w14:paraId="329EA854"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702,000</w:t>
            </w:r>
          </w:p>
        </w:tc>
        <w:tc>
          <w:tcPr>
            <w:tcW w:w="1298" w:type="dxa"/>
            <w:noWrap/>
            <w:hideMark/>
          </w:tcPr>
          <w:p w14:paraId="0BAC7476"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859,000</w:t>
            </w:r>
          </w:p>
        </w:tc>
        <w:tc>
          <w:tcPr>
            <w:tcW w:w="1165" w:type="dxa"/>
            <w:noWrap/>
            <w:hideMark/>
          </w:tcPr>
          <w:p w14:paraId="71FC9374"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-157,000</w:t>
            </w:r>
          </w:p>
        </w:tc>
        <w:tc>
          <w:tcPr>
            <w:tcW w:w="1350" w:type="dxa"/>
            <w:noWrap/>
            <w:hideMark/>
          </w:tcPr>
          <w:p w14:paraId="01B1B903"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-0.182770664</w:t>
            </w:r>
          </w:p>
        </w:tc>
      </w:tr>
      <w:tr w:rsidR="001B6BC5" w:rsidRPr="001B6BC5" w14:paraId="1624C020"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74C64EAC"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Operating income</w:t>
            </w:r>
          </w:p>
        </w:tc>
        <w:tc>
          <w:tcPr>
            <w:tcW w:w="1298" w:type="dxa"/>
            <w:noWrap/>
            <w:hideMark/>
          </w:tcPr>
          <w:p w14:paraId="76C51F02"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-119,000</w:t>
            </w:r>
          </w:p>
        </w:tc>
        <w:tc>
          <w:tcPr>
            <w:tcW w:w="1298" w:type="dxa"/>
            <w:noWrap/>
            <w:hideMark/>
          </w:tcPr>
          <w:p w14:paraId="034379C1"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1,576,000</w:t>
            </w:r>
          </w:p>
        </w:tc>
        <w:tc>
          <w:tcPr>
            <w:tcW w:w="1165" w:type="dxa"/>
            <w:noWrap/>
            <w:hideMark/>
          </w:tcPr>
          <w:p w14:paraId="4EA2957D"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-1,695,000</w:t>
            </w:r>
          </w:p>
        </w:tc>
        <w:tc>
          <w:tcPr>
            <w:tcW w:w="1350" w:type="dxa"/>
            <w:noWrap/>
            <w:hideMark/>
          </w:tcPr>
          <w:p w14:paraId="4E4DB4FA"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-1.075507614</w:t>
            </w:r>
          </w:p>
        </w:tc>
      </w:tr>
      <w:tr w:rsidR="001B6BC5" w:rsidRPr="001B6BC5" w14:paraId="3F65D462" w14:textId="77777777" w:rsidTr="001B6BC5">
        <w:trPr>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1AEB5548"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Interest Expense</w:t>
            </w:r>
          </w:p>
        </w:tc>
        <w:tc>
          <w:tcPr>
            <w:tcW w:w="1298" w:type="dxa"/>
            <w:noWrap/>
            <w:hideMark/>
          </w:tcPr>
          <w:p w14:paraId="513373D6"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429,000</w:t>
            </w:r>
          </w:p>
        </w:tc>
        <w:tc>
          <w:tcPr>
            <w:tcW w:w="1298" w:type="dxa"/>
            <w:noWrap/>
            <w:hideMark/>
          </w:tcPr>
          <w:p w14:paraId="3DEFB9ED"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414,000</w:t>
            </w:r>
          </w:p>
        </w:tc>
        <w:tc>
          <w:tcPr>
            <w:tcW w:w="1165" w:type="dxa"/>
            <w:noWrap/>
            <w:hideMark/>
          </w:tcPr>
          <w:p w14:paraId="30BC8321"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15,000</w:t>
            </w:r>
          </w:p>
        </w:tc>
        <w:tc>
          <w:tcPr>
            <w:tcW w:w="1350" w:type="dxa"/>
            <w:noWrap/>
            <w:hideMark/>
          </w:tcPr>
          <w:p w14:paraId="4AFF4E26"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0.036231884</w:t>
            </w:r>
          </w:p>
        </w:tc>
      </w:tr>
      <w:tr w:rsidR="001B6BC5" w:rsidRPr="001B6BC5" w14:paraId="417C4605"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40917F81"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 xml:space="preserve">Total Other income/ expenses net </w:t>
            </w:r>
          </w:p>
        </w:tc>
        <w:tc>
          <w:tcPr>
            <w:tcW w:w="1298" w:type="dxa"/>
            <w:noWrap/>
            <w:hideMark/>
          </w:tcPr>
          <w:p w14:paraId="28D551C7"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-376,000</w:t>
            </w:r>
          </w:p>
        </w:tc>
        <w:tc>
          <w:tcPr>
            <w:tcW w:w="1298" w:type="dxa"/>
            <w:noWrap/>
            <w:hideMark/>
          </w:tcPr>
          <w:p w14:paraId="1AAF17F0"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82,000</w:t>
            </w:r>
          </w:p>
        </w:tc>
        <w:tc>
          <w:tcPr>
            <w:tcW w:w="1165" w:type="dxa"/>
            <w:noWrap/>
            <w:hideMark/>
          </w:tcPr>
          <w:p w14:paraId="4A360118"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-458,000</w:t>
            </w:r>
          </w:p>
        </w:tc>
        <w:tc>
          <w:tcPr>
            <w:tcW w:w="1350" w:type="dxa"/>
            <w:noWrap/>
            <w:hideMark/>
          </w:tcPr>
          <w:p w14:paraId="14D4C452"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-5.585365854</w:t>
            </w:r>
          </w:p>
        </w:tc>
      </w:tr>
      <w:tr w:rsidR="001B6BC5" w:rsidRPr="001B6BC5" w14:paraId="6EC30E22" w14:textId="77777777" w:rsidTr="001B6BC5">
        <w:trPr>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57970B8D"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Income before taxes</w:t>
            </w:r>
          </w:p>
        </w:tc>
        <w:tc>
          <w:tcPr>
            <w:tcW w:w="1298" w:type="dxa"/>
            <w:noWrap/>
            <w:hideMark/>
          </w:tcPr>
          <w:p w14:paraId="58A302FA"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-924,000</w:t>
            </w:r>
          </w:p>
        </w:tc>
        <w:tc>
          <w:tcPr>
            <w:tcW w:w="1298" w:type="dxa"/>
            <w:noWrap/>
            <w:hideMark/>
          </w:tcPr>
          <w:p w14:paraId="00B61A19"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1,244,000</w:t>
            </w:r>
          </w:p>
        </w:tc>
        <w:tc>
          <w:tcPr>
            <w:tcW w:w="1165" w:type="dxa"/>
            <w:noWrap/>
            <w:hideMark/>
          </w:tcPr>
          <w:p w14:paraId="6513EC6C"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-2,168,000</w:t>
            </w:r>
          </w:p>
        </w:tc>
        <w:tc>
          <w:tcPr>
            <w:tcW w:w="1350" w:type="dxa"/>
            <w:noWrap/>
            <w:hideMark/>
          </w:tcPr>
          <w:p w14:paraId="4861E60B" w14:textId="77777777" w:rsidR="001B6BC5" w:rsidRPr="001B6BC5" w:rsidRDefault="001B6BC5" w:rsidP="001B6BC5">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-1.742765273</w:t>
            </w:r>
          </w:p>
        </w:tc>
      </w:tr>
      <w:tr w:rsidR="001B6BC5" w:rsidRPr="001B6BC5" w14:paraId="29DFF180" w14:textId="77777777" w:rsidTr="001B6B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74" w:type="dxa"/>
            <w:noWrap/>
            <w:hideMark/>
          </w:tcPr>
          <w:p w14:paraId="4C021BE5" w14:textId="77777777" w:rsidR="001B6BC5" w:rsidRPr="001B6BC5" w:rsidRDefault="001B6BC5" w:rsidP="001B6BC5">
            <w:pPr>
              <w:spacing w:line="240" w:lineRule="auto"/>
              <w:jc w:val="left"/>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Net income</w:t>
            </w:r>
          </w:p>
        </w:tc>
        <w:tc>
          <w:tcPr>
            <w:tcW w:w="1298" w:type="dxa"/>
            <w:noWrap/>
            <w:hideMark/>
          </w:tcPr>
          <w:p w14:paraId="07F50F9D"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-715,000</w:t>
            </w:r>
          </w:p>
        </w:tc>
        <w:tc>
          <w:tcPr>
            <w:tcW w:w="1298" w:type="dxa"/>
            <w:noWrap/>
            <w:hideMark/>
          </w:tcPr>
          <w:p w14:paraId="5F64B155"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1B6BC5">
              <w:rPr>
                <w:rFonts w:ascii="Calibri" w:eastAsia="Times New Roman" w:hAnsi="Calibri" w:cs="Calibri"/>
                <w:color w:val="000000"/>
                <w:sz w:val="22"/>
                <w:lang w:bidi="bn-BD"/>
              </w:rPr>
              <w:t>881,000</w:t>
            </w:r>
          </w:p>
        </w:tc>
        <w:tc>
          <w:tcPr>
            <w:tcW w:w="1165" w:type="dxa"/>
            <w:noWrap/>
            <w:hideMark/>
          </w:tcPr>
          <w:p w14:paraId="34F3E5AB"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-1,596,000</w:t>
            </w:r>
          </w:p>
        </w:tc>
        <w:tc>
          <w:tcPr>
            <w:tcW w:w="1350" w:type="dxa"/>
            <w:noWrap/>
            <w:hideMark/>
          </w:tcPr>
          <w:p w14:paraId="0BBE9828" w14:textId="77777777" w:rsidR="001B6BC5" w:rsidRPr="001B6BC5" w:rsidRDefault="001B6BC5" w:rsidP="001B6BC5">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1B6BC5">
              <w:rPr>
                <w:rFonts w:eastAsia="Times New Roman" w:cs="Times New Roman"/>
                <w:color w:val="000000"/>
                <w:sz w:val="20"/>
                <w:szCs w:val="20"/>
                <w:lang w:bidi="bn-BD"/>
              </w:rPr>
              <w:t>-1.811577753</w:t>
            </w:r>
          </w:p>
        </w:tc>
      </w:tr>
    </w:tbl>
    <w:p w14:paraId="3575F62F" w14:textId="181A5846" w:rsidR="00132F03" w:rsidRDefault="00132F03" w:rsidP="001B6BC5"/>
    <w:p w14:paraId="371B46C5" w14:textId="7D0AA0B2" w:rsidR="001B6BC5" w:rsidRDefault="00756764" w:rsidP="001B6BC5">
      <w:r>
        <w:t>Here, the</w:t>
      </w:r>
      <w:r w:rsidR="001B6BC5">
        <w:t xml:space="preserve"> assumptions </w:t>
      </w:r>
      <w:r>
        <w:t>are</w:t>
      </w:r>
      <w:r w:rsidR="001B6BC5">
        <w:t xml:space="preserve"> that the base year is 2019 when Hilton Hotel started its operation. From the column name change</w:t>
      </w:r>
      <w:r w:rsidR="00FC239E">
        <w:t>,</w:t>
      </w:r>
      <w:r w:rsidR="001B6BC5">
        <w:t xml:space="preserve"> it is noticeable that the difference between 2020 and 2019 is significant and the sales/revenue of Hilton Hotel has been dropped </w:t>
      </w:r>
      <w:r>
        <w:t>alarmingly</w:t>
      </w:r>
      <w:r w:rsidR="001B6BC5">
        <w:t xml:space="preserve">. </w:t>
      </w:r>
      <w:r>
        <w:t>Therefore,</w:t>
      </w:r>
      <w:r w:rsidR="001B6BC5">
        <w:t xml:space="preserve"> </w:t>
      </w:r>
      <w:r w:rsidR="00FC239E">
        <w:t xml:space="preserve">the </w:t>
      </w:r>
      <w:r w:rsidR="001B6BC5">
        <w:t xml:space="preserve">horizontal ratio provides </w:t>
      </w:r>
      <w:r w:rsidR="00FC239E">
        <w:t xml:space="preserve">a </w:t>
      </w:r>
      <w:r w:rsidR="001B6BC5">
        <w:t>negative outcome. As the sales of the Hotel dropped, the cost of goods sold, gross profit, operating expense,</w:t>
      </w:r>
      <w:r>
        <w:t xml:space="preserve"> total other income/expenses</w:t>
      </w:r>
      <w:r w:rsidR="00FC239E">
        <w:t>,</w:t>
      </w:r>
      <w:r>
        <w:t xml:space="preserve"> and finally net income decreased from the base year. Only Interest expense increased in the year 2020 and so the horizontal ratio is positive. Hilton Hotel suffered from poor sales consequently it has to incur net losses in the year 2020. On the other hand, it has generated satisfactory net profit in the previous year. It also took debt this year to meet its operational expense and therefore the amount of interest expense also increased in the year 2020. </w:t>
      </w:r>
    </w:p>
    <w:p w14:paraId="5F1BE083" w14:textId="4B80DAD4" w:rsidR="00DB691A" w:rsidRDefault="00DB691A" w:rsidP="001B6BC5"/>
    <w:p w14:paraId="2957DDAB" w14:textId="2ADFBD1E" w:rsidR="00DB691A" w:rsidRDefault="00DB691A" w:rsidP="001B6BC5"/>
    <w:p w14:paraId="6466F320" w14:textId="5C89FA8D" w:rsidR="00DB691A" w:rsidRDefault="00DB691A" w:rsidP="001B6BC5"/>
    <w:p w14:paraId="345DCA97" w14:textId="0D31D4C1" w:rsidR="00DB691A" w:rsidRDefault="00DB691A" w:rsidP="001B6BC5"/>
    <w:p w14:paraId="4BBBB80B" w14:textId="77777777" w:rsidR="00DB691A" w:rsidRDefault="00DB691A" w:rsidP="001B6BC5"/>
    <w:tbl>
      <w:tblPr>
        <w:tblStyle w:val="GridTable4-Accent1"/>
        <w:tblW w:w="7915" w:type="dxa"/>
        <w:jc w:val="center"/>
        <w:tblLook w:val="04A0" w:firstRow="1" w:lastRow="0" w:firstColumn="1" w:lastColumn="0" w:noHBand="0" w:noVBand="1"/>
      </w:tblPr>
      <w:tblGrid>
        <w:gridCol w:w="2872"/>
        <w:gridCol w:w="1218"/>
        <w:gridCol w:w="1218"/>
        <w:gridCol w:w="1167"/>
        <w:gridCol w:w="1440"/>
      </w:tblGrid>
      <w:tr w:rsidR="00DB691A" w:rsidRPr="00DB691A" w14:paraId="6596D904" w14:textId="77777777" w:rsidTr="00DB691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915" w:type="dxa"/>
            <w:gridSpan w:val="5"/>
            <w:noWrap/>
            <w:hideMark/>
          </w:tcPr>
          <w:p w14:paraId="35890BCF"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lastRenderedPageBreak/>
              <w:t xml:space="preserve">Balance Sheet </w:t>
            </w:r>
          </w:p>
        </w:tc>
      </w:tr>
      <w:tr w:rsidR="00DB691A" w:rsidRPr="00DB691A" w14:paraId="3700F6C4"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67105FF8" w14:textId="77777777" w:rsidR="00DB691A" w:rsidRPr="00DB691A" w:rsidRDefault="00DB691A" w:rsidP="00DB691A">
            <w:pPr>
              <w:spacing w:line="240" w:lineRule="auto"/>
              <w:jc w:val="center"/>
              <w:rPr>
                <w:rFonts w:ascii="Calibri" w:eastAsia="Times New Roman" w:hAnsi="Calibri" w:cs="Calibri"/>
                <w:color w:val="000000"/>
                <w:sz w:val="22"/>
                <w:lang w:bidi="bn-BD"/>
              </w:rPr>
            </w:pPr>
          </w:p>
        </w:tc>
        <w:tc>
          <w:tcPr>
            <w:tcW w:w="1218" w:type="dxa"/>
            <w:noWrap/>
            <w:hideMark/>
          </w:tcPr>
          <w:p w14:paraId="7A3E8E0C"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DB691A">
              <w:rPr>
                <w:rFonts w:ascii="Calibri" w:eastAsia="Times New Roman" w:hAnsi="Calibri" w:cs="Calibri"/>
                <w:b/>
                <w:bCs/>
                <w:color w:val="000000"/>
                <w:sz w:val="22"/>
                <w:lang w:bidi="bn-BD"/>
              </w:rPr>
              <w:t>2020</w:t>
            </w:r>
          </w:p>
        </w:tc>
        <w:tc>
          <w:tcPr>
            <w:tcW w:w="1218" w:type="dxa"/>
            <w:noWrap/>
            <w:hideMark/>
          </w:tcPr>
          <w:p w14:paraId="4CDC6436"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DB691A">
              <w:rPr>
                <w:rFonts w:ascii="Calibri" w:eastAsia="Times New Roman" w:hAnsi="Calibri" w:cs="Calibri"/>
                <w:b/>
                <w:bCs/>
                <w:color w:val="000000"/>
                <w:sz w:val="22"/>
                <w:lang w:bidi="bn-BD"/>
              </w:rPr>
              <w:t>2019</w:t>
            </w:r>
          </w:p>
        </w:tc>
        <w:tc>
          <w:tcPr>
            <w:tcW w:w="1167" w:type="dxa"/>
            <w:noWrap/>
            <w:hideMark/>
          </w:tcPr>
          <w:p w14:paraId="3DFD3D37" w14:textId="6C294ED0"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bidi="bn-BD"/>
              </w:rPr>
            </w:pPr>
            <w:r w:rsidRPr="00DB691A">
              <w:rPr>
                <w:rFonts w:ascii="Calibri" w:eastAsia="Times New Roman" w:hAnsi="Calibri" w:cs="Calibri"/>
                <w:b/>
                <w:bCs/>
                <w:color w:val="000000"/>
                <w:sz w:val="22"/>
                <w:lang w:bidi="bn-BD"/>
              </w:rPr>
              <w:t>Change</w:t>
            </w:r>
          </w:p>
        </w:tc>
        <w:tc>
          <w:tcPr>
            <w:tcW w:w="1440" w:type="dxa"/>
            <w:noWrap/>
            <w:hideMark/>
          </w:tcPr>
          <w:p w14:paraId="37223967"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    Change</w:t>
            </w:r>
          </w:p>
        </w:tc>
      </w:tr>
      <w:tr w:rsidR="00DB691A" w:rsidRPr="00DB691A" w14:paraId="75B06D64" w14:textId="77777777" w:rsidTr="00DB691A">
        <w:trPr>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3B078895"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Current Asset</w:t>
            </w:r>
          </w:p>
        </w:tc>
        <w:tc>
          <w:tcPr>
            <w:tcW w:w="1218" w:type="dxa"/>
            <w:noWrap/>
            <w:hideMark/>
          </w:tcPr>
          <w:p w14:paraId="2B0F8BA1"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4,202,000</w:t>
            </w:r>
          </w:p>
        </w:tc>
        <w:tc>
          <w:tcPr>
            <w:tcW w:w="1218" w:type="dxa"/>
            <w:noWrap/>
            <w:hideMark/>
          </w:tcPr>
          <w:p w14:paraId="0E6C6E9E"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2,093,000</w:t>
            </w:r>
          </w:p>
        </w:tc>
        <w:tc>
          <w:tcPr>
            <w:tcW w:w="1167" w:type="dxa"/>
            <w:noWrap/>
            <w:hideMark/>
          </w:tcPr>
          <w:p w14:paraId="70DC4FAE"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2,109,000</w:t>
            </w:r>
          </w:p>
        </w:tc>
        <w:tc>
          <w:tcPr>
            <w:tcW w:w="1440" w:type="dxa"/>
            <w:noWrap/>
            <w:hideMark/>
          </w:tcPr>
          <w:p w14:paraId="4EE9AD76"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1.007644529</w:t>
            </w:r>
          </w:p>
        </w:tc>
      </w:tr>
      <w:tr w:rsidR="00DB691A" w:rsidRPr="00DB691A" w14:paraId="066249A1"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0C619A41" w14:textId="6DAE6595"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Non-Current Asset</w:t>
            </w:r>
          </w:p>
        </w:tc>
        <w:tc>
          <w:tcPr>
            <w:tcW w:w="1218" w:type="dxa"/>
            <w:noWrap/>
            <w:hideMark/>
          </w:tcPr>
          <w:p w14:paraId="17676C15"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15,810,000</w:t>
            </w:r>
          </w:p>
        </w:tc>
        <w:tc>
          <w:tcPr>
            <w:tcW w:w="1218" w:type="dxa"/>
            <w:noWrap/>
            <w:hideMark/>
          </w:tcPr>
          <w:p w14:paraId="75AA2B81"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12,558,000</w:t>
            </w:r>
          </w:p>
        </w:tc>
        <w:tc>
          <w:tcPr>
            <w:tcW w:w="1167" w:type="dxa"/>
            <w:noWrap/>
            <w:hideMark/>
          </w:tcPr>
          <w:p w14:paraId="1C53F7D1"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3,252,000</w:t>
            </w:r>
          </w:p>
        </w:tc>
        <w:tc>
          <w:tcPr>
            <w:tcW w:w="1440" w:type="dxa"/>
            <w:noWrap/>
            <w:hideMark/>
          </w:tcPr>
          <w:p w14:paraId="5C56BB74"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0.258958433</w:t>
            </w:r>
          </w:p>
        </w:tc>
      </w:tr>
      <w:tr w:rsidR="00DB691A" w:rsidRPr="00DB691A" w14:paraId="792993D1" w14:textId="77777777" w:rsidTr="00DB691A">
        <w:trPr>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03AF5BF7"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Total Asset</w:t>
            </w:r>
          </w:p>
        </w:tc>
        <w:tc>
          <w:tcPr>
            <w:tcW w:w="1218" w:type="dxa"/>
            <w:noWrap/>
            <w:hideMark/>
          </w:tcPr>
          <w:p w14:paraId="7967C83A"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16,755,000</w:t>
            </w:r>
          </w:p>
        </w:tc>
        <w:tc>
          <w:tcPr>
            <w:tcW w:w="1218" w:type="dxa"/>
            <w:noWrap/>
            <w:hideMark/>
          </w:tcPr>
          <w:p w14:paraId="1D794D70"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14,957,000</w:t>
            </w:r>
          </w:p>
        </w:tc>
        <w:tc>
          <w:tcPr>
            <w:tcW w:w="1167" w:type="dxa"/>
            <w:noWrap/>
            <w:hideMark/>
          </w:tcPr>
          <w:p w14:paraId="519C789C"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1,798,000</w:t>
            </w:r>
          </w:p>
        </w:tc>
        <w:tc>
          <w:tcPr>
            <w:tcW w:w="1440" w:type="dxa"/>
            <w:noWrap/>
            <w:hideMark/>
          </w:tcPr>
          <w:p w14:paraId="7ACBD7FA"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0.120211272</w:t>
            </w:r>
          </w:p>
        </w:tc>
      </w:tr>
      <w:tr w:rsidR="00DB691A" w:rsidRPr="00DB691A" w14:paraId="459E48D0"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4B18BED3"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Current Liabilities</w:t>
            </w:r>
          </w:p>
        </w:tc>
        <w:tc>
          <w:tcPr>
            <w:tcW w:w="1218" w:type="dxa"/>
            <w:noWrap/>
            <w:hideMark/>
          </w:tcPr>
          <w:p w14:paraId="0F5D6EE9"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2,431,000</w:t>
            </w:r>
          </w:p>
        </w:tc>
        <w:tc>
          <w:tcPr>
            <w:tcW w:w="1218" w:type="dxa"/>
            <w:noWrap/>
            <w:hideMark/>
          </w:tcPr>
          <w:p w14:paraId="0E749459"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2,871,000</w:t>
            </w:r>
          </w:p>
        </w:tc>
        <w:tc>
          <w:tcPr>
            <w:tcW w:w="1167" w:type="dxa"/>
            <w:noWrap/>
            <w:hideMark/>
          </w:tcPr>
          <w:p w14:paraId="296BDA8C"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-440,000</w:t>
            </w:r>
          </w:p>
        </w:tc>
        <w:tc>
          <w:tcPr>
            <w:tcW w:w="1440" w:type="dxa"/>
            <w:noWrap/>
            <w:hideMark/>
          </w:tcPr>
          <w:p w14:paraId="29ABF9E3"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-0.153256705</w:t>
            </w:r>
          </w:p>
        </w:tc>
      </w:tr>
      <w:tr w:rsidR="00DB691A" w:rsidRPr="00DB691A" w14:paraId="3C257564" w14:textId="77777777" w:rsidTr="00DB691A">
        <w:trPr>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645C3B1D" w14:textId="6B420986"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Noncurrent Liabilities</w:t>
            </w:r>
          </w:p>
        </w:tc>
        <w:tc>
          <w:tcPr>
            <w:tcW w:w="1218" w:type="dxa"/>
            <w:noWrap/>
            <w:hideMark/>
          </w:tcPr>
          <w:p w14:paraId="4154A26C"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15,810,000</w:t>
            </w:r>
          </w:p>
        </w:tc>
        <w:tc>
          <w:tcPr>
            <w:tcW w:w="1218" w:type="dxa"/>
            <w:noWrap/>
            <w:hideMark/>
          </w:tcPr>
          <w:p w14:paraId="66E7EFBC"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12,558,000</w:t>
            </w:r>
          </w:p>
        </w:tc>
        <w:tc>
          <w:tcPr>
            <w:tcW w:w="1167" w:type="dxa"/>
            <w:noWrap/>
            <w:hideMark/>
          </w:tcPr>
          <w:p w14:paraId="6AE4EBB7"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3,252,000</w:t>
            </w:r>
          </w:p>
        </w:tc>
        <w:tc>
          <w:tcPr>
            <w:tcW w:w="1440" w:type="dxa"/>
            <w:noWrap/>
            <w:hideMark/>
          </w:tcPr>
          <w:p w14:paraId="6B33C550"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0.258958433</w:t>
            </w:r>
          </w:p>
        </w:tc>
      </w:tr>
      <w:tr w:rsidR="00DB691A" w:rsidRPr="00DB691A" w14:paraId="51E63C83"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04154364"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Total Liabilities</w:t>
            </w:r>
          </w:p>
        </w:tc>
        <w:tc>
          <w:tcPr>
            <w:tcW w:w="1218" w:type="dxa"/>
            <w:noWrap/>
            <w:hideMark/>
          </w:tcPr>
          <w:p w14:paraId="3EC7006F"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18,241,000</w:t>
            </w:r>
          </w:p>
        </w:tc>
        <w:tc>
          <w:tcPr>
            <w:tcW w:w="1218" w:type="dxa"/>
            <w:noWrap/>
            <w:hideMark/>
          </w:tcPr>
          <w:p w14:paraId="7368897F"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15,429,000</w:t>
            </w:r>
          </w:p>
        </w:tc>
        <w:tc>
          <w:tcPr>
            <w:tcW w:w="1167" w:type="dxa"/>
            <w:noWrap/>
            <w:hideMark/>
          </w:tcPr>
          <w:p w14:paraId="0C6FD1EA"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2,812,000</w:t>
            </w:r>
          </w:p>
        </w:tc>
        <w:tc>
          <w:tcPr>
            <w:tcW w:w="1440" w:type="dxa"/>
            <w:noWrap/>
            <w:hideMark/>
          </w:tcPr>
          <w:p w14:paraId="38D4AC64"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0.182254197</w:t>
            </w:r>
          </w:p>
        </w:tc>
      </w:tr>
      <w:tr w:rsidR="00DB691A" w:rsidRPr="00DB691A" w14:paraId="4FFE11CE" w14:textId="77777777" w:rsidTr="00DB691A">
        <w:trPr>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08AC52AC"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Common Stock</w:t>
            </w:r>
          </w:p>
        </w:tc>
        <w:tc>
          <w:tcPr>
            <w:tcW w:w="1218" w:type="dxa"/>
            <w:noWrap/>
            <w:hideMark/>
          </w:tcPr>
          <w:p w14:paraId="55EC453C"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3,000</w:t>
            </w:r>
          </w:p>
        </w:tc>
        <w:tc>
          <w:tcPr>
            <w:tcW w:w="1218" w:type="dxa"/>
            <w:noWrap/>
            <w:hideMark/>
          </w:tcPr>
          <w:p w14:paraId="6428E3D7"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3,000</w:t>
            </w:r>
          </w:p>
        </w:tc>
        <w:tc>
          <w:tcPr>
            <w:tcW w:w="1167" w:type="dxa"/>
            <w:noWrap/>
            <w:hideMark/>
          </w:tcPr>
          <w:p w14:paraId="0FB98F2B"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w:t>
            </w:r>
          </w:p>
        </w:tc>
        <w:tc>
          <w:tcPr>
            <w:tcW w:w="1440" w:type="dxa"/>
            <w:noWrap/>
            <w:hideMark/>
          </w:tcPr>
          <w:p w14:paraId="5CB612DA"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w:t>
            </w:r>
          </w:p>
        </w:tc>
      </w:tr>
      <w:tr w:rsidR="00DB691A" w:rsidRPr="00DB691A" w14:paraId="2D8695D7"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60FDF928"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Retained Earnings</w:t>
            </w:r>
          </w:p>
        </w:tc>
        <w:tc>
          <w:tcPr>
            <w:tcW w:w="1218" w:type="dxa"/>
            <w:noWrap/>
            <w:hideMark/>
          </w:tcPr>
          <w:p w14:paraId="0A4C4DE6"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-6,732,000</w:t>
            </w:r>
          </w:p>
        </w:tc>
        <w:tc>
          <w:tcPr>
            <w:tcW w:w="1218" w:type="dxa"/>
            <w:noWrap/>
            <w:hideMark/>
          </w:tcPr>
          <w:p w14:paraId="2C552648"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-5,965,000</w:t>
            </w:r>
          </w:p>
        </w:tc>
        <w:tc>
          <w:tcPr>
            <w:tcW w:w="1167" w:type="dxa"/>
            <w:noWrap/>
            <w:hideMark/>
          </w:tcPr>
          <w:p w14:paraId="59AA54B2"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-767,000</w:t>
            </w:r>
          </w:p>
        </w:tc>
        <w:tc>
          <w:tcPr>
            <w:tcW w:w="1440" w:type="dxa"/>
            <w:noWrap/>
            <w:hideMark/>
          </w:tcPr>
          <w:p w14:paraId="768027DF"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0.128583403</w:t>
            </w:r>
          </w:p>
        </w:tc>
      </w:tr>
      <w:tr w:rsidR="00DB691A" w:rsidRPr="00DB691A" w14:paraId="6E42928C" w14:textId="77777777" w:rsidTr="00DB691A">
        <w:trPr>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1F2F2E73"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Total Stockholders' Equity</w:t>
            </w:r>
          </w:p>
        </w:tc>
        <w:tc>
          <w:tcPr>
            <w:tcW w:w="1218" w:type="dxa"/>
            <w:noWrap/>
            <w:hideMark/>
          </w:tcPr>
          <w:p w14:paraId="7015C758"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-1,490,000</w:t>
            </w:r>
          </w:p>
        </w:tc>
        <w:tc>
          <w:tcPr>
            <w:tcW w:w="1218" w:type="dxa"/>
            <w:noWrap/>
            <w:hideMark/>
          </w:tcPr>
          <w:p w14:paraId="0E8D6572"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-482,000</w:t>
            </w:r>
          </w:p>
        </w:tc>
        <w:tc>
          <w:tcPr>
            <w:tcW w:w="1167" w:type="dxa"/>
            <w:noWrap/>
            <w:hideMark/>
          </w:tcPr>
          <w:p w14:paraId="61797E3C"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-1,008,000</w:t>
            </w:r>
          </w:p>
        </w:tc>
        <w:tc>
          <w:tcPr>
            <w:tcW w:w="1440" w:type="dxa"/>
            <w:noWrap/>
            <w:hideMark/>
          </w:tcPr>
          <w:p w14:paraId="0CECAA01" w14:textId="77777777" w:rsidR="00DB691A" w:rsidRPr="00DB691A" w:rsidRDefault="00DB691A" w:rsidP="00DB691A">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2.091286307</w:t>
            </w:r>
          </w:p>
        </w:tc>
      </w:tr>
      <w:tr w:rsidR="00DB691A" w:rsidRPr="00DB691A" w14:paraId="48DD6BB3" w14:textId="77777777" w:rsidTr="00DB69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72" w:type="dxa"/>
            <w:noWrap/>
            <w:hideMark/>
          </w:tcPr>
          <w:p w14:paraId="0AFCE8D1" w14:textId="77777777" w:rsidR="00DB691A" w:rsidRPr="00DB691A" w:rsidRDefault="00DB691A" w:rsidP="00DB691A">
            <w:pPr>
              <w:spacing w:line="240" w:lineRule="auto"/>
              <w:jc w:val="center"/>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Total Liabilities and Stockholder</w:t>
            </w:r>
          </w:p>
        </w:tc>
        <w:tc>
          <w:tcPr>
            <w:tcW w:w="1218" w:type="dxa"/>
            <w:noWrap/>
            <w:hideMark/>
          </w:tcPr>
          <w:p w14:paraId="237C5964"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16,755,000</w:t>
            </w:r>
          </w:p>
        </w:tc>
        <w:tc>
          <w:tcPr>
            <w:tcW w:w="1218" w:type="dxa"/>
            <w:noWrap/>
            <w:hideMark/>
          </w:tcPr>
          <w:p w14:paraId="747E2565"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bidi="bn-BD"/>
              </w:rPr>
            </w:pPr>
            <w:r w:rsidRPr="00DB691A">
              <w:rPr>
                <w:rFonts w:ascii="Calibri" w:eastAsia="Times New Roman" w:hAnsi="Calibri" w:cs="Calibri"/>
                <w:color w:val="000000"/>
                <w:sz w:val="22"/>
                <w:lang w:bidi="bn-BD"/>
              </w:rPr>
              <w:t>14,957,000</w:t>
            </w:r>
          </w:p>
        </w:tc>
        <w:tc>
          <w:tcPr>
            <w:tcW w:w="1167" w:type="dxa"/>
            <w:noWrap/>
            <w:hideMark/>
          </w:tcPr>
          <w:p w14:paraId="266D8C41"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1,798,000</w:t>
            </w:r>
          </w:p>
        </w:tc>
        <w:tc>
          <w:tcPr>
            <w:tcW w:w="1440" w:type="dxa"/>
            <w:noWrap/>
            <w:hideMark/>
          </w:tcPr>
          <w:p w14:paraId="53AA5721" w14:textId="77777777" w:rsidR="00DB691A" w:rsidRPr="00DB691A" w:rsidRDefault="00DB691A" w:rsidP="00DB691A">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lang w:bidi="bn-BD"/>
              </w:rPr>
            </w:pPr>
            <w:r w:rsidRPr="00DB691A">
              <w:rPr>
                <w:rFonts w:eastAsia="Times New Roman" w:cs="Times New Roman"/>
                <w:color w:val="000000"/>
                <w:sz w:val="20"/>
                <w:szCs w:val="20"/>
                <w:lang w:bidi="bn-BD"/>
              </w:rPr>
              <w:t>0.120211272</w:t>
            </w:r>
          </w:p>
        </w:tc>
      </w:tr>
    </w:tbl>
    <w:p w14:paraId="029E3935" w14:textId="53E25966" w:rsidR="00DB691A" w:rsidRDefault="00DB691A" w:rsidP="001B6BC5"/>
    <w:p w14:paraId="2D8C81F0" w14:textId="61A8DA1B" w:rsidR="00DB691A" w:rsidRDefault="00DB691A" w:rsidP="001B6BC5">
      <w:r>
        <w:t xml:space="preserve">Here, the </w:t>
      </w:r>
      <w:r w:rsidR="00E11969">
        <w:t xml:space="preserve">assumptions </w:t>
      </w:r>
      <w:r w:rsidR="00FC239E">
        <w:t>are</w:t>
      </w:r>
      <w:r>
        <w:t xml:space="preserve"> </w:t>
      </w:r>
      <w:r w:rsidR="00FC239E">
        <w:t xml:space="preserve">the </w:t>
      </w:r>
      <w:r>
        <w:t xml:space="preserve">same as </w:t>
      </w:r>
      <w:r w:rsidR="00FC239E">
        <w:t xml:space="preserve">the </w:t>
      </w:r>
      <w:r>
        <w:t xml:space="preserve">previous one where 2019 is the base year and 2020 is </w:t>
      </w:r>
      <w:r w:rsidR="00FC239E">
        <w:t xml:space="preserve">the </w:t>
      </w:r>
      <w:r>
        <w:t xml:space="preserve">comparable year. From the change </w:t>
      </w:r>
      <w:r w:rsidR="00E11969">
        <w:t>column, it is noticeable that the change in total asset</w:t>
      </w:r>
      <w:r w:rsidR="00FC239E">
        <w:t>s</w:t>
      </w:r>
      <w:r w:rsidR="00E11969">
        <w:t xml:space="preserve"> and total liabilities</w:t>
      </w:r>
      <w:r w:rsidR="00FC239E">
        <w:t>,</w:t>
      </w:r>
      <w:r w:rsidR="00E11969">
        <w:t xml:space="preserve"> and stockholders </w:t>
      </w:r>
      <w:r w:rsidR="00FC239E">
        <w:t>are</w:t>
      </w:r>
      <w:r w:rsidR="00E11969">
        <w:t xml:space="preserve"> positive which indicates that the total asset</w:t>
      </w:r>
      <w:r w:rsidR="00FC239E">
        <w:t>, as well as total liabilities and stockholders of Hotel Hilton,</w:t>
      </w:r>
      <w:r w:rsidR="00E11969">
        <w:t xml:space="preserve"> has been significantly increased from the previous year though </w:t>
      </w:r>
      <w:r w:rsidR="00FC239E">
        <w:t xml:space="preserve">the </w:t>
      </w:r>
      <w:r w:rsidR="00E11969">
        <w:t xml:space="preserve">company has incurred losses in the year of 2020. The current asset of Hotel Hilton as well as the horizontal ratio is positive which might be generated from the increased amount in </w:t>
      </w:r>
      <w:r w:rsidR="00464C5A">
        <w:t>receivables</w:t>
      </w:r>
      <w:r w:rsidR="00E11969">
        <w:t>, inventory</w:t>
      </w:r>
      <w:r w:rsidR="00FC239E">
        <w:t>,</w:t>
      </w:r>
      <w:r w:rsidR="00E11969">
        <w:t xml:space="preserve"> or cash. Also, the company invested in the </w:t>
      </w:r>
      <w:r w:rsidR="00464C5A">
        <w:t>non-current</w:t>
      </w:r>
      <w:r w:rsidR="00E11969">
        <w:t xml:space="preserve"> asset which also provided the outcome of positive change and horizontal ratio. The positive change in total asset</w:t>
      </w:r>
      <w:r w:rsidR="00FC239E">
        <w:t>s</w:t>
      </w:r>
      <w:r w:rsidR="00E11969">
        <w:t xml:space="preserve"> is satisfying if the company has also generated net profit </w:t>
      </w:r>
      <w:r w:rsidR="00464C5A">
        <w:t>but, in this situation,</w:t>
      </w:r>
      <w:r w:rsidR="00E11969">
        <w:t xml:space="preserve"> it is only burdensome for the company because they are only looking after their balance sheet items</w:t>
      </w:r>
      <w:r w:rsidR="00FC239E">
        <w:t>,</w:t>
      </w:r>
      <w:r w:rsidR="00E11969">
        <w:t xml:space="preserve"> not on their operation. Again, </w:t>
      </w:r>
      <w:r w:rsidR="00464C5A">
        <w:t>its amount of current liabilities is decreased because it had to pay out its payables which also indicates the inefficiency of Hotel Hilton. Non-current liabilities have been increased due to taking loan</w:t>
      </w:r>
      <w:r w:rsidR="00FC239E">
        <w:t>s</w:t>
      </w:r>
      <w:r w:rsidR="00464C5A">
        <w:t xml:space="preserve"> in that period to meet its operational expense. The amount of retained earnings is increased </w:t>
      </w:r>
      <w:r w:rsidR="00FC239E">
        <w:t>negativel</w:t>
      </w:r>
      <w:r w:rsidR="00464C5A">
        <w:t xml:space="preserve">y. The trend of Hotel Hilton is not satisfactory though it has positive changes </w:t>
      </w:r>
      <w:r w:rsidR="00FC239E">
        <w:t>o</w:t>
      </w:r>
      <w:r w:rsidR="00464C5A">
        <w:t>n both side</w:t>
      </w:r>
      <w:r w:rsidR="00FC239E">
        <w:t>s</w:t>
      </w:r>
      <w:r w:rsidR="00464C5A">
        <w:t xml:space="preserve">. </w:t>
      </w:r>
    </w:p>
    <w:p w14:paraId="071C00E6" w14:textId="585B2988" w:rsidR="00464C5A" w:rsidRDefault="00464C5A" w:rsidP="001B6BC5"/>
    <w:p w14:paraId="3C55262A" w14:textId="29A5F858" w:rsidR="00464C5A" w:rsidRDefault="00464C5A" w:rsidP="001B6BC5"/>
    <w:p w14:paraId="5F350EB3" w14:textId="1181D4DA" w:rsidR="00464C5A" w:rsidRDefault="00464C5A" w:rsidP="001B6BC5"/>
    <w:p w14:paraId="3CCF7148" w14:textId="77777777" w:rsidR="00464C5A" w:rsidRPr="001B6BC5" w:rsidRDefault="00464C5A" w:rsidP="001B6BC5"/>
    <w:p w14:paraId="22F34753" w14:textId="39087D4B" w:rsidR="00132F03" w:rsidRDefault="00132F03" w:rsidP="00132F03">
      <w:pPr>
        <w:pStyle w:val="Heading1"/>
      </w:pPr>
      <w:bookmarkStart w:id="2" w:name="_Toc103801905"/>
      <w:r>
        <w:lastRenderedPageBreak/>
        <w:t>Significance of Ratio Analysis in Decision Making</w:t>
      </w:r>
      <w:bookmarkEnd w:id="2"/>
    </w:p>
    <w:p w14:paraId="15BB7F0A" w14:textId="3BBF9963" w:rsidR="00E13F72" w:rsidRDefault="00E13F72" w:rsidP="00E13F72">
      <w:r>
        <w:t xml:space="preserve">Ratio analysis is a significant financial analysis tool </w:t>
      </w:r>
      <w:r w:rsidR="00FC239E">
        <w:t>that</w:t>
      </w:r>
      <w:r>
        <w:t xml:space="preserve"> expresses the comparison between </w:t>
      </w:r>
      <w:r w:rsidR="0047250B">
        <w:t>two-line</w:t>
      </w:r>
      <w:r>
        <w:t xml:space="preserve"> items. Ratio analysis is calculated by dividing one figure by another it comments on the profitability, </w:t>
      </w:r>
      <w:r w:rsidR="00FC239E">
        <w:t xml:space="preserve">and </w:t>
      </w:r>
      <w:r>
        <w:t xml:space="preserve">solvency of a company. </w:t>
      </w:r>
      <w:r w:rsidR="00FC239E">
        <w:t xml:space="preserve">The </w:t>
      </w:r>
      <w:r>
        <w:t>Decision</w:t>
      </w:r>
      <w:r w:rsidR="00FC239E">
        <w:t>-</w:t>
      </w:r>
      <w:r>
        <w:t>making process also involves ratio analyses. Therefore, the significance of ratio analysis in decision making is provided below:</w:t>
      </w:r>
    </w:p>
    <w:p w14:paraId="48AE0A4A" w14:textId="6870B6C5" w:rsidR="00E13F72" w:rsidRDefault="00E13F72" w:rsidP="00E13F72">
      <w:pPr>
        <w:pStyle w:val="ListParagraph"/>
        <w:numPr>
          <w:ilvl w:val="0"/>
          <w:numId w:val="18"/>
        </w:numPr>
      </w:pPr>
      <w:r>
        <w:t xml:space="preserve">Test of solvency: </w:t>
      </w:r>
      <w:r w:rsidR="00FC239E">
        <w:t>Some specific ratio analyses</w:t>
      </w:r>
      <w:r>
        <w:t xml:space="preserve"> provide a brief knowledge regarding the solvency of the firm. if the current ratio of a firm is increasing that means the current asset of the company </w:t>
      </w:r>
      <w:r w:rsidR="00FC239E">
        <w:t>can</w:t>
      </w:r>
      <w:r w:rsidR="00A60438">
        <w:t xml:space="preserve"> meet its current liabilities.</w:t>
      </w:r>
    </w:p>
    <w:p w14:paraId="7DB24C5B" w14:textId="0B73A254" w:rsidR="00A60438" w:rsidRDefault="00A60438" w:rsidP="00E13F72">
      <w:pPr>
        <w:pStyle w:val="ListParagraph"/>
        <w:numPr>
          <w:ilvl w:val="0"/>
          <w:numId w:val="18"/>
        </w:numPr>
      </w:pPr>
      <w:r>
        <w:t xml:space="preserve">Financial Forecasting and Planning: </w:t>
      </w:r>
      <w:r w:rsidR="00FC239E">
        <w:t>The r</w:t>
      </w:r>
      <w:r>
        <w:t xml:space="preserve">atio is calculated </w:t>
      </w:r>
      <w:r w:rsidR="00FC239E">
        <w:t>based on</w:t>
      </w:r>
      <w:r>
        <w:t xml:space="preserve"> historical data therefore it can be used to forecast the future</w:t>
      </w:r>
      <w:r w:rsidR="0047250B">
        <w:t xml:space="preserve"> </w:t>
      </w:r>
      <w:r w:rsidR="0047250B">
        <w:rPr>
          <w:rStyle w:val="selectable"/>
          <w:color w:val="000000"/>
        </w:rPr>
        <w:t>(</w:t>
      </w:r>
      <w:proofErr w:type="spellStart"/>
      <w:r w:rsidR="0047250B">
        <w:rPr>
          <w:rStyle w:val="selectable"/>
          <w:color w:val="000000"/>
        </w:rPr>
        <w:t>Iatridis</w:t>
      </w:r>
      <w:proofErr w:type="spellEnd"/>
      <w:r w:rsidR="0047250B">
        <w:rPr>
          <w:rStyle w:val="selectable"/>
          <w:color w:val="000000"/>
        </w:rPr>
        <w:t>, 2018)</w:t>
      </w:r>
      <w:r>
        <w:t xml:space="preserve">. </w:t>
      </w:r>
      <w:r w:rsidR="0047250B">
        <w:t>M</w:t>
      </w:r>
      <w:r>
        <w:t xml:space="preserve">oreover, estimation taken </w:t>
      </w:r>
      <w:r w:rsidR="00FC239E">
        <w:t>based on</w:t>
      </w:r>
      <w:r>
        <w:t xml:space="preserve"> ratio analysis provides accurate information.</w:t>
      </w:r>
      <w:r w:rsidR="00AB4A62">
        <w:t xml:space="preserve"> Ratio Analysis also identifies the financial risk of the firm because it computes the leverage ratio, interest coverage ratio</w:t>
      </w:r>
      <w:r w:rsidR="00FC239E">
        <w:t>,</w:t>
      </w:r>
      <w:r w:rsidR="00AB4A62">
        <w:t xml:space="preserve"> etc. </w:t>
      </w:r>
    </w:p>
    <w:p w14:paraId="68C995DF" w14:textId="1C3235E6" w:rsidR="00A60438" w:rsidRDefault="00A60438" w:rsidP="00E13F72">
      <w:pPr>
        <w:pStyle w:val="ListParagraph"/>
        <w:numPr>
          <w:ilvl w:val="0"/>
          <w:numId w:val="18"/>
        </w:numPr>
      </w:pPr>
      <w:r>
        <w:t xml:space="preserve">Comparability: Ratio analysis ensures comparability. The comparison of the same company between different years, with </w:t>
      </w:r>
      <w:r w:rsidR="00FC239E">
        <w:t xml:space="preserve">a </w:t>
      </w:r>
      <w:r>
        <w:t>different company in the same industry</w:t>
      </w:r>
      <w:r w:rsidR="00FC239E">
        <w:t>,</w:t>
      </w:r>
      <w:r>
        <w:t xml:space="preserve"> etc. ensuring the comparability</w:t>
      </w:r>
      <w:r w:rsidR="00FC239E">
        <w:t>,</w:t>
      </w:r>
      <w:r>
        <w:t xml:space="preserve"> is the main advantage of ratio analysis. Therefore, investors who are considering investing in a new firm should always use ratio analysis to compare between firms and take appropriate decisions. </w:t>
      </w:r>
    </w:p>
    <w:p w14:paraId="3453726A" w14:textId="7EB1CF7B" w:rsidR="00A60438" w:rsidRDefault="00A60438" w:rsidP="00E13F72">
      <w:pPr>
        <w:pStyle w:val="ListParagraph"/>
        <w:numPr>
          <w:ilvl w:val="0"/>
          <w:numId w:val="18"/>
        </w:numPr>
      </w:pPr>
      <w:r>
        <w:t xml:space="preserve">Profitability and Liquidity Analysis: </w:t>
      </w:r>
      <w:r w:rsidR="00FC239E">
        <w:t>some specific ratio analyses</w:t>
      </w:r>
      <w:r>
        <w:t xml:space="preserve"> comment on the profit and liquidity position of the firm. it is always necessary for the investor to look </w:t>
      </w:r>
      <w:r w:rsidR="00FC239E">
        <w:t>at</w:t>
      </w:r>
      <w:r>
        <w:t xml:space="preserve"> these values before making any investment decision.</w:t>
      </w:r>
      <w:r w:rsidR="00AB4A62">
        <w:t xml:space="preserve"> Ratio analysis also identifies the business risk of the company because it calculates the leverage of the firm</w:t>
      </w:r>
      <w:r w:rsidR="0047250B">
        <w:t xml:space="preserve"> </w:t>
      </w:r>
      <w:r w:rsidR="0047250B">
        <w:rPr>
          <w:rStyle w:val="selectable"/>
          <w:color w:val="000000"/>
        </w:rPr>
        <w:t>(Mizen, 2020)</w:t>
      </w:r>
      <w:r w:rsidR="00AB4A62">
        <w:t>. It also comment</w:t>
      </w:r>
      <w:r w:rsidR="00FC239E">
        <w:t>s</w:t>
      </w:r>
      <w:r w:rsidR="00AB4A62">
        <w:t xml:space="preserve"> on how the fixed cost and outstanding debt deploy the profitability of the firm. </w:t>
      </w:r>
    </w:p>
    <w:p w14:paraId="091E0CD7" w14:textId="11DC8A97" w:rsidR="00A60438" w:rsidRDefault="00B141F7" w:rsidP="00E13F72">
      <w:pPr>
        <w:pStyle w:val="ListParagraph"/>
        <w:numPr>
          <w:ilvl w:val="0"/>
          <w:numId w:val="18"/>
        </w:numPr>
      </w:pPr>
      <w:r>
        <w:t>Operating Efficiency: Ratio analysis is not only necessary for the investors but also the management</w:t>
      </w:r>
      <w:r w:rsidR="0047250B">
        <w:t xml:space="preserve"> </w:t>
      </w:r>
      <w:r w:rsidR="0047250B">
        <w:rPr>
          <w:rStyle w:val="selectable"/>
          <w:color w:val="000000"/>
        </w:rPr>
        <w:t>(Morley, 2021)</w:t>
      </w:r>
      <w:r>
        <w:t xml:space="preserve">. </w:t>
      </w:r>
      <w:r w:rsidR="00FC239E">
        <w:t>Some specific ratio analyses</w:t>
      </w:r>
      <w:r>
        <w:t xml:space="preserve"> provide qualitative results to give a better perspective to the management regarding their operations. Like, </w:t>
      </w:r>
      <w:r w:rsidR="00FC239E">
        <w:t xml:space="preserve">the </w:t>
      </w:r>
      <w:r>
        <w:t>hotel industry uses occurrence days to calculate the number of rooms available relative to the number of rooms booked. Management can identify their lack</w:t>
      </w:r>
      <w:r w:rsidR="00FC239E">
        <w:t>s</w:t>
      </w:r>
      <w:r>
        <w:t xml:space="preserve"> through this analysis and work for the betterment of the firm.</w:t>
      </w:r>
    </w:p>
    <w:p w14:paraId="23D4FA59" w14:textId="2BBC42B5" w:rsidR="00B141F7" w:rsidRDefault="00B141F7" w:rsidP="00E13F72">
      <w:pPr>
        <w:pStyle w:val="ListParagraph"/>
        <w:numPr>
          <w:ilvl w:val="0"/>
          <w:numId w:val="18"/>
        </w:numPr>
      </w:pPr>
      <w:r>
        <w:t xml:space="preserve">Analysis of Business Trends: </w:t>
      </w:r>
      <w:r w:rsidR="0047250B">
        <w:t>R</w:t>
      </w:r>
      <w:r>
        <w:t xml:space="preserve">atio analysis </w:t>
      </w:r>
      <w:r w:rsidR="00AB4A62">
        <w:t>E</w:t>
      </w:r>
      <w:r>
        <w:t>xpose and identify trends that will result in more profitable actions as well as gives satisfactory outcome to the investors</w:t>
      </w:r>
      <w:r w:rsidR="000732AF">
        <w:t xml:space="preserve"> </w:t>
      </w:r>
      <w:r w:rsidR="000732AF">
        <w:rPr>
          <w:rStyle w:val="selectable"/>
          <w:color w:val="000000"/>
        </w:rPr>
        <w:t>(</w:t>
      </w:r>
      <w:proofErr w:type="spellStart"/>
      <w:r w:rsidR="000732AF">
        <w:rPr>
          <w:rStyle w:val="selectable"/>
          <w:color w:val="000000"/>
        </w:rPr>
        <w:t>Hirji</w:t>
      </w:r>
      <w:proofErr w:type="spellEnd"/>
      <w:r w:rsidR="000732AF">
        <w:rPr>
          <w:rStyle w:val="selectable"/>
          <w:color w:val="000000"/>
        </w:rPr>
        <w:t>, 2019)</w:t>
      </w:r>
      <w:r>
        <w:t xml:space="preserve">. </w:t>
      </w:r>
    </w:p>
    <w:p w14:paraId="62386237" w14:textId="3397A14F" w:rsidR="00B141F7" w:rsidRDefault="00B141F7" w:rsidP="00E13F72">
      <w:pPr>
        <w:pStyle w:val="ListParagraph"/>
        <w:numPr>
          <w:ilvl w:val="0"/>
          <w:numId w:val="18"/>
        </w:numPr>
      </w:pPr>
      <w:r>
        <w:lastRenderedPageBreak/>
        <w:t xml:space="preserve">Cost Control and Improvement: Ratio </w:t>
      </w:r>
      <w:r w:rsidR="00AB4A62">
        <w:t>analysis</w:t>
      </w:r>
      <w:r>
        <w:t xml:space="preserve"> identifies the items, which is out of </w:t>
      </w:r>
      <w:r w:rsidR="00FC239E">
        <w:t xml:space="preserve">the </w:t>
      </w:r>
      <w:r>
        <w:t xml:space="preserve">control of the management, where this </w:t>
      </w:r>
      <w:r w:rsidR="00FC239E">
        <w:t xml:space="preserve">is </w:t>
      </w:r>
      <w:r>
        <w:t>a chance for improvement</w:t>
      </w:r>
      <w:r w:rsidR="00FC239E">
        <w:t>,</w:t>
      </w:r>
      <w:r>
        <w:t xml:space="preserve"> and where the company can take corrective action. Therefore, ratio analysis is the best measure to control the cost as well as improve the performance of the company. </w:t>
      </w:r>
    </w:p>
    <w:p w14:paraId="0ADCA163" w14:textId="10ECBDB8" w:rsidR="00AB4A62" w:rsidRDefault="006903D1" w:rsidP="00AB4A62">
      <w:r>
        <w:t xml:space="preserve">Ratio analysis can be horizontal or vertical. </w:t>
      </w:r>
      <w:r w:rsidR="00FC239E">
        <w:t>E</w:t>
      </w:r>
      <w:r>
        <w:t>very form of ratio analysis provides the best information for decision</w:t>
      </w:r>
      <w:r w:rsidR="00FC239E">
        <w:t>-</w:t>
      </w:r>
      <w:r>
        <w:t>making</w:t>
      </w:r>
      <w:r w:rsidR="000732AF">
        <w:t xml:space="preserve"> </w:t>
      </w:r>
      <w:r w:rsidR="000732AF">
        <w:rPr>
          <w:rStyle w:val="selectable"/>
          <w:color w:val="000000"/>
        </w:rPr>
        <w:t>(Analysis of Financial Tools, 2022)</w:t>
      </w:r>
      <w:r>
        <w:t xml:space="preserve">.  Therefore, investors and management both use ratio analysis for making a successful investment decision. </w:t>
      </w:r>
    </w:p>
    <w:p w14:paraId="60071142" w14:textId="77777777" w:rsidR="00E13F72" w:rsidRPr="00E13F72" w:rsidRDefault="00E13F72" w:rsidP="00E13F72"/>
    <w:p w14:paraId="46458E66" w14:textId="26B14DFD" w:rsidR="00132F03" w:rsidRDefault="00132F03">
      <w:pPr>
        <w:spacing w:line="259" w:lineRule="auto"/>
        <w:jc w:val="left"/>
        <w:rPr>
          <w:rFonts w:eastAsiaTheme="majorEastAsia" w:cstheme="majorBidi"/>
          <w:b/>
          <w:bCs/>
          <w:color w:val="000000" w:themeColor="text1"/>
          <w:sz w:val="32"/>
          <w:szCs w:val="28"/>
        </w:rPr>
      </w:pPr>
      <w:r>
        <w:br w:type="page"/>
      </w:r>
    </w:p>
    <w:p w14:paraId="3697F668" w14:textId="55714BF0" w:rsidR="00132F03" w:rsidRDefault="00132F03" w:rsidP="00132F03">
      <w:pPr>
        <w:pStyle w:val="Heading1"/>
      </w:pPr>
      <w:bookmarkStart w:id="3" w:name="_Toc103801906"/>
      <w:r>
        <w:lastRenderedPageBreak/>
        <w:t>Limitations of Ratio Analysis</w:t>
      </w:r>
      <w:bookmarkEnd w:id="3"/>
      <w:r>
        <w:t xml:space="preserve"> </w:t>
      </w:r>
    </w:p>
    <w:p w14:paraId="767B1B43" w14:textId="1CFC9055" w:rsidR="00106BDD" w:rsidRDefault="00106BDD" w:rsidP="00106BDD">
      <w:r>
        <w:t xml:space="preserve">Though ratio analysis is </w:t>
      </w:r>
      <w:r w:rsidR="00FC239E">
        <w:t>a</w:t>
      </w:r>
      <w:r>
        <w:t xml:space="preserve"> significant financial tool it has some drawbacks which also can be identified as the limitations of the ratio analysis. The limitations of the ratio analysis </w:t>
      </w:r>
      <w:r w:rsidR="00FC239E">
        <w:t>are</w:t>
      </w:r>
      <w:r>
        <w:t xml:space="preserve"> provided below:</w:t>
      </w:r>
    </w:p>
    <w:p w14:paraId="253D01A5" w14:textId="726385C1" w:rsidR="000E525F" w:rsidRDefault="00FD7A65" w:rsidP="000E525F">
      <w:pPr>
        <w:pStyle w:val="ListParagraph"/>
        <w:numPr>
          <w:ilvl w:val="0"/>
          <w:numId w:val="20"/>
        </w:numPr>
      </w:pPr>
      <w:r>
        <w:t xml:space="preserve">Based on technical Knowledge:  Ratio analysis provides the </w:t>
      </w:r>
      <w:r w:rsidR="00BD3E18">
        <w:t xml:space="preserve">result in the quantitative figure, Also the calculation process of ratio involves </w:t>
      </w:r>
      <w:r w:rsidR="005032CD">
        <w:t>numerical</w:t>
      </w:r>
      <w:r w:rsidR="00BD3E18">
        <w:t xml:space="preserve"> data</w:t>
      </w:r>
      <w:r w:rsidR="0047250B">
        <w:t xml:space="preserve"> </w:t>
      </w:r>
      <w:r w:rsidR="0047250B">
        <w:rPr>
          <w:rStyle w:val="selectable"/>
          <w:color w:val="000000"/>
        </w:rPr>
        <w:t xml:space="preserve">(Stinnett and </w:t>
      </w:r>
      <w:proofErr w:type="spellStart"/>
      <w:r w:rsidR="0047250B">
        <w:rPr>
          <w:rStyle w:val="selectable"/>
          <w:color w:val="000000"/>
        </w:rPr>
        <w:t>Mullahy</w:t>
      </w:r>
      <w:proofErr w:type="spellEnd"/>
      <w:r w:rsidR="0047250B">
        <w:rPr>
          <w:rStyle w:val="selectable"/>
          <w:color w:val="000000"/>
        </w:rPr>
        <w:t>, 2021)</w:t>
      </w:r>
      <w:r w:rsidR="00BD3E18">
        <w:t xml:space="preserve">. Therefore, it is necessary to </w:t>
      </w:r>
      <w:r w:rsidR="00FC239E">
        <w:t>qualify</w:t>
      </w:r>
      <w:r w:rsidR="00BD3E18">
        <w:t xml:space="preserve"> to understand and develop the interpretation</w:t>
      </w:r>
      <w:r w:rsidR="000E525F">
        <w:t xml:space="preserve"> of ratio analysis. This qualification </w:t>
      </w:r>
      <w:r w:rsidR="00FC239E">
        <w:t xml:space="preserve">is </w:t>
      </w:r>
      <w:r w:rsidR="000E525F">
        <w:t xml:space="preserve">also known as technical knowledge, so technical knowledge is the essential part of the ratio analysis. </w:t>
      </w:r>
    </w:p>
    <w:p w14:paraId="72FD8BA4" w14:textId="6CDF02C4" w:rsidR="000E525F" w:rsidRPr="000E525F" w:rsidRDefault="000E525F" w:rsidP="000E525F">
      <w:pPr>
        <w:pStyle w:val="ListParagraph"/>
        <w:numPr>
          <w:ilvl w:val="0"/>
          <w:numId w:val="20"/>
        </w:numPr>
        <w:rPr>
          <w:rFonts w:eastAsiaTheme="majorEastAsia" w:cstheme="majorBidi"/>
          <w:b/>
          <w:bCs/>
          <w:color w:val="000000" w:themeColor="text1"/>
          <w:sz w:val="32"/>
          <w:szCs w:val="28"/>
        </w:rPr>
      </w:pPr>
      <w:r>
        <w:t xml:space="preserve">Lack of reliable Data: if the data are incorrect, ratios will provide wrong and misleading information. also, the data and figures that ratio analysis use is historical, not current information. </w:t>
      </w:r>
      <w:r w:rsidR="00FC239E">
        <w:t xml:space="preserve">So, there is debate whether the input that produces the output of ratio calculation whether reliable or not. </w:t>
      </w:r>
    </w:p>
    <w:p w14:paraId="59AAE2CE" w14:textId="22FD5F9C" w:rsidR="00606FA9" w:rsidRDefault="000E525F" w:rsidP="000E525F">
      <w:r>
        <w:t xml:space="preserve">Ratio analysis </w:t>
      </w:r>
      <w:r w:rsidR="005032CD">
        <w:t>doesn’t</w:t>
      </w:r>
      <w:r>
        <w:t xml:space="preserve"> give much importance </w:t>
      </w:r>
      <w:r w:rsidR="00FC239E">
        <w:t>to</w:t>
      </w:r>
      <w:r>
        <w:t xml:space="preserve"> qualitative information therefore the number of qualitative ratio analys</w:t>
      </w:r>
      <w:r w:rsidR="00FC239E">
        <w:t>e</w:t>
      </w:r>
      <w:r>
        <w:t xml:space="preserve">s is low, but qualitative analysis is also necessary for investment and management decisions.  Ratio analysis only takes into account the impacts of internal factors, it doesn’t consider the </w:t>
      </w:r>
      <w:r w:rsidR="005032CD">
        <w:t xml:space="preserve">external factors such as </w:t>
      </w:r>
      <w:r w:rsidR="00FC239E">
        <w:t xml:space="preserve">a </w:t>
      </w:r>
      <w:r w:rsidR="005032CD">
        <w:t xml:space="preserve">recession. </w:t>
      </w:r>
      <w:r w:rsidR="0047250B">
        <w:t>T</w:t>
      </w:r>
      <w:r w:rsidR="005032CD">
        <w:t xml:space="preserve">he human element of the firm </w:t>
      </w:r>
      <w:r w:rsidR="00FC239E">
        <w:t xml:space="preserve">is </w:t>
      </w:r>
      <w:r w:rsidR="005032CD">
        <w:t>not counted in the ratio analysis</w:t>
      </w:r>
      <w:r w:rsidR="0047250B">
        <w:t xml:space="preserve"> </w:t>
      </w:r>
      <w:r w:rsidR="0047250B">
        <w:rPr>
          <w:rStyle w:val="selectable"/>
          <w:color w:val="000000"/>
        </w:rPr>
        <w:t>(Overview of Ratio Analysis, 2022)</w:t>
      </w:r>
      <w:r w:rsidR="005032CD">
        <w:t xml:space="preserve">. It is only useful when the firm is of the same size and same category. Comparison is not possible if the company is not categorized within </w:t>
      </w:r>
      <w:r w:rsidR="00FC239E">
        <w:t xml:space="preserve">the </w:t>
      </w:r>
      <w:r w:rsidR="005032CD">
        <w:t xml:space="preserve">same industry </w:t>
      </w:r>
      <w:r w:rsidR="00FC239E">
        <w:t xml:space="preserve">and </w:t>
      </w:r>
      <w:r w:rsidR="005032CD">
        <w:t>also in the same size.  Comparison become</w:t>
      </w:r>
      <w:r w:rsidR="00FC239E">
        <w:t>s</w:t>
      </w:r>
      <w:r w:rsidR="005032CD">
        <w:t xml:space="preserve"> more</w:t>
      </w:r>
      <w:r w:rsidR="00FC239E">
        <w:t xml:space="preserve"> </w:t>
      </w:r>
      <w:r w:rsidR="005032CD">
        <w:t xml:space="preserve">difficult if other company doesn’t want to share information. Therefore, ratio analysis still has some limitations that need to </w:t>
      </w:r>
      <w:r w:rsidR="00FC239E">
        <w:t xml:space="preserve">be </w:t>
      </w:r>
      <w:r w:rsidR="005032CD">
        <w:t>eliminated before choosing it for the analysis of financial statement</w:t>
      </w:r>
      <w:r w:rsidR="00FC239E">
        <w:t>s</w:t>
      </w:r>
      <w:r w:rsidR="005032CD">
        <w:t xml:space="preserve">. </w:t>
      </w:r>
    </w:p>
    <w:p w14:paraId="30FEE56C" w14:textId="7003FF6B" w:rsidR="00691365" w:rsidRDefault="00691365" w:rsidP="00691365">
      <w:pPr>
        <w:pStyle w:val="Heading2"/>
      </w:pPr>
      <w:bookmarkStart w:id="4" w:name="_Toc103801907"/>
      <w:r>
        <w:t>Understanding of Ratio and Its Fluctuations in Hotel Management:</w:t>
      </w:r>
      <w:bookmarkEnd w:id="4"/>
      <w:r>
        <w:t xml:space="preserve"> </w:t>
      </w:r>
    </w:p>
    <w:p w14:paraId="252A4AD9" w14:textId="6536F16A" w:rsidR="00606FA9" w:rsidRDefault="00606FA9" w:rsidP="000E525F">
      <w:r>
        <w:t xml:space="preserve">The hospitality industry is one of the largest service </w:t>
      </w:r>
      <w:r w:rsidR="00691365">
        <w:t>industries</w:t>
      </w:r>
      <w:r>
        <w:t xml:space="preserve"> which </w:t>
      </w:r>
      <w:r w:rsidR="00691365">
        <w:t>includes hotels, lodging, transportation</w:t>
      </w:r>
      <w:r w:rsidR="00FC239E">
        <w:t>,</w:t>
      </w:r>
      <w:r w:rsidR="00691365">
        <w:t xml:space="preserve"> etc. Hotel management is </w:t>
      </w:r>
      <w:r w:rsidR="00BD22E4">
        <w:t>also a</w:t>
      </w:r>
      <w:r w:rsidR="00691365">
        <w:t xml:space="preserve"> part of </w:t>
      </w:r>
      <w:r w:rsidR="00FC239E">
        <w:t xml:space="preserve">the </w:t>
      </w:r>
      <w:r w:rsidR="00691365">
        <w:t xml:space="preserve">hospitality industry so, </w:t>
      </w:r>
      <w:r w:rsidR="00FC239E">
        <w:t>a hotel management company needs</w:t>
      </w:r>
      <w:r w:rsidR="00691365">
        <w:t xml:space="preserve"> to use a definite set of financial </w:t>
      </w:r>
      <w:r w:rsidR="00BD22E4">
        <w:t>ratios</w:t>
      </w:r>
      <w:r w:rsidR="00691365">
        <w:t xml:space="preserve"> to make comparison</w:t>
      </w:r>
      <w:r w:rsidR="00FC239E">
        <w:t>s</w:t>
      </w:r>
      <w:r w:rsidR="00691365">
        <w:t xml:space="preserve"> within the industry</w:t>
      </w:r>
      <w:r w:rsidR="0047250B">
        <w:t xml:space="preserve"> </w:t>
      </w:r>
      <w:r w:rsidR="0047250B">
        <w:rPr>
          <w:rStyle w:val="selectable"/>
          <w:color w:val="000000"/>
        </w:rPr>
        <w:t>(Tan, 2017)</w:t>
      </w:r>
      <w:r w:rsidR="00691365">
        <w:t>. The quan</w:t>
      </w:r>
      <w:r w:rsidR="00FC239E">
        <w:t>ti</w:t>
      </w:r>
      <w:r w:rsidR="00691365">
        <w:t xml:space="preserve">tative figure for ratio </w:t>
      </w:r>
      <w:r w:rsidR="00B335BC">
        <w:t>analysis</w:t>
      </w:r>
      <w:r w:rsidR="00691365">
        <w:t xml:space="preserve"> has always been collected from the financial statement. So, it is necessary to present these data correctly so that </w:t>
      </w:r>
      <w:r w:rsidR="00B335BC">
        <w:t>accountants</w:t>
      </w:r>
      <w:r w:rsidR="00691365">
        <w:t xml:space="preserve"> can also make accurate financial ratio calculation</w:t>
      </w:r>
      <w:r w:rsidR="00FC239E">
        <w:t>s</w:t>
      </w:r>
      <w:r w:rsidR="00691365">
        <w:t xml:space="preserve">. If the information presented in the financial information </w:t>
      </w:r>
      <w:r w:rsidR="00B335BC">
        <w:t xml:space="preserve">is incorrect the ratio calculation will also be incorrect. Therefore, the changes, fluctuations, </w:t>
      </w:r>
      <w:r w:rsidR="00FC239E">
        <w:t xml:space="preserve">and </w:t>
      </w:r>
      <w:r w:rsidR="00B335BC">
        <w:t xml:space="preserve">presentations of the line items in the financial statement </w:t>
      </w:r>
      <w:r w:rsidR="00BD22E4">
        <w:t xml:space="preserve">of a hotel </w:t>
      </w:r>
      <w:r w:rsidR="00BD22E4">
        <w:lastRenderedPageBreak/>
        <w:t xml:space="preserve">management company are </w:t>
      </w:r>
      <w:r w:rsidR="00B335BC">
        <w:t>necessary for the understanding and interpretation of ratio calculations</w:t>
      </w:r>
      <w:r w:rsidR="00BD22E4">
        <w:t xml:space="preserve"> of that particular company</w:t>
      </w:r>
      <w:r w:rsidR="000732AF">
        <w:t xml:space="preserve"> </w:t>
      </w:r>
      <w:r w:rsidR="000732AF">
        <w:rPr>
          <w:rStyle w:val="selectable"/>
          <w:color w:val="000000"/>
        </w:rPr>
        <w:t>(Hilton Hotels and Resorts, 2022)</w:t>
      </w:r>
      <w:r w:rsidR="00B335BC">
        <w:t>. Ratio calculation is influenced by the data presented in the financial statements</w:t>
      </w:r>
      <w:r w:rsidR="0047250B">
        <w:t xml:space="preserve"> </w:t>
      </w:r>
      <w:r w:rsidR="0047250B">
        <w:rPr>
          <w:rStyle w:val="selectable"/>
          <w:color w:val="000000"/>
        </w:rPr>
        <w:t>(O'Fallon and Rutherford, 2016)</w:t>
      </w:r>
      <w:r w:rsidR="00B335BC">
        <w:t xml:space="preserve">. So, the understanding of financial statements and </w:t>
      </w:r>
      <w:r w:rsidR="00FC239E">
        <w:t>their</w:t>
      </w:r>
      <w:r w:rsidR="00B335BC">
        <w:t xml:space="preserve"> different line items </w:t>
      </w:r>
      <w:r w:rsidR="00FC239E">
        <w:t>are</w:t>
      </w:r>
      <w:r w:rsidR="00B335BC">
        <w:t xml:space="preserve"> </w:t>
      </w:r>
      <w:r w:rsidR="00FC239E">
        <w:t>an</w:t>
      </w:r>
      <w:r w:rsidR="00B335BC">
        <w:t xml:space="preserve"> essential part </w:t>
      </w:r>
      <w:r w:rsidR="00FC239E">
        <w:t>of</w:t>
      </w:r>
      <w:r w:rsidR="00B335BC">
        <w:t xml:space="preserve"> the analy</w:t>
      </w:r>
      <w:r w:rsidR="00FC239E">
        <w:t>sis</w:t>
      </w:r>
      <w:r w:rsidR="00B335BC">
        <w:t xml:space="preserve"> of different ratio</w:t>
      </w:r>
      <w:r w:rsidR="00FC239E">
        <w:t>s</w:t>
      </w:r>
      <w:r w:rsidR="00B335BC">
        <w:t xml:space="preserve">. Again, </w:t>
      </w:r>
      <w:r w:rsidR="00FC239E">
        <w:t xml:space="preserve">the </w:t>
      </w:r>
      <w:r w:rsidR="00B335BC">
        <w:t>specific ratio indicates different measurement</w:t>
      </w:r>
      <w:r w:rsidR="00FC239E">
        <w:t>s</w:t>
      </w:r>
      <w:r w:rsidR="00B335BC">
        <w:t xml:space="preserve"> in </w:t>
      </w:r>
      <w:r w:rsidR="00FC239E">
        <w:t xml:space="preserve">a </w:t>
      </w:r>
      <w:r w:rsidR="00B335BC">
        <w:t xml:space="preserve">different industry, so the accountant of hotel </w:t>
      </w:r>
      <w:r w:rsidR="00BD22E4">
        <w:t>management also</w:t>
      </w:r>
      <w:r w:rsidR="00B335BC">
        <w:t xml:space="preserve"> should be </w:t>
      </w:r>
      <w:r w:rsidR="00BD22E4">
        <w:t>having</w:t>
      </w:r>
      <w:r w:rsidR="00B335BC">
        <w:t xml:space="preserve"> enough knowledge regarding the line items and the specific ratio calculation so that they can draw conclusions correctly and comment on the profitability, liquidity</w:t>
      </w:r>
      <w:r w:rsidR="00FC239E">
        <w:t>,</w:t>
      </w:r>
      <w:r w:rsidR="00B335BC">
        <w:t xml:space="preserve"> and solvency of the company. Besides, there </w:t>
      </w:r>
      <w:r w:rsidR="00FC239E">
        <w:t>is</w:t>
      </w:r>
      <w:r w:rsidR="00B335BC">
        <w:t xml:space="preserve"> also some qualitative information available in the financial statement that gives measurement</w:t>
      </w:r>
      <w:r w:rsidR="00FC239E">
        <w:t>s</w:t>
      </w:r>
      <w:r w:rsidR="00B335BC">
        <w:t xml:space="preserve"> regarding the management of the hotel, </w:t>
      </w:r>
      <w:r w:rsidR="00FC239E">
        <w:t>that information</w:t>
      </w:r>
      <w:r w:rsidR="00BD22E4">
        <w:t xml:space="preserve"> should be correctly analyzed to comment on </w:t>
      </w:r>
      <w:r w:rsidR="00FC239E">
        <w:t xml:space="preserve">the </w:t>
      </w:r>
      <w:r w:rsidR="00BD22E4">
        <w:t xml:space="preserve">present status of the company. </w:t>
      </w:r>
    </w:p>
    <w:p w14:paraId="5CF8851F" w14:textId="50FB7456" w:rsidR="00132F03" w:rsidRPr="000E525F" w:rsidRDefault="00132F03" w:rsidP="000E525F">
      <w:pPr>
        <w:rPr>
          <w:rFonts w:eastAsiaTheme="majorEastAsia" w:cstheme="majorBidi"/>
          <w:b/>
          <w:bCs/>
          <w:color w:val="000000" w:themeColor="text1"/>
          <w:sz w:val="32"/>
          <w:szCs w:val="28"/>
        </w:rPr>
      </w:pPr>
      <w:r>
        <w:br w:type="page"/>
      </w:r>
    </w:p>
    <w:p w14:paraId="78A3EF14" w14:textId="32E5E050" w:rsidR="00132F03" w:rsidRDefault="00132F03" w:rsidP="00132F03">
      <w:pPr>
        <w:pStyle w:val="Heading1"/>
      </w:pPr>
      <w:bookmarkStart w:id="5" w:name="_Toc103801908"/>
      <w:r>
        <w:lastRenderedPageBreak/>
        <w:t>Conclusion</w:t>
      </w:r>
      <w:bookmarkEnd w:id="5"/>
    </w:p>
    <w:p w14:paraId="37DB2645" w14:textId="7A0BD8F7" w:rsidR="00606FA9" w:rsidRPr="00606FA9" w:rsidRDefault="00606FA9" w:rsidP="00606FA9">
      <w:r>
        <w:t xml:space="preserve">Ratio analysis is the financial tool that expresses the relationship between two-line items. </w:t>
      </w:r>
      <w:r w:rsidR="00FC239E">
        <w:t>The h</w:t>
      </w:r>
      <w:r>
        <w:t>otel management industry also uses ratio analysis so that it can compare its financial statement with other companies. Also, the significance of ratio analysis overcome</w:t>
      </w:r>
      <w:r w:rsidR="00FC239E">
        <w:t>s</w:t>
      </w:r>
      <w:r>
        <w:t xml:space="preserve"> </w:t>
      </w:r>
      <w:r w:rsidR="00FC239E">
        <w:t>its</w:t>
      </w:r>
      <w:r>
        <w:t xml:space="preserve"> limitations of it therefore ratio analysis should be used cautiously for making decisions. </w:t>
      </w:r>
    </w:p>
    <w:p w14:paraId="640B8AC2" w14:textId="77777777" w:rsidR="00132F03" w:rsidRDefault="00132F03">
      <w:pPr>
        <w:spacing w:line="259" w:lineRule="auto"/>
        <w:jc w:val="left"/>
        <w:rPr>
          <w:rFonts w:eastAsiaTheme="majorEastAsia" w:cstheme="majorBidi"/>
          <w:b/>
          <w:bCs/>
          <w:color w:val="000000" w:themeColor="text1"/>
          <w:sz w:val="32"/>
          <w:szCs w:val="28"/>
        </w:rPr>
      </w:pPr>
      <w:r>
        <w:br w:type="page"/>
      </w:r>
    </w:p>
    <w:p w14:paraId="468B0E72" w14:textId="01E765E5" w:rsidR="008354B1" w:rsidRPr="00132F03" w:rsidRDefault="00132F03" w:rsidP="00132F03">
      <w:pPr>
        <w:pStyle w:val="Heading1"/>
      </w:pPr>
      <w:bookmarkStart w:id="6" w:name="_Toc103801909"/>
      <w:r>
        <w:lastRenderedPageBreak/>
        <w:t>Reference</w:t>
      </w:r>
      <w:bookmarkEnd w:id="6"/>
    </w:p>
    <w:p w14:paraId="788E4557" w14:textId="77777777" w:rsidR="0047250B" w:rsidRDefault="0047250B" w:rsidP="0047250B">
      <w:pPr>
        <w:rPr>
          <w:rStyle w:val="selectable"/>
          <w:color w:val="000000"/>
        </w:rPr>
      </w:pPr>
      <w:r>
        <w:rPr>
          <w:rStyle w:val="selectable"/>
          <w:color w:val="000000"/>
        </w:rPr>
        <w:t xml:space="preserve">Analysis, I., 2022. </w:t>
      </w:r>
      <w:r>
        <w:rPr>
          <w:rStyle w:val="selectable"/>
          <w:i/>
          <w:iCs/>
          <w:color w:val="000000"/>
        </w:rPr>
        <w:t>Importance of Ratio Analysis</w:t>
      </w:r>
      <w:r>
        <w:rPr>
          <w:rStyle w:val="selectable"/>
          <w:color w:val="000000"/>
        </w:rPr>
        <w:t>. [online] EDUCBA. Available at: &lt;https://www.educba.com/importance-of-ratio-analysis/&gt; [Accessed 19 May 2022].</w:t>
      </w:r>
    </w:p>
    <w:p w14:paraId="05071D22" w14:textId="77777777" w:rsidR="0047250B" w:rsidRDefault="0047250B" w:rsidP="0047250B">
      <w:pPr>
        <w:rPr>
          <w:rStyle w:val="selectable"/>
          <w:color w:val="000000"/>
        </w:rPr>
      </w:pPr>
      <w:r>
        <w:rPr>
          <w:rStyle w:val="selectable"/>
          <w:color w:val="000000"/>
        </w:rPr>
        <w:t xml:space="preserve">Corporate Finance Institute. 2022. </w:t>
      </w:r>
      <w:r>
        <w:rPr>
          <w:rStyle w:val="selectable"/>
          <w:i/>
          <w:iCs/>
          <w:color w:val="000000"/>
        </w:rPr>
        <w:t>Ratio Analysis</w:t>
      </w:r>
      <w:r>
        <w:rPr>
          <w:rStyle w:val="selectable"/>
          <w:color w:val="000000"/>
        </w:rPr>
        <w:t>. [online] Available at: &lt;https://corporatefinanceinstitute.com/resources/knowledge/finance/ratio-analysis/&gt; [Accessed 19 May 2022].</w:t>
      </w:r>
    </w:p>
    <w:p w14:paraId="7CF56502" w14:textId="77777777" w:rsidR="0047250B" w:rsidRDefault="0047250B" w:rsidP="0047250B">
      <w:pPr>
        <w:rPr>
          <w:rStyle w:val="selectable"/>
          <w:color w:val="000000"/>
        </w:rPr>
      </w:pPr>
      <w:r>
        <w:rPr>
          <w:rStyle w:val="selectable"/>
          <w:color w:val="000000"/>
        </w:rPr>
        <w:t xml:space="preserve">Hilton.com. 2022. </w:t>
      </w:r>
      <w:r>
        <w:rPr>
          <w:rStyle w:val="selectable"/>
          <w:i/>
          <w:iCs/>
          <w:color w:val="000000"/>
        </w:rPr>
        <w:t>Hilton Hotels and Resorts - Find Hotel Rooms</w:t>
      </w:r>
      <w:r>
        <w:rPr>
          <w:rStyle w:val="selectable"/>
          <w:color w:val="000000"/>
        </w:rPr>
        <w:t>. [online] Available at: &lt;https://www.hilton.com/en/hilton/&gt; [Accessed 19 May 2022].</w:t>
      </w:r>
    </w:p>
    <w:p w14:paraId="6D30FEC0" w14:textId="77777777" w:rsidR="0047250B" w:rsidRDefault="0047250B" w:rsidP="0047250B">
      <w:pPr>
        <w:rPr>
          <w:rStyle w:val="selectable"/>
          <w:color w:val="000000"/>
        </w:rPr>
      </w:pPr>
      <w:proofErr w:type="spellStart"/>
      <w:r>
        <w:rPr>
          <w:rStyle w:val="selectable"/>
          <w:color w:val="000000"/>
        </w:rPr>
        <w:t>Hirji</w:t>
      </w:r>
      <w:proofErr w:type="spellEnd"/>
      <w:r>
        <w:rPr>
          <w:rStyle w:val="selectable"/>
          <w:color w:val="000000"/>
        </w:rPr>
        <w:t xml:space="preserve">, K., 2019. </w:t>
      </w:r>
      <w:r>
        <w:rPr>
          <w:rStyle w:val="selectable"/>
          <w:i/>
          <w:iCs/>
          <w:color w:val="000000"/>
        </w:rPr>
        <w:t>Decision Making and Ratio Analysis</w:t>
      </w:r>
      <w:r>
        <w:rPr>
          <w:rStyle w:val="selectable"/>
          <w:color w:val="000000"/>
        </w:rPr>
        <w:t>. Boca Raton: Chapman &amp; Hall/CRC.</w:t>
      </w:r>
    </w:p>
    <w:p w14:paraId="0BAA03DD" w14:textId="77777777" w:rsidR="0047250B" w:rsidRDefault="0047250B" w:rsidP="0047250B">
      <w:pPr>
        <w:rPr>
          <w:rStyle w:val="selectable"/>
          <w:color w:val="000000"/>
        </w:rPr>
      </w:pPr>
      <w:proofErr w:type="spellStart"/>
      <w:r>
        <w:rPr>
          <w:rStyle w:val="selectable"/>
          <w:color w:val="000000"/>
        </w:rPr>
        <w:t>Iatridis</w:t>
      </w:r>
      <w:proofErr w:type="spellEnd"/>
      <w:r>
        <w:rPr>
          <w:rStyle w:val="selectable"/>
          <w:color w:val="000000"/>
        </w:rPr>
        <w:t xml:space="preserve">, G., 2018. International Financial Reporting Standards and the quality of financial statement information. </w:t>
      </w:r>
      <w:r>
        <w:rPr>
          <w:rStyle w:val="selectable"/>
          <w:i/>
          <w:iCs/>
          <w:color w:val="000000"/>
        </w:rPr>
        <w:t>International Review of Financial Analysis</w:t>
      </w:r>
      <w:r>
        <w:rPr>
          <w:rStyle w:val="selectable"/>
          <w:color w:val="000000"/>
        </w:rPr>
        <w:t>, 19(3), pp.193-204.</w:t>
      </w:r>
    </w:p>
    <w:p w14:paraId="1462EF5C" w14:textId="77777777" w:rsidR="0047250B" w:rsidRDefault="0047250B" w:rsidP="0047250B">
      <w:pPr>
        <w:rPr>
          <w:rStyle w:val="selectable"/>
          <w:color w:val="000000"/>
        </w:rPr>
      </w:pPr>
      <w:r>
        <w:rPr>
          <w:rStyle w:val="selectable"/>
          <w:color w:val="000000"/>
        </w:rPr>
        <w:t xml:space="preserve">Mizen, R., 2020. Some limitations of ratio analysis. </w:t>
      </w:r>
      <w:r>
        <w:rPr>
          <w:rStyle w:val="selectable"/>
          <w:i/>
          <w:iCs/>
          <w:color w:val="000000"/>
        </w:rPr>
        <w:t>Journal of Accounting Analysis</w:t>
      </w:r>
      <w:r>
        <w:rPr>
          <w:rStyle w:val="selectable"/>
          <w:color w:val="000000"/>
        </w:rPr>
        <w:t>, 54(4), pp.461-473.</w:t>
      </w:r>
    </w:p>
    <w:p w14:paraId="32854722" w14:textId="77777777" w:rsidR="0047250B" w:rsidRDefault="0047250B" w:rsidP="0047250B">
      <w:pPr>
        <w:rPr>
          <w:rStyle w:val="selectable"/>
          <w:color w:val="000000"/>
        </w:rPr>
      </w:pPr>
      <w:r>
        <w:rPr>
          <w:rStyle w:val="selectable"/>
          <w:color w:val="000000"/>
        </w:rPr>
        <w:t xml:space="preserve">Morley, M., 2021. </w:t>
      </w:r>
      <w:r>
        <w:rPr>
          <w:rStyle w:val="selectable"/>
          <w:i/>
          <w:iCs/>
          <w:color w:val="000000"/>
        </w:rPr>
        <w:t>Ratio analysis</w:t>
      </w:r>
      <w:r>
        <w:rPr>
          <w:rStyle w:val="selectable"/>
          <w:color w:val="000000"/>
        </w:rPr>
        <w:t>. 3rd ed. Berkshire, England: Published for the Institute of Chartered Accountants of Scotland by Gee &amp; Co.</w:t>
      </w:r>
    </w:p>
    <w:p w14:paraId="3E06AB5C" w14:textId="77777777" w:rsidR="0047250B" w:rsidRDefault="0047250B" w:rsidP="0047250B">
      <w:pPr>
        <w:rPr>
          <w:rStyle w:val="selectable"/>
          <w:color w:val="000000"/>
        </w:rPr>
      </w:pPr>
      <w:r>
        <w:rPr>
          <w:rStyle w:val="selectable"/>
          <w:color w:val="000000"/>
        </w:rPr>
        <w:t xml:space="preserve">O'Fallon, M. and Rutherford, D., 2016. </w:t>
      </w:r>
      <w:r>
        <w:rPr>
          <w:rStyle w:val="selectable"/>
          <w:i/>
          <w:iCs/>
          <w:color w:val="000000"/>
        </w:rPr>
        <w:t>Hotel management and operations</w:t>
      </w:r>
      <w:r>
        <w:rPr>
          <w:rStyle w:val="selectable"/>
          <w:color w:val="000000"/>
        </w:rPr>
        <w:t>. 1st ed. London.</w:t>
      </w:r>
    </w:p>
    <w:p w14:paraId="20E8B141" w14:textId="77777777" w:rsidR="0047250B" w:rsidRDefault="0047250B" w:rsidP="0047250B">
      <w:pPr>
        <w:rPr>
          <w:rStyle w:val="selectable"/>
          <w:color w:val="000000"/>
        </w:rPr>
      </w:pPr>
      <w:r>
        <w:rPr>
          <w:rStyle w:val="selectable"/>
          <w:color w:val="000000"/>
        </w:rPr>
        <w:t xml:space="preserve">Stinnett, A. and </w:t>
      </w:r>
      <w:proofErr w:type="spellStart"/>
      <w:r>
        <w:rPr>
          <w:rStyle w:val="selectable"/>
          <w:color w:val="000000"/>
        </w:rPr>
        <w:t>Mullahy</w:t>
      </w:r>
      <w:proofErr w:type="spellEnd"/>
      <w:r>
        <w:rPr>
          <w:rStyle w:val="selectable"/>
          <w:color w:val="000000"/>
        </w:rPr>
        <w:t xml:space="preserve">, J., 2021. </w:t>
      </w:r>
      <w:r>
        <w:rPr>
          <w:rStyle w:val="selectable"/>
          <w:i/>
          <w:iCs/>
          <w:color w:val="000000"/>
        </w:rPr>
        <w:t>Limitations of Ratio Analysis</w:t>
      </w:r>
      <w:r>
        <w:rPr>
          <w:rStyle w:val="selectable"/>
          <w:color w:val="000000"/>
        </w:rPr>
        <w:t>. 1st ed. Cambridge, Mass: Star Publishing House.</w:t>
      </w:r>
    </w:p>
    <w:p w14:paraId="19E4D35F" w14:textId="596208BD" w:rsidR="0047250B" w:rsidRDefault="0047250B" w:rsidP="0047250B">
      <w:r>
        <w:rPr>
          <w:rStyle w:val="selectable"/>
          <w:color w:val="000000"/>
        </w:rPr>
        <w:t xml:space="preserve">Tan, Y., 2017. Hotel-Specific, Industry-Specific and Macroeconomic Determinants of Profitability in London Hotel Industry: Structure-Conduct-Performance or Efficient-Structure </w:t>
      </w:r>
      <w:r w:rsidR="008B5896">
        <w:rPr>
          <w:rStyle w:val="selectable"/>
          <w:color w:val="000000"/>
        </w:rPr>
        <w:t>Hypothesis?</w:t>
      </w:r>
      <w:r>
        <w:rPr>
          <w:rStyle w:val="selectable"/>
          <w:color w:val="000000"/>
        </w:rPr>
        <w:t xml:space="preserve"> </w:t>
      </w:r>
      <w:r>
        <w:rPr>
          <w:rStyle w:val="selectable"/>
          <w:i/>
          <w:iCs/>
          <w:color w:val="000000"/>
        </w:rPr>
        <w:t>SSRN Electronic Journal</w:t>
      </w:r>
      <w:r>
        <w:rPr>
          <w:rStyle w:val="selectable"/>
          <w:color w:val="000000"/>
        </w:rPr>
        <w:t>.</w:t>
      </w:r>
    </w:p>
    <w:sectPr w:rsidR="0047250B" w:rsidSect="00742CD4">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00D13" w14:textId="77777777" w:rsidR="00F334A1" w:rsidRDefault="00F334A1" w:rsidP="00742CD4">
      <w:pPr>
        <w:spacing w:after="0" w:line="240" w:lineRule="auto"/>
      </w:pPr>
      <w:r>
        <w:separator/>
      </w:r>
    </w:p>
  </w:endnote>
  <w:endnote w:type="continuationSeparator" w:id="0">
    <w:p w14:paraId="01CB7768" w14:textId="77777777" w:rsidR="00F334A1" w:rsidRDefault="00F334A1" w:rsidP="0074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126B6" w14:textId="77777777" w:rsidR="00B747A6" w:rsidRDefault="00B74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064252"/>
      <w:docPartObj>
        <w:docPartGallery w:val="Page Numbers (Bottom of Page)"/>
        <w:docPartUnique/>
      </w:docPartObj>
    </w:sdtPr>
    <w:sdtEndPr/>
    <w:sdtContent>
      <w:p w14:paraId="35A5F49D" w14:textId="77777777" w:rsidR="00742CD4" w:rsidRDefault="00AA5924">
        <w:pPr>
          <w:pStyle w:val="Footer"/>
          <w:jc w:val="right"/>
        </w:pPr>
        <w:r>
          <w:fldChar w:fldCharType="begin"/>
        </w:r>
        <w:r>
          <w:instrText xml:space="preserve"> PAGE   \* MERGEFORMAT </w:instrText>
        </w:r>
        <w:r>
          <w:fldChar w:fldCharType="separate"/>
        </w:r>
        <w:r w:rsidR="00E35C4B">
          <w:rPr>
            <w:noProof/>
          </w:rPr>
          <w:t>17</w:t>
        </w:r>
        <w:r>
          <w:rPr>
            <w:noProof/>
          </w:rPr>
          <w:fldChar w:fldCharType="end"/>
        </w:r>
      </w:p>
    </w:sdtContent>
  </w:sdt>
  <w:p w14:paraId="3AA60A32" w14:textId="77777777" w:rsidR="00742CD4" w:rsidRDefault="00742C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24C6" w14:textId="77777777" w:rsidR="00B747A6" w:rsidRDefault="00B74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3D367" w14:textId="77777777" w:rsidR="00F334A1" w:rsidRDefault="00F334A1" w:rsidP="00742CD4">
      <w:pPr>
        <w:spacing w:after="0" w:line="240" w:lineRule="auto"/>
      </w:pPr>
      <w:r>
        <w:separator/>
      </w:r>
    </w:p>
  </w:footnote>
  <w:footnote w:type="continuationSeparator" w:id="0">
    <w:p w14:paraId="530AAFBC" w14:textId="77777777" w:rsidR="00F334A1" w:rsidRDefault="00F334A1" w:rsidP="0074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25EE" w14:textId="77777777" w:rsidR="00B747A6" w:rsidRDefault="00B747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F7462" w14:textId="77777777" w:rsidR="00B747A6" w:rsidRDefault="00B747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1EFD" w14:textId="77777777" w:rsidR="00B747A6" w:rsidRDefault="00B74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1E4"/>
    <w:multiLevelType w:val="hybridMultilevel"/>
    <w:tmpl w:val="2C02D3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C156CE"/>
    <w:multiLevelType w:val="hybridMultilevel"/>
    <w:tmpl w:val="E22C57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E404F"/>
    <w:multiLevelType w:val="hybridMultilevel"/>
    <w:tmpl w:val="9138BAD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E63BA2"/>
    <w:multiLevelType w:val="hybridMultilevel"/>
    <w:tmpl w:val="0988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503272"/>
    <w:multiLevelType w:val="hybridMultilevel"/>
    <w:tmpl w:val="1C762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696888"/>
    <w:multiLevelType w:val="hybridMultilevel"/>
    <w:tmpl w:val="0FBE2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D81A0E"/>
    <w:multiLevelType w:val="hybridMultilevel"/>
    <w:tmpl w:val="9EF45F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9D2017"/>
    <w:multiLevelType w:val="hybridMultilevel"/>
    <w:tmpl w:val="A79E04F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42370B"/>
    <w:multiLevelType w:val="hybridMultilevel"/>
    <w:tmpl w:val="AEF8CE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EE7E11"/>
    <w:multiLevelType w:val="hybridMultilevel"/>
    <w:tmpl w:val="5F584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D97B67"/>
    <w:multiLevelType w:val="hybridMultilevel"/>
    <w:tmpl w:val="DC462D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C93E7A"/>
    <w:multiLevelType w:val="hybridMultilevel"/>
    <w:tmpl w:val="25D0F1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79507A"/>
    <w:multiLevelType w:val="hybridMultilevel"/>
    <w:tmpl w:val="A6A6C0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5E130A"/>
    <w:multiLevelType w:val="hybridMultilevel"/>
    <w:tmpl w:val="261094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97787"/>
    <w:multiLevelType w:val="hybridMultilevel"/>
    <w:tmpl w:val="92F2C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6C11D0"/>
    <w:multiLevelType w:val="hybridMultilevel"/>
    <w:tmpl w:val="29FACC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0C047A"/>
    <w:multiLevelType w:val="hybridMultilevel"/>
    <w:tmpl w:val="E4809E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A67CB5"/>
    <w:multiLevelType w:val="hybridMultilevel"/>
    <w:tmpl w:val="DF6CE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CA5979"/>
    <w:multiLevelType w:val="hybridMultilevel"/>
    <w:tmpl w:val="6A863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81589F"/>
    <w:multiLevelType w:val="hybridMultilevel"/>
    <w:tmpl w:val="B4F0D066"/>
    <w:lvl w:ilvl="0" w:tplc="6262B060">
      <w:start w:val="1"/>
      <w:numFmt w:val="upperRoman"/>
      <w:lvlText w:val="%1."/>
      <w:lvlJc w:val="right"/>
      <w:pPr>
        <w:ind w:left="720" w:hanging="360"/>
      </w:pPr>
      <w:rPr>
        <w:sz w:val="24"/>
        <w:szCs w:val="3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19C46A9"/>
    <w:multiLevelType w:val="hybridMultilevel"/>
    <w:tmpl w:val="FE827FDE"/>
    <w:lvl w:ilvl="0" w:tplc="273EE9B0">
      <w:start w:val="1"/>
      <w:numFmt w:val="upperLetter"/>
      <w:lvlText w:val="%1."/>
      <w:lvlJc w:val="left"/>
      <w:pPr>
        <w:ind w:left="720" w:hanging="360"/>
      </w:pPr>
      <w:rPr>
        <w:b w:val="0"/>
        <w:bCs w:val="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1438177">
    <w:abstractNumId w:val="6"/>
  </w:num>
  <w:num w:numId="2" w16cid:durableId="459424149">
    <w:abstractNumId w:val="13"/>
  </w:num>
  <w:num w:numId="3" w16cid:durableId="1083840317">
    <w:abstractNumId w:val="16"/>
  </w:num>
  <w:num w:numId="4" w16cid:durableId="1204899217">
    <w:abstractNumId w:val="11"/>
  </w:num>
  <w:num w:numId="5" w16cid:durableId="1616711462">
    <w:abstractNumId w:val="12"/>
  </w:num>
  <w:num w:numId="6" w16cid:durableId="21976273">
    <w:abstractNumId w:val="3"/>
  </w:num>
  <w:num w:numId="7" w16cid:durableId="579026416">
    <w:abstractNumId w:val="0"/>
  </w:num>
  <w:num w:numId="8" w16cid:durableId="1074471241">
    <w:abstractNumId w:val="10"/>
  </w:num>
  <w:num w:numId="9" w16cid:durableId="616058652">
    <w:abstractNumId w:val="7"/>
  </w:num>
  <w:num w:numId="10" w16cid:durableId="263926389">
    <w:abstractNumId w:val="15"/>
  </w:num>
  <w:num w:numId="11" w16cid:durableId="954563011">
    <w:abstractNumId w:val="4"/>
  </w:num>
  <w:num w:numId="12" w16cid:durableId="27222320">
    <w:abstractNumId w:val="9"/>
  </w:num>
  <w:num w:numId="13" w16cid:durableId="1040714583">
    <w:abstractNumId w:val="14"/>
  </w:num>
  <w:num w:numId="14" w16cid:durableId="1300722027">
    <w:abstractNumId w:val="18"/>
  </w:num>
  <w:num w:numId="15" w16cid:durableId="545681674">
    <w:abstractNumId w:val="17"/>
  </w:num>
  <w:num w:numId="16" w16cid:durableId="609050913">
    <w:abstractNumId w:val="1"/>
  </w:num>
  <w:num w:numId="17" w16cid:durableId="19385603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7828431">
    <w:abstractNumId w:val="8"/>
  </w:num>
  <w:num w:numId="19" w16cid:durableId="89011618">
    <w:abstractNumId w:val="5"/>
  </w:num>
  <w:num w:numId="20" w16cid:durableId="1207061558">
    <w:abstractNumId w:val="20"/>
  </w:num>
  <w:num w:numId="21" w16cid:durableId="1423454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yNjYwNTc1tTQwNjBW0lEKTi0uzszPAykwMqkFAGv4QWMtAAAA"/>
  </w:docVars>
  <w:rsids>
    <w:rsidRoot w:val="00EE1066"/>
    <w:rsid w:val="0000130C"/>
    <w:rsid w:val="00011817"/>
    <w:rsid w:val="00013D0B"/>
    <w:rsid w:val="00057233"/>
    <w:rsid w:val="000732AF"/>
    <w:rsid w:val="00093584"/>
    <w:rsid w:val="000A754F"/>
    <w:rsid w:val="000A7B96"/>
    <w:rsid w:val="000D3C70"/>
    <w:rsid w:val="000D6BCA"/>
    <w:rsid w:val="000E525F"/>
    <w:rsid w:val="000E618B"/>
    <w:rsid w:val="00100A98"/>
    <w:rsid w:val="00106BDD"/>
    <w:rsid w:val="00107392"/>
    <w:rsid w:val="0012502C"/>
    <w:rsid w:val="00132F03"/>
    <w:rsid w:val="00165052"/>
    <w:rsid w:val="001A0665"/>
    <w:rsid w:val="001B6BC5"/>
    <w:rsid w:val="001D44C5"/>
    <w:rsid w:val="001E356B"/>
    <w:rsid w:val="001E57FD"/>
    <w:rsid w:val="001F34CA"/>
    <w:rsid w:val="00256971"/>
    <w:rsid w:val="00277522"/>
    <w:rsid w:val="002926B4"/>
    <w:rsid w:val="002A22BF"/>
    <w:rsid w:val="002C2B7F"/>
    <w:rsid w:val="002D3F09"/>
    <w:rsid w:val="002D7F61"/>
    <w:rsid w:val="002F59B9"/>
    <w:rsid w:val="00317F7B"/>
    <w:rsid w:val="00320B5D"/>
    <w:rsid w:val="0033562C"/>
    <w:rsid w:val="003558EA"/>
    <w:rsid w:val="0036360D"/>
    <w:rsid w:val="003856D2"/>
    <w:rsid w:val="003A08F0"/>
    <w:rsid w:val="003A3B3C"/>
    <w:rsid w:val="003C23C1"/>
    <w:rsid w:val="003D107F"/>
    <w:rsid w:val="003D631D"/>
    <w:rsid w:val="003E06C4"/>
    <w:rsid w:val="004165F2"/>
    <w:rsid w:val="0046276E"/>
    <w:rsid w:val="00464C5A"/>
    <w:rsid w:val="004650BF"/>
    <w:rsid w:val="0047250B"/>
    <w:rsid w:val="004B009B"/>
    <w:rsid w:val="004B546B"/>
    <w:rsid w:val="004C184B"/>
    <w:rsid w:val="005032CD"/>
    <w:rsid w:val="00506898"/>
    <w:rsid w:val="00524DCD"/>
    <w:rsid w:val="005256BB"/>
    <w:rsid w:val="0053265A"/>
    <w:rsid w:val="005F48EF"/>
    <w:rsid w:val="00606FA9"/>
    <w:rsid w:val="006168E2"/>
    <w:rsid w:val="0063030E"/>
    <w:rsid w:val="006414AE"/>
    <w:rsid w:val="00641E2F"/>
    <w:rsid w:val="006518FB"/>
    <w:rsid w:val="00672D4E"/>
    <w:rsid w:val="00687DB9"/>
    <w:rsid w:val="006903D1"/>
    <w:rsid w:val="00691365"/>
    <w:rsid w:val="006D1458"/>
    <w:rsid w:val="006E61AD"/>
    <w:rsid w:val="007148ED"/>
    <w:rsid w:val="00717477"/>
    <w:rsid w:val="00724B3B"/>
    <w:rsid w:val="007259F1"/>
    <w:rsid w:val="00726B97"/>
    <w:rsid w:val="00742CD4"/>
    <w:rsid w:val="00751500"/>
    <w:rsid w:val="00756764"/>
    <w:rsid w:val="00795782"/>
    <w:rsid w:val="007A5249"/>
    <w:rsid w:val="007B77D0"/>
    <w:rsid w:val="00816371"/>
    <w:rsid w:val="00823CC0"/>
    <w:rsid w:val="008354B1"/>
    <w:rsid w:val="008371F7"/>
    <w:rsid w:val="00842FA6"/>
    <w:rsid w:val="008703C6"/>
    <w:rsid w:val="008B5896"/>
    <w:rsid w:val="008D5F51"/>
    <w:rsid w:val="008F7994"/>
    <w:rsid w:val="00925234"/>
    <w:rsid w:val="00931AF7"/>
    <w:rsid w:val="00976405"/>
    <w:rsid w:val="00987654"/>
    <w:rsid w:val="00990159"/>
    <w:rsid w:val="00992FEE"/>
    <w:rsid w:val="009C7265"/>
    <w:rsid w:val="009E0CEF"/>
    <w:rsid w:val="009F66B4"/>
    <w:rsid w:val="00A0219A"/>
    <w:rsid w:val="00A0456C"/>
    <w:rsid w:val="00A60438"/>
    <w:rsid w:val="00A713CC"/>
    <w:rsid w:val="00A90269"/>
    <w:rsid w:val="00A95CFA"/>
    <w:rsid w:val="00A97783"/>
    <w:rsid w:val="00AA29C1"/>
    <w:rsid w:val="00AA5924"/>
    <w:rsid w:val="00AA68F3"/>
    <w:rsid w:val="00AB02B3"/>
    <w:rsid w:val="00AB4A62"/>
    <w:rsid w:val="00AE26EC"/>
    <w:rsid w:val="00AE696E"/>
    <w:rsid w:val="00B141F7"/>
    <w:rsid w:val="00B226AE"/>
    <w:rsid w:val="00B26A9A"/>
    <w:rsid w:val="00B3301B"/>
    <w:rsid w:val="00B335BC"/>
    <w:rsid w:val="00B62B1E"/>
    <w:rsid w:val="00B7127B"/>
    <w:rsid w:val="00B747A6"/>
    <w:rsid w:val="00B74CDE"/>
    <w:rsid w:val="00B81F1B"/>
    <w:rsid w:val="00BA07F2"/>
    <w:rsid w:val="00BA2BE4"/>
    <w:rsid w:val="00BB4635"/>
    <w:rsid w:val="00BD22E4"/>
    <w:rsid w:val="00BD3E18"/>
    <w:rsid w:val="00BE69A6"/>
    <w:rsid w:val="00BF599C"/>
    <w:rsid w:val="00C07802"/>
    <w:rsid w:val="00C230E7"/>
    <w:rsid w:val="00C36A17"/>
    <w:rsid w:val="00C53B75"/>
    <w:rsid w:val="00C82043"/>
    <w:rsid w:val="00C97CDC"/>
    <w:rsid w:val="00CF24A0"/>
    <w:rsid w:val="00D06CD3"/>
    <w:rsid w:val="00D23E6A"/>
    <w:rsid w:val="00D27833"/>
    <w:rsid w:val="00D33A41"/>
    <w:rsid w:val="00D33ACF"/>
    <w:rsid w:val="00D46969"/>
    <w:rsid w:val="00D76A90"/>
    <w:rsid w:val="00D968F4"/>
    <w:rsid w:val="00DA1DBC"/>
    <w:rsid w:val="00DA3478"/>
    <w:rsid w:val="00DB5072"/>
    <w:rsid w:val="00DB691A"/>
    <w:rsid w:val="00DD2D13"/>
    <w:rsid w:val="00DE042F"/>
    <w:rsid w:val="00DF3A99"/>
    <w:rsid w:val="00DF5F3C"/>
    <w:rsid w:val="00E11969"/>
    <w:rsid w:val="00E13F72"/>
    <w:rsid w:val="00E35C4B"/>
    <w:rsid w:val="00E36D86"/>
    <w:rsid w:val="00E62203"/>
    <w:rsid w:val="00E7724E"/>
    <w:rsid w:val="00EC1F12"/>
    <w:rsid w:val="00EE1066"/>
    <w:rsid w:val="00F2123B"/>
    <w:rsid w:val="00F31A6A"/>
    <w:rsid w:val="00F334A1"/>
    <w:rsid w:val="00F44C6B"/>
    <w:rsid w:val="00F604DA"/>
    <w:rsid w:val="00F771FA"/>
    <w:rsid w:val="00F841FD"/>
    <w:rsid w:val="00F86F76"/>
    <w:rsid w:val="00F91064"/>
    <w:rsid w:val="00FA455A"/>
    <w:rsid w:val="00FC158B"/>
    <w:rsid w:val="00FC239E"/>
    <w:rsid w:val="00FD5E58"/>
    <w:rsid w:val="00FD7A65"/>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4B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32F03"/>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autoRedefine/>
    <w:uiPriority w:val="9"/>
    <w:unhideWhenUsed/>
    <w:qFormat/>
    <w:rsid w:val="00691365"/>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842FA6"/>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E35C4B"/>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E1066"/>
    <w:pPr>
      <w:spacing w:after="300" w:line="240" w:lineRule="auto"/>
      <w:contextualSpacing/>
      <w:jc w:val="center"/>
    </w:pPr>
    <w:rPr>
      <w:rFonts w:eastAsiaTheme="majorEastAsia" w:cstheme="majorBidi"/>
      <w:caps/>
      <w:spacing w:val="5"/>
      <w:kern w:val="28"/>
      <w:sz w:val="40"/>
      <w:szCs w:val="52"/>
    </w:rPr>
  </w:style>
  <w:style w:type="character" w:customStyle="1" w:styleId="TitleChar">
    <w:name w:val="Title Char"/>
    <w:basedOn w:val="DefaultParagraphFont"/>
    <w:link w:val="Title"/>
    <w:uiPriority w:val="10"/>
    <w:rsid w:val="00EE1066"/>
    <w:rPr>
      <w:rFonts w:ascii="Times New Roman" w:eastAsiaTheme="majorEastAsia" w:hAnsi="Times New Roman" w:cstheme="majorBidi"/>
      <w:caps/>
      <w:spacing w:val="5"/>
      <w:kern w:val="28"/>
      <w:sz w:val="40"/>
      <w:szCs w:val="52"/>
    </w:rPr>
  </w:style>
  <w:style w:type="character" w:customStyle="1" w:styleId="Heading1Char">
    <w:name w:val="Heading 1 Char"/>
    <w:basedOn w:val="DefaultParagraphFont"/>
    <w:link w:val="Heading1"/>
    <w:uiPriority w:val="9"/>
    <w:rsid w:val="00132F03"/>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691365"/>
    <w:rPr>
      <w:rFonts w:ascii="Times New Roman" w:eastAsiaTheme="majorEastAsia" w:hAnsi="Times New Roman" w:cstheme="majorBidi"/>
      <w:b/>
      <w:bCs/>
      <w:sz w:val="28"/>
      <w:szCs w:val="26"/>
    </w:rPr>
  </w:style>
  <w:style w:type="paragraph" w:styleId="BalloonText">
    <w:name w:val="Balloon Text"/>
    <w:basedOn w:val="Normal"/>
    <w:link w:val="BalloonTextChar"/>
    <w:uiPriority w:val="99"/>
    <w:semiHidden/>
    <w:unhideWhenUsed/>
    <w:rsid w:val="009E0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CEF"/>
    <w:rPr>
      <w:rFonts w:ascii="Tahoma" w:hAnsi="Tahoma" w:cs="Tahoma"/>
      <w:sz w:val="16"/>
      <w:szCs w:val="16"/>
    </w:rPr>
  </w:style>
  <w:style w:type="character" w:customStyle="1" w:styleId="Heading3Char">
    <w:name w:val="Heading 3 Char"/>
    <w:basedOn w:val="DefaultParagraphFont"/>
    <w:link w:val="Heading3"/>
    <w:uiPriority w:val="9"/>
    <w:rsid w:val="00842FA6"/>
    <w:rPr>
      <w:rFonts w:ascii="Times New Roman" w:eastAsiaTheme="majorEastAsia" w:hAnsi="Times New Roman" w:cstheme="majorBidi"/>
      <w:b/>
      <w:bCs/>
      <w:sz w:val="24"/>
    </w:rPr>
  </w:style>
  <w:style w:type="paragraph" w:styleId="ListParagraph">
    <w:name w:val="List Paragraph"/>
    <w:basedOn w:val="Normal"/>
    <w:uiPriority w:val="34"/>
    <w:qFormat/>
    <w:rsid w:val="00B81F1B"/>
    <w:pPr>
      <w:ind w:left="720"/>
      <w:contextualSpacing/>
    </w:pPr>
  </w:style>
  <w:style w:type="paragraph" w:styleId="TOCHeading">
    <w:name w:val="TOC Heading"/>
    <w:basedOn w:val="Heading1"/>
    <w:next w:val="Normal"/>
    <w:uiPriority w:val="39"/>
    <w:unhideWhenUsed/>
    <w:qFormat/>
    <w:rsid w:val="00742CD4"/>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742CD4"/>
    <w:pPr>
      <w:spacing w:after="100"/>
    </w:pPr>
  </w:style>
  <w:style w:type="paragraph" w:styleId="TOC2">
    <w:name w:val="toc 2"/>
    <w:basedOn w:val="Normal"/>
    <w:next w:val="Normal"/>
    <w:autoRedefine/>
    <w:uiPriority w:val="39"/>
    <w:unhideWhenUsed/>
    <w:rsid w:val="00742CD4"/>
    <w:pPr>
      <w:spacing w:after="100"/>
      <w:ind w:left="240"/>
    </w:pPr>
  </w:style>
  <w:style w:type="paragraph" w:styleId="TOC3">
    <w:name w:val="toc 3"/>
    <w:basedOn w:val="Normal"/>
    <w:next w:val="Normal"/>
    <w:autoRedefine/>
    <w:uiPriority w:val="39"/>
    <w:unhideWhenUsed/>
    <w:rsid w:val="00742CD4"/>
    <w:pPr>
      <w:spacing w:after="100"/>
      <w:ind w:left="480"/>
    </w:pPr>
  </w:style>
  <w:style w:type="character" w:styleId="Hyperlink">
    <w:name w:val="Hyperlink"/>
    <w:basedOn w:val="DefaultParagraphFont"/>
    <w:uiPriority w:val="99"/>
    <w:unhideWhenUsed/>
    <w:rsid w:val="00742CD4"/>
    <w:rPr>
      <w:color w:val="0563C1" w:themeColor="hyperlink"/>
      <w:u w:val="single"/>
    </w:rPr>
  </w:style>
  <w:style w:type="paragraph" w:styleId="Header">
    <w:name w:val="header"/>
    <w:basedOn w:val="Normal"/>
    <w:link w:val="HeaderChar"/>
    <w:uiPriority w:val="99"/>
    <w:unhideWhenUsed/>
    <w:rsid w:val="00742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D4"/>
    <w:rPr>
      <w:rFonts w:ascii="Times New Roman" w:hAnsi="Times New Roman"/>
      <w:sz w:val="24"/>
    </w:rPr>
  </w:style>
  <w:style w:type="paragraph" w:styleId="Footer">
    <w:name w:val="footer"/>
    <w:basedOn w:val="Normal"/>
    <w:link w:val="FooterChar"/>
    <w:uiPriority w:val="99"/>
    <w:unhideWhenUsed/>
    <w:rsid w:val="00742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D4"/>
    <w:rPr>
      <w:rFonts w:ascii="Times New Roman" w:hAnsi="Times New Roman"/>
      <w:sz w:val="24"/>
    </w:rPr>
  </w:style>
  <w:style w:type="character" w:customStyle="1" w:styleId="selectable">
    <w:name w:val="selectable"/>
    <w:basedOn w:val="DefaultParagraphFont"/>
    <w:rsid w:val="007148ED"/>
  </w:style>
  <w:style w:type="character" w:customStyle="1" w:styleId="Heading4Char">
    <w:name w:val="Heading 4 Char"/>
    <w:basedOn w:val="DefaultParagraphFont"/>
    <w:link w:val="Heading4"/>
    <w:uiPriority w:val="9"/>
    <w:semiHidden/>
    <w:rsid w:val="00E35C4B"/>
    <w:rPr>
      <w:rFonts w:ascii="Times New Roman" w:eastAsiaTheme="majorEastAsia" w:hAnsi="Times New Roman" w:cstheme="majorBidi"/>
      <w:i/>
      <w:iCs/>
      <w:sz w:val="24"/>
    </w:rPr>
  </w:style>
  <w:style w:type="character" w:styleId="PlaceholderText">
    <w:name w:val="Placeholder Text"/>
    <w:basedOn w:val="DefaultParagraphFont"/>
    <w:uiPriority w:val="99"/>
    <w:semiHidden/>
    <w:rsid w:val="00726B97"/>
    <w:rPr>
      <w:color w:val="808080"/>
    </w:rPr>
  </w:style>
  <w:style w:type="table" w:styleId="TableGrid">
    <w:name w:val="Table Grid"/>
    <w:basedOn w:val="TableNormal"/>
    <w:uiPriority w:val="39"/>
    <w:rsid w:val="00D23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371F7"/>
    <w:rPr>
      <w:color w:val="605E5C"/>
      <w:shd w:val="clear" w:color="auto" w:fill="E1DFDD"/>
    </w:rPr>
  </w:style>
  <w:style w:type="table" w:styleId="GridTable4-Accent1">
    <w:name w:val="Grid Table 4 Accent 1"/>
    <w:basedOn w:val="TableNormal"/>
    <w:uiPriority w:val="49"/>
    <w:rsid w:val="001B6BC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6619">
      <w:bodyDiv w:val="1"/>
      <w:marLeft w:val="0"/>
      <w:marRight w:val="0"/>
      <w:marTop w:val="0"/>
      <w:marBottom w:val="0"/>
      <w:divBdr>
        <w:top w:val="none" w:sz="0" w:space="0" w:color="auto"/>
        <w:left w:val="none" w:sz="0" w:space="0" w:color="auto"/>
        <w:bottom w:val="none" w:sz="0" w:space="0" w:color="auto"/>
        <w:right w:val="none" w:sz="0" w:space="0" w:color="auto"/>
      </w:divBdr>
    </w:div>
    <w:div w:id="317468072">
      <w:bodyDiv w:val="1"/>
      <w:marLeft w:val="0"/>
      <w:marRight w:val="0"/>
      <w:marTop w:val="0"/>
      <w:marBottom w:val="0"/>
      <w:divBdr>
        <w:top w:val="none" w:sz="0" w:space="0" w:color="auto"/>
        <w:left w:val="none" w:sz="0" w:space="0" w:color="auto"/>
        <w:bottom w:val="none" w:sz="0" w:space="0" w:color="auto"/>
        <w:right w:val="none" w:sz="0" w:space="0" w:color="auto"/>
      </w:divBdr>
    </w:div>
    <w:div w:id="447310562">
      <w:bodyDiv w:val="1"/>
      <w:marLeft w:val="0"/>
      <w:marRight w:val="0"/>
      <w:marTop w:val="0"/>
      <w:marBottom w:val="0"/>
      <w:divBdr>
        <w:top w:val="none" w:sz="0" w:space="0" w:color="auto"/>
        <w:left w:val="none" w:sz="0" w:space="0" w:color="auto"/>
        <w:bottom w:val="none" w:sz="0" w:space="0" w:color="auto"/>
        <w:right w:val="none" w:sz="0" w:space="0" w:color="auto"/>
      </w:divBdr>
    </w:div>
    <w:div w:id="1084768404">
      <w:bodyDiv w:val="1"/>
      <w:marLeft w:val="0"/>
      <w:marRight w:val="0"/>
      <w:marTop w:val="0"/>
      <w:marBottom w:val="0"/>
      <w:divBdr>
        <w:top w:val="none" w:sz="0" w:space="0" w:color="auto"/>
        <w:left w:val="none" w:sz="0" w:space="0" w:color="auto"/>
        <w:bottom w:val="none" w:sz="0" w:space="0" w:color="auto"/>
        <w:right w:val="none" w:sz="0" w:space="0" w:color="auto"/>
      </w:divBdr>
    </w:div>
    <w:div w:id="112095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97703-C4CA-417D-9EFD-4012EFBD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2022-05-17T16:24:00Z</dcterms:created>
  <dcterms:modified xsi:type="dcterms:W3CDTF">2022-05-19T11:29:00Z</dcterms:modified>
</cp:coreProperties>
</file>