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B40843" w14:textId="77777777" w:rsidR="00A54B0F" w:rsidRDefault="00A54B0F" w:rsidP="00A54B0F">
      <w:pPr>
        <w:jc w:val="center"/>
        <w:rPr>
          <w:rFonts w:ascii="Arial" w:hAnsi="Arial" w:cs="Arial"/>
          <w:b/>
          <w:sz w:val="24"/>
          <w:szCs w:val="24"/>
        </w:rPr>
      </w:pPr>
    </w:p>
    <w:p w14:paraId="62ADCC67" w14:textId="77777777" w:rsidR="00A54B0F" w:rsidRDefault="00A54B0F" w:rsidP="00A54B0F">
      <w:pPr>
        <w:jc w:val="center"/>
        <w:rPr>
          <w:rFonts w:ascii="Arial" w:hAnsi="Arial" w:cs="Arial"/>
          <w:b/>
          <w:sz w:val="24"/>
          <w:szCs w:val="24"/>
        </w:rPr>
      </w:pPr>
    </w:p>
    <w:p w14:paraId="408771FF" w14:textId="77777777" w:rsidR="00A54B0F" w:rsidRDefault="00A54B0F" w:rsidP="00A54B0F">
      <w:pPr>
        <w:jc w:val="center"/>
        <w:rPr>
          <w:rFonts w:ascii="Arial" w:hAnsi="Arial" w:cs="Arial"/>
          <w:b/>
          <w:sz w:val="24"/>
          <w:szCs w:val="24"/>
        </w:rPr>
      </w:pPr>
    </w:p>
    <w:p w14:paraId="272D10AA" w14:textId="77777777" w:rsidR="00A54B0F" w:rsidRDefault="00A54B0F" w:rsidP="00A54B0F">
      <w:pPr>
        <w:jc w:val="center"/>
        <w:rPr>
          <w:rFonts w:ascii="Arial" w:hAnsi="Arial" w:cs="Arial"/>
          <w:b/>
          <w:sz w:val="24"/>
          <w:szCs w:val="24"/>
        </w:rPr>
      </w:pPr>
    </w:p>
    <w:p w14:paraId="06E5191C" w14:textId="77777777" w:rsidR="00A54B0F" w:rsidRDefault="00A54B0F" w:rsidP="00A54B0F">
      <w:pPr>
        <w:jc w:val="center"/>
        <w:rPr>
          <w:rFonts w:ascii="Arial" w:hAnsi="Arial" w:cs="Arial"/>
          <w:b/>
          <w:sz w:val="24"/>
          <w:szCs w:val="24"/>
        </w:rPr>
      </w:pPr>
    </w:p>
    <w:p w14:paraId="4F754E53" w14:textId="44F92CAB" w:rsidR="00F2411D" w:rsidRPr="00F2411D" w:rsidRDefault="00A54B0F" w:rsidP="00F2411D">
      <w:pPr>
        <w:jc w:val="center"/>
        <w:rPr>
          <w:rFonts w:ascii="Arial" w:hAnsi="Arial" w:cs="Arial"/>
          <w:b/>
          <w:sz w:val="24"/>
          <w:szCs w:val="24"/>
          <w:u w:val="single"/>
        </w:rPr>
      </w:pPr>
      <w:r w:rsidRPr="00EE1F27">
        <w:rPr>
          <w:rFonts w:ascii="Arial" w:hAnsi="Arial" w:cs="Arial"/>
          <w:b/>
          <w:sz w:val="24"/>
          <w:szCs w:val="24"/>
          <w:u w:val="single"/>
        </w:rPr>
        <w:t>Advancing Integrated Person-Centred Health and Social Care in the UK: A Critical Evaluation of Digital Transformation, Data Sharing, and Partnership Approaches to Reduce Inequalities and Strengthen System Resilienc</w:t>
      </w:r>
    </w:p>
    <w:p w14:paraId="78B3AEBF" w14:textId="3C2C0721" w:rsidR="00A54B0F" w:rsidRPr="00EE1F27" w:rsidRDefault="00F2411D" w:rsidP="00F2411D">
      <w:pPr>
        <w:spacing w:line="360" w:lineRule="auto"/>
        <w:jc w:val="center"/>
        <w:rPr>
          <w:rFonts w:ascii="Arial" w:eastAsia="Arial" w:hAnsi="Arial" w:cs="Arial"/>
          <w:b/>
          <w:color w:val="000000" w:themeColor="text1"/>
        </w:rPr>
      </w:pPr>
      <w:r>
        <w:rPr>
          <w:rFonts w:ascii="Arial" w:eastAsia="Arial" w:hAnsi="Arial" w:cs="Arial"/>
          <w:b/>
          <w:color w:val="000000" w:themeColor="text1"/>
        </w:rPr>
        <w:t>Name : Majida Waseem</w:t>
      </w:r>
    </w:p>
    <w:p w14:paraId="6E80A4EE" w14:textId="77777777" w:rsidR="00F2411D" w:rsidRDefault="00A54B0F" w:rsidP="00F2411D">
      <w:pPr>
        <w:spacing w:line="360" w:lineRule="auto"/>
        <w:jc w:val="center"/>
        <w:rPr>
          <w:rFonts w:ascii="Arial" w:eastAsia="Arial" w:hAnsi="Arial" w:cs="Arial"/>
          <w:b/>
          <w:color w:val="000000" w:themeColor="text1"/>
        </w:rPr>
      </w:pPr>
      <w:r w:rsidRPr="00EE1F27">
        <w:rPr>
          <w:rFonts w:ascii="Arial" w:eastAsia="Arial" w:hAnsi="Arial" w:cs="Arial"/>
          <w:b/>
          <w:color w:val="000000" w:themeColor="text1"/>
        </w:rPr>
        <w:t>Student number</w:t>
      </w:r>
      <w:r w:rsidR="00F2411D">
        <w:rPr>
          <w:rFonts w:ascii="Arial" w:eastAsia="Arial" w:hAnsi="Arial" w:cs="Arial"/>
          <w:b/>
          <w:color w:val="000000" w:themeColor="text1"/>
        </w:rPr>
        <w:t>: 2321115</w:t>
      </w:r>
    </w:p>
    <w:p w14:paraId="2E9573D3" w14:textId="0BB30983" w:rsidR="00A54B0F" w:rsidRDefault="00A54B0F" w:rsidP="00F2411D">
      <w:pPr>
        <w:spacing w:line="360" w:lineRule="auto"/>
        <w:jc w:val="center"/>
        <w:rPr>
          <w:rFonts w:ascii="Arial" w:eastAsia="Arial" w:hAnsi="Arial" w:cs="Arial"/>
          <w:b/>
          <w:color w:val="000000" w:themeColor="text1"/>
        </w:rPr>
      </w:pPr>
      <w:r w:rsidRPr="00EE1F27">
        <w:rPr>
          <w:rFonts w:ascii="Arial" w:eastAsia="Arial" w:hAnsi="Arial" w:cs="Arial"/>
          <w:b/>
          <w:color w:val="000000" w:themeColor="text1"/>
        </w:rPr>
        <w:t>The module code</w:t>
      </w:r>
      <w:r w:rsidR="00F2411D">
        <w:rPr>
          <w:rFonts w:ascii="Arial" w:eastAsia="Arial" w:hAnsi="Arial" w:cs="Arial"/>
          <w:b/>
          <w:color w:val="000000" w:themeColor="text1"/>
        </w:rPr>
        <w:t>: BMHP 5016</w:t>
      </w:r>
    </w:p>
    <w:p w14:paraId="4861E6AB" w14:textId="69A7BD8E" w:rsidR="00F2411D" w:rsidRPr="00EE1F27" w:rsidRDefault="00F2411D" w:rsidP="00A54B0F">
      <w:pPr>
        <w:jc w:val="center"/>
        <w:rPr>
          <w:rFonts w:ascii="Arial" w:eastAsia="Arial" w:hAnsi="Arial" w:cs="Arial"/>
          <w:b/>
          <w:color w:val="000000" w:themeColor="text1"/>
        </w:rPr>
      </w:pPr>
      <w:r>
        <w:rPr>
          <w:rFonts w:ascii="Arial" w:eastAsia="Arial" w:hAnsi="Arial" w:cs="Arial"/>
          <w:b/>
          <w:color w:val="000000" w:themeColor="text1"/>
        </w:rPr>
        <w:t>Module title principles of health and social Care Practice</w:t>
      </w:r>
    </w:p>
    <w:p w14:paraId="368925B8" w14:textId="1CAAF9C0" w:rsidR="00A54B0F" w:rsidRPr="00EE1F27" w:rsidRDefault="00F2411D" w:rsidP="00A54B0F">
      <w:pPr>
        <w:jc w:val="center"/>
        <w:rPr>
          <w:rFonts w:ascii="Arial" w:eastAsia="Arial" w:hAnsi="Arial" w:cs="Arial"/>
          <w:b/>
          <w:color w:val="000000" w:themeColor="text1"/>
        </w:rPr>
      </w:pPr>
      <w:r>
        <w:rPr>
          <w:rFonts w:ascii="Arial" w:eastAsia="Arial" w:hAnsi="Arial" w:cs="Arial"/>
          <w:b/>
          <w:color w:val="000000" w:themeColor="text1"/>
        </w:rPr>
        <w:t>Tutor name Helon Person</w:t>
      </w:r>
      <w:r w:rsidR="00A54B0F" w:rsidRPr="00EE1F27">
        <w:rPr>
          <w:rFonts w:ascii="Arial" w:eastAsia="Arial" w:hAnsi="Arial" w:cs="Arial"/>
          <w:b/>
          <w:color w:val="000000" w:themeColor="text1"/>
        </w:rPr>
        <w:br w:type="page"/>
      </w:r>
    </w:p>
    <w:sdt>
      <w:sdtPr>
        <w:id w:val="-624540776"/>
        <w:docPartObj>
          <w:docPartGallery w:val="Table of Contents"/>
          <w:docPartUnique/>
        </w:docPartObj>
      </w:sdtPr>
      <w:sdtEndPr>
        <w:rPr>
          <w:b/>
          <w:bCs/>
          <w:noProof/>
        </w:rPr>
      </w:sdtEndPr>
      <w:sdtContent>
        <w:p w14:paraId="4678C2EF" w14:textId="77777777" w:rsidR="00A80EE1" w:rsidRPr="00EE1F27" w:rsidRDefault="00A80EE1" w:rsidP="00C82680">
          <w:pPr>
            <w:jc w:val="center"/>
          </w:pPr>
          <w:r w:rsidRPr="00EE1F27">
            <w:rPr>
              <w:rStyle w:val="Heading1Char"/>
              <w:rFonts w:ascii="Arial" w:hAnsi="Arial" w:cs="Arial"/>
              <w:color w:val="auto"/>
              <w:sz w:val="24"/>
            </w:rPr>
            <w:t>Table of Contents</w:t>
          </w:r>
        </w:p>
        <w:p w14:paraId="21DB226B" w14:textId="77777777" w:rsidR="00A80EE1" w:rsidRPr="00EE1F27" w:rsidRDefault="00A80EE1" w:rsidP="00A80EE1">
          <w:pPr>
            <w:pStyle w:val="TOC1"/>
            <w:tabs>
              <w:tab w:val="right" w:leader="dot" w:pos="9350"/>
            </w:tabs>
            <w:spacing w:line="360" w:lineRule="auto"/>
            <w:jc w:val="both"/>
            <w:rPr>
              <w:rFonts w:ascii="Arial" w:hAnsi="Arial" w:cs="Arial"/>
              <w:noProof/>
              <w:sz w:val="24"/>
            </w:rPr>
          </w:pPr>
          <w:r w:rsidRPr="00EE1F27">
            <w:fldChar w:fldCharType="begin"/>
          </w:r>
          <w:r w:rsidRPr="00EE1F27">
            <w:instrText xml:space="preserve"> TOC \o "1-3" \h \z \u </w:instrText>
          </w:r>
          <w:r w:rsidRPr="00EE1F27">
            <w:fldChar w:fldCharType="separate"/>
          </w:r>
          <w:hyperlink w:anchor="_Toc202364634" w:history="1">
            <w:r w:rsidRPr="00EE1F27">
              <w:rPr>
                <w:rStyle w:val="Hyperlink"/>
                <w:rFonts w:ascii="Arial" w:hAnsi="Arial" w:cs="Arial"/>
                <w:noProof/>
                <w:sz w:val="24"/>
              </w:rPr>
              <w:t>List of figures</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_Toc202364634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3</w:t>
            </w:r>
            <w:r w:rsidRPr="00EE1F27">
              <w:rPr>
                <w:rFonts w:ascii="Arial" w:hAnsi="Arial" w:cs="Arial"/>
                <w:noProof/>
                <w:webHidden/>
                <w:sz w:val="24"/>
              </w:rPr>
              <w:fldChar w:fldCharType="end"/>
            </w:r>
          </w:hyperlink>
        </w:p>
        <w:p w14:paraId="6EC4234F" w14:textId="77777777" w:rsidR="00A80EE1" w:rsidRPr="00EE1F27" w:rsidRDefault="00A80EE1" w:rsidP="00A80EE1">
          <w:pPr>
            <w:pStyle w:val="TOC1"/>
            <w:tabs>
              <w:tab w:val="left" w:pos="440"/>
              <w:tab w:val="right" w:leader="dot" w:pos="9350"/>
            </w:tabs>
            <w:spacing w:line="360" w:lineRule="auto"/>
            <w:jc w:val="both"/>
            <w:rPr>
              <w:rFonts w:ascii="Arial" w:hAnsi="Arial" w:cs="Arial"/>
              <w:noProof/>
              <w:sz w:val="24"/>
            </w:rPr>
          </w:pPr>
          <w:hyperlink w:anchor="_Toc202364635" w:history="1">
            <w:r w:rsidRPr="00EE1F27">
              <w:rPr>
                <w:rStyle w:val="Hyperlink"/>
                <w:rFonts w:ascii="Arial" w:hAnsi="Arial" w:cs="Arial"/>
                <w:noProof/>
                <w:sz w:val="24"/>
              </w:rPr>
              <w:t>1.</w:t>
            </w:r>
            <w:r w:rsidRPr="00EE1F27">
              <w:rPr>
                <w:rFonts w:ascii="Arial" w:hAnsi="Arial" w:cs="Arial"/>
                <w:noProof/>
                <w:sz w:val="24"/>
              </w:rPr>
              <w:tab/>
            </w:r>
            <w:r w:rsidRPr="00EE1F27">
              <w:rPr>
                <w:rStyle w:val="Hyperlink"/>
                <w:rFonts w:ascii="Arial" w:hAnsi="Arial" w:cs="Arial"/>
                <w:noProof/>
                <w:sz w:val="24"/>
              </w:rPr>
              <w:t>Introduction</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_Toc202364635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4</w:t>
            </w:r>
            <w:r w:rsidRPr="00EE1F27">
              <w:rPr>
                <w:rFonts w:ascii="Arial" w:hAnsi="Arial" w:cs="Arial"/>
                <w:noProof/>
                <w:webHidden/>
                <w:sz w:val="24"/>
              </w:rPr>
              <w:fldChar w:fldCharType="end"/>
            </w:r>
          </w:hyperlink>
        </w:p>
        <w:p w14:paraId="758B6FA1" w14:textId="77777777" w:rsidR="00A80EE1" w:rsidRPr="00EE1F27" w:rsidRDefault="00A80EE1" w:rsidP="00A80EE1">
          <w:pPr>
            <w:pStyle w:val="TOC1"/>
            <w:tabs>
              <w:tab w:val="left" w:pos="440"/>
              <w:tab w:val="right" w:leader="dot" w:pos="9350"/>
            </w:tabs>
            <w:spacing w:line="360" w:lineRule="auto"/>
            <w:jc w:val="both"/>
            <w:rPr>
              <w:rFonts w:ascii="Arial" w:hAnsi="Arial" w:cs="Arial"/>
              <w:noProof/>
              <w:sz w:val="24"/>
            </w:rPr>
          </w:pPr>
          <w:hyperlink w:anchor="_Toc202364636" w:history="1">
            <w:r w:rsidRPr="00EE1F27">
              <w:rPr>
                <w:rStyle w:val="Hyperlink"/>
                <w:rFonts w:ascii="Arial" w:hAnsi="Arial" w:cs="Arial"/>
                <w:noProof/>
                <w:sz w:val="24"/>
              </w:rPr>
              <w:t>2.</w:t>
            </w:r>
            <w:r w:rsidRPr="00EE1F27">
              <w:rPr>
                <w:rFonts w:ascii="Arial" w:hAnsi="Arial" w:cs="Arial"/>
                <w:noProof/>
                <w:sz w:val="24"/>
              </w:rPr>
              <w:tab/>
            </w:r>
            <w:r w:rsidRPr="00EE1F27">
              <w:rPr>
                <w:rStyle w:val="Hyperlink"/>
                <w:rFonts w:ascii="Arial" w:hAnsi="Arial" w:cs="Arial"/>
                <w:noProof/>
                <w:sz w:val="24"/>
              </w:rPr>
              <w:t>Person-Centred Care: Definition, Benefits, and Limitations</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_Toc202364636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4</w:t>
            </w:r>
            <w:r w:rsidRPr="00EE1F27">
              <w:rPr>
                <w:rFonts w:ascii="Arial" w:hAnsi="Arial" w:cs="Arial"/>
                <w:noProof/>
                <w:webHidden/>
                <w:sz w:val="24"/>
              </w:rPr>
              <w:fldChar w:fldCharType="end"/>
            </w:r>
          </w:hyperlink>
        </w:p>
        <w:p w14:paraId="01465CEB" w14:textId="77777777" w:rsidR="00A80EE1" w:rsidRPr="00EE1F27" w:rsidRDefault="00A80EE1" w:rsidP="00A80EE1">
          <w:pPr>
            <w:pStyle w:val="TOC1"/>
            <w:tabs>
              <w:tab w:val="left" w:pos="440"/>
              <w:tab w:val="right" w:leader="dot" w:pos="9350"/>
            </w:tabs>
            <w:spacing w:line="360" w:lineRule="auto"/>
            <w:jc w:val="both"/>
            <w:rPr>
              <w:rFonts w:ascii="Arial" w:hAnsi="Arial" w:cs="Arial"/>
              <w:noProof/>
              <w:sz w:val="24"/>
            </w:rPr>
          </w:pPr>
          <w:hyperlink w:anchor="_Toc202364637" w:history="1">
            <w:r w:rsidRPr="00EE1F27">
              <w:rPr>
                <w:rStyle w:val="Hyperlink"/>
                <w:rFonts w:ascii="Arial" w:hAnsi="Arial" w:cs="Arial"/>
                <w:noProof/>
                <w:sz w:val="24"/>
              </w:rPr>
              <w:t>3.</w:t>
            </w:r>
            <w:r w:rsidRPr="00EE1F27">
              <w:rPr>
                <w:rFonts w:ascii="Arial" w:hAnsi="Arial" w:cs="Arial"/>
                <w:noProof/>
                <w:sz w:val="24"/>
              </w:rPr>
              <w:tab/>
            </w:r>
            <w:r w:rsidRPr="00EE1F27">
              <w:rPr>
                <w:rStyle w:val="Hyperlink"/>
                <w:rFonts w:ascii="Arial" w:hAnsi="Arial" w:cs="Arial"/>
                <w:noProof/>
                <w:sz w:val="24"/>
              </w:rPr>
              <w:t>Critical Examination of the Gothenburg Model in Person-Centred Care</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_Toc202364637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5</w:t>
            </w:r>
            <w:r w:rsidRPr="00EE1F27">
              <w:rPr>
                <w:rFonts w:ascii="Arial" w:hAnsi="Arial" w:cs="Arial"/>
                <w:noProof/>
                <w:webHidden/>
                <w:sz w:val="24"/>
              </w:rPr>
              <w:fldChar w:fldCharType="end"/>
            </w:r>
          </w:hyperlink>
        </w:p>
        <w:p w14:paraId="0367465E" w14:textId="77777777" w:rsidR="00A80EE1" w:rsidRPr="00EE1F27" w:rsidRDefault="00A80EE1" w:rsidP="00A80EE1">
          <w:pPr>
            <w:pStyle w:val="TOC1"/>
            <w:tabs>
              <w:tab w:val="left" w:pos="440"/>
              <w:tab w:val="right" w:leader="dot" w:pos="9350"/>
            </w:tabs>
            <w:spacing w:line="360" w:lineRule="auto"/>
            <w:jc w:val="both"/>
            <w:rPr>
              <w:rFonts w:ascii="Arial" w:hAnsi="Arial" w:cs="Arial"/>
              <w:noProof/>
              <w:sz w:val="24"/>
            </w:rPr>
          </w:pPr>
          <w:hyperlink w:anchor="_Toc202364638" w:history="1">
            <w:r w:rsidRPr="00EE1F27">
              <w:rPr>
                <w:rStyle w:val="Hyperlink"/>
                <w:rFonts w:ascii="Arial" w:hAnsi="Arial" w:cs="Arial"/>
                <w:noProof/>
                <w:sz w:val="24"/>
              </w:rPr>
              <w:t>4.</w:t>
            </w:r>
            <w:r w:rsidRPr="00EE1F27">
              <w:rPr>
                <w:rFonts w:ascii="Arial" w:hAnsi="Arial" w:cs="Arial"/>
                <w:noProof/>
                <w:sz w:val="24"/>
              </w:rPr>
              <w:tab/>
            </w:r>
            <w:r w:rsidRPr="00EE1F27">
              <w:rPr>
                <w:rStyle w:val="Hyperlink"/>
                <w:rFonts w:ascii="Arial" w:hAnsi="Arial" w:cs="Arial"/>
                <w:noProof/>
                <w:sz w:val="24"/>
              </w:rPr>
              <w:t>Ethical Principles and Emerging Challenges in Health and Social Care</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_Toc202364638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6</w:t>
            </w:r>
            <w:r w:rsidRPr="00EE1F27">
              <w:rPr>
                <w:rFonts w:ascii="Arial" w:hAnsi="Arial" w:cs="Arial"/>
                <w:noProof/>
                <w:webHidden/>
                <w:sz w:val="24"/>
              </w:rPr>
              <w:fldChar w:fldCharType="end"/>
            </w:r>
          </w:hyperlink>
        </w:p>
        <w:p w14:paraId="2C0330F5" w14:textId="77777777" w:rsidR="00A80EE1" w:rsidRPr="00EE1F27" w:rsidRDefault="00A80EE1" w:rsidP="00A80EE1">
          <w:pPr>
            <w:pStyle w:val="TOC1"/>
            <w:tabs>
              <w:tab w:val="left" w:pos="440"/>
              <w:tab w:val="right" w:leader="dot" w:pos="9350"/>
            </w:tabs>
            <w:spacing w:line="360" w:lineRule="auto"/>
            <w:jc w:val="both"/>
            <w:rPr>
              <w:rFonts w:ascii="Arial" w:hAnsi="Arial" w:cs="Arial"/>
              <w:noProof/>
              <w:sz w:val="24"/>
            </w:rPr>
          </w:pPr>
          <w:hyperlink w:anchor="_Toc202364639" w:history="1">
            <w:r w:rsidRPr="00EE1F27">
              <w:rPr>
                <w:rStyle w:val="Hyperlink"/>
                <w:rFonts w:ascii="Arial" w:eastAsia="Times New Roman" w:hAnsi="Arial" w:cs="Arial"/>
                <w:noProof/>
                <w:sz w:val="24"/>
              </w:rPr>
              <w:t>5.</w:t>
            </w:r>
            <w:r w:rsidRPr="00EE1F27">
              <w:rPr>
                <w:rFonts w:ascii="Arial" w:hAnsi="Arial" w:cs="Arial"/>
                <w:noProof/>
                <w:sz w:val="24"/>
              </w:rPr>
              <w:tab/>
            </w:r>
            <w:r w:rsidRPr="00EE1F27">
              <w:rPr>
                <w:rStyle w:val="Hyperlink"/>
                <w:rFonts w:ascii="Arial" w:hAnsi="Arial" w:cs="Arial"/>
                <w:noProof/>
                <w:sz w:val="24"/>
              </w:rPr>
              <w:t>Evaluation of Partnership Working in Health and Social Care</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_Toc202364639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8</w:t>
            </w:r>
            <w:r w:rsidRPr="00EE1F27">
              <w:rPr>
                <w:rFonts w:ascii="Arial" w:hAnsi="Arial" w:cs="Arial"/>
                <w:noProof/>
                <w:webHidden/>
                <w:sz w:val="24"/>
              </w:rPr>
              <w:fldChar w:fldCharType="end"/>
            </w:r>
          </w:hyperlink>
        </w:p>
        <w:p w14:paraId="1179FDCF" w14:textId="77777777" w:rsidR="00A80EE1" w:rsidRPr="00EE1F27" w:rsidRDefault="00A80EE1" w:rsidP="00A80EE1">
          <w:pPr>
            <w:pStyle w:val="TOC1"/>
            <w:tabs>
              <w:tab w:val="left" w:pos="440"/>
              <w:tab w:val="right" w:leader="dot" w:pos="9350"/>
            </w:tabs>
            <w:spacing w:line="360" w:lineRule="auto"/>
            <w:jc w:val="both"/>
            <w:rPr>
              <w:rFonts w:ascii="Arial" w:hAnsi="Arial" w:cs="Arial"/>
              <w:noProof/>
              <w:sz w:val="24"/>
            </w:rPr>
          </w:pPr>
          <w:hyperlink w:anchor="_Toc202364640" w:history="1">
            <w:r w:rsidRPr="00EE1F27">
              <w:rPr>
                <w:rStyle w:val="Hyperlink"/>
                <w:rFonts w:ascii="Arial" w:hAnsi="Arial" w:cs="Arial"/>
                <w:noProof/>
                <w:sz w:val="24"/>
              </w:rPr>
              <w:t>6.</w:t>
            </w:r>
            <w:r w:rsidRPr="00EE1F27">
              <w:rPr>
                <w:rFonts w:ascii="Arial" w:hAnsi="Arial" w:cs="Arial"/>
                <w:noProof/>
                <w:sz w:val="24"/>
              </w:rPr>
              <w:tab/>
            </w:r>
            <w:r w:rsidRPr="00EE1F27">
              <w:rPr>
                <w:rStyle w:val="Hyperlink"/>
                <w:rFonts w:ascii="Arial" w:hAnsi="Arial" w:cs="Arial"/>
                <w:noProof/>
                <w:sz w:val="24"/>
              </w:rPr>
              <w:t>Application of Partnership Working in Health and Social Care: A Case Study of MyMichigan Health</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_Toc202364640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9</w:t>
            </w:r>
            <w:r w:rsidRPr="00EE1F27">
              <w:rPr>
                <w:rFonts w:ascii="Arial" w:hAnsi="Arial" w:cs="Arial"/>
                <w:noProof/>
                <w:webHidden/>
                <w:sz w:val="24"/>
              </w:rPr>
              <w:fldChar w:fldCharType="end"/>
            </w:r>
          </w:hyperlink>
        </w:p>
        <w:p w14:paraId="100A9760" w14:textId="77777777" w:rsidR="00A80EE1" w:rsidRPr="00EE1F27" w:rsidRDefault="00A80EE1" w:rsidP="00A80EE1">
          <w:pPr>
            <w:pStyle w:val="TOC1"/>
            <w:tabs>
              <w:tab w:val="left" w:pos="440"/>
              <w:tab w:val="right" w:leader="dot" w:pos="9350"/>
            </w:tabs>
            <w:spacing w:line="360" w:lineRule="auto"/>
            <w:jc w:val="both"/>
            <w:rPr>
              <w:rFonts w:ascii="Arial" w:hAnsi="Arial" w:cs="Arial"/>
              <w:noProof/>
              <w:sz w:val="24"/>
            </w:rPr>
          </w:pPr>
          <w:hyperlink w:anchor="_Toc202364641" w:history="1">
            <w:r w:rsidRPr="00EE1F27">
              <w:rPr>
                <w:rStyle w:val="Hyperlink"/>
                <w:rFonts w:ascii="Arial" w:hAnsi="Arial" w:cs="Arial"/>
                <w:noProof/>
                <w:sz w:val="24"/>
              </w:rPr>
              <w:t>7.</w:t>
            </w:r>
            <w:r w:rsidRPr="00EE1F27">
              <w:rPr>
                <w:rFonts w:ascii="Arial" w:hAnsi="Arial" w:cs="Arial"/>
                <w:noProof/>
                <w:sz w:val="24"/>
              </w:rPr>
              <w:tab/>
            </w:r>
            <w:r w:rsidRPr="00EE1F27">
              <w:rPr>
                <w:rStyle w:val="Hyperlink"/>
                <w:rFonts w:ascii="Arial" w:hAnsi="Arial" w:cs="Arial"/>
                <w:noProof/>
                <w:sz w:val="24"/>
              </w:rPr>
              <w:t>Critical Examination of Policy and Legislation in Person-Centred Care and Partnership Working</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_Toc202364641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10</w:t>
            </w:r>
            <w:r w:rsidRPr="00EE1F27">
              <w:rPr>
                <w:rFonts w:ascii="Arial" w:hAnsi="Arial" w:cs="Arial"/>
                <w:noProof/>
                <w:webHidden/>
                <w:sz w:val="24"/>
              </w:rPr>
              <w:fldChar w:fldCharType="end"/>
            </w:r>
          </w:hyperlink>
        </w:p>
        <w:p w14:paraId="015DFD4E" w14:textId="77777777" w:rsidR="00A80EE1" w:rsidRPr="00EE1F27" w:rsidRDefault="00A80EE1" w:rsidP="00A80EE1">
          <w:pPr>
            <w:pStyle w:val="TOC1"/>
            <w:tabs>
              <w:tab w:val="left" w:pos="440"/>
              <w:tab w:val="right" w:leader="dot" w:pos="9350"/>
            </w:tabs>
            <w:spacing w:line="360" w:lineRule="auto"/>
            <w:jc w:val="both"/>
            <w:rPr>
              <w:rFonts w:ascii="Arial" w:hAnsi="Arial" w:cs="Arial"/>
              <w:noProof/>
              <w:sz w:val="24"/>
            </w:rPr>
          </w:pPr>
          <w:hyperlink w:anchor="_Toc202364642" w:history="1">
            <w:r w:rsidRPr="00EE1F27">
              <w:rPr>
                <w:rStyle w:val="Hyperlink"/>
                <w:rFonts w:ascii="Arial" w:hAnsi="Arial" w:cs="Arial"/>
                <w:noProof/>
                <w:sz w:val="24"/>
              </w:rPr>
              <w:t>8.</w:t>
            </w:r>
            <w:r w:rsidRPr="00EE1F27">
              <w:rPr>
                <w:rFonts w:ascii="Arial" w:hAnsi="Arial" w:cs="Arial"/>
                <w:noProof/>
                <w:sz w:val="24"/>
              </w:rPr>
              <w:tab/>
            </w:r>
            <w:r w:rsidRPr="00EE1F27">
              <w:rPr>
                <w:rStyle w:val="Hyperlink"/>
                <w:rFonts w:ascii="Arial" w:hAnsi="Arial" w:cs="Arial"/>
                <w:noProof/>
                <w:sz w:val="24"/>
              </w:rPr>
              <w:t>Recommendations for Advancing Person-Centred Care and Partnership Working in the UK</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_Toc202364642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11</w:t>
            </w:r>
            <w:r w:rsidRPr="00EE1F27">
              <w:rPr>
                <w:rFonts w:ascii="Arial" w:hAnsi="Arial" w:cs="Arial"/>
                <w:noProof/>
                <w:webHidden/>
                <w:sz w:val="24"/>
              </w:rPr>
              <w:fldChar w:fldCharType="end"/>
            </w:r>
          </w:hyperlink>
        </w:p>
        <w:p w14:paraId="0DCB56BE" w14:textId="77777777" w:rsidR="00A80EE1" w:rsidRPr="00EE1F27" w:rsidRDefault="00A80EE1" w:rsidP="00A80EE1">
          <w:pPr>
            <w:pStyle w:val="TOC2"/>
            <w:tabs>
              <w:tab w:val="left" w:pos="880"/>
              <w:tab w:val="right" w:leader="dot" w:pos="9350"/>
            </w:tabs>
            <w:spacing w:line="360" w:lineRule="auto"/>
            <w:jc w:val="both"/>
            <w:rPr>
              <w:rFonts w:ascii="Arial" w:hAnsi="Arial" w:cs="Arial"/>
              <w:noProof/>
              <w:sz w:val="24"/>
            </w:rPr>
          </w:pPr>
          <w:hyperlink w:anchor="_Toc202364643" w:history="1">
            <w:r w:rsidRPr="00EE1F27">
              <w:rPr>
                <w:rStyle w:val="Hyperlink"/>
                <w:rFonts w:ascii="Arial" w:hAnsi="Arial" w:cs="Arial"/>
                <w:noProof/>
                <w:sz w:val="24"/>
              </w:rPr>
              <w:t>8.1.</w:t>
            </w:r>
            <w:r w:rsidRPr="00EE1F27">
              <w:rPr>
                <w:rFonts w:ascii="Arial" w:hAnsi="Arial" w:cs="Arial"/>
                <w:noProof/>
                <w:sz w:val="24"/>
              </w:rPr>
              <w:tab/>
            </w:r>
            <w:r w:rsidRPr="00EE1F27">
              <w:rPr>
                <w:rStyle w:val="Hyperlink"/>
                <w:rFonts w:ascii="Arial" w:hAnsi="Arial" w:cs="Arial"/>
                <w:noProof/>
                <w:sz w:val="24"/>
              </w:rPr>
              <w:t>Strengthen Workforce Training and Cultural Competency</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_Toc202364643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11</w:t>
            </w:r>
            <w:r w:rsidRPr="00EE1F27">
              <w:rPr>
                <w:rFonts w:ascii="Arial" w:hAnsi="Arial" w:cs="Arial"/>
                <w:noProof/>
                <w:webHidden/>
                <w:sz w:val="24"/>
              </w:rPr>
              <w:fldChar w:fldCharType="end"/>
            </w:r>
          </w:hyperlink>
        </w:p>
        <w:p w14:paraId="4CCB7819" w14:textId="77777777" w:rsidR="00A80EE1" w:rsidRPr="00EE1F27" w:rsidRDefault="00A80EE1" w:rsidP="00A80EE1">
          <w:pPr>
            <w:pStyle w:val="TOC2"/>
            <w:tabs>
              <w:tab w:val="left" w:pos="880"/>
              <w:tab w:val="right" w:leader="dot" w:pos="9350"/>
            </w:tabs>
            <w:spacing w:line="360" w:lineRule="auto"/>
            <w:jc w:val="both"/>
            <w:rPr>
              <w:rFonts w:ascii="Arial" w:hAnsi="Arial" w:cs="Arial"/>
              <w:noProof/>
              <w:sz w:val="24"/>
            </w:rPr>
          </w:pPr>
          <w:hyperlink w:anchor="_Toc202364644" w:history="1">
            <w:r w:rsidRPr="00EE1F27">
              <w:rPr>
                <w:rStyle w:val="Hyperlink"/>
                <w:rFonts w:ascii="Arial" w:hAnsi="Arial" w:cs="Arial"/>
                <w:noProof/>
                <w:sz w:val="24"/>
              </w:rPr>
              <w:t>8.2.</w:t>
            </w:r>
            <w:r w:rsidRPr="00EE1F27">
              <w:rPr>
                <w:rFonts w:ascii="Arial" w:hAnsi="Arial" w:cs="Arial"/>
                <w:noProof/>
                <w:sz w:val="24"/>
              </w:rPr>
              <w:tab/>
            </w:r>
            <w:r w:rsidRPr="00EE1F27">
              <w:rPr>
                <w:rStyle w:val="Hyperlink"/>
                <w:rFonts w:ascii="Arial" w:hAnsi="Arial" w:cs="Arial"/>
                <w:noProof/>
                <w:sz w:val="24"/>
              </w:rPr>
              <w:t>Enhance Integration Through Technology and Data Sharing</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_Toc202364644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11</w:t>
            </w:r>
            <w:r w:rsidRPr="00EE1F27">
              <w:rPr>
                <w:rFonts w:ascii="Arial" w:hAnsi="Arial" w:cs="Arial"/>
                <w:noProof/>
                <w:webHidden/>
                <w:sz w:val="24"/>
              </w:rPr>
              <w:fldChar w:fldCharType="end"/>
            </w:r>
          </w:hyperlink>
        </w:p>
        <w:p w14:paraId="34CB4634" w14:textId="77777777" w:rsidR="00A80EE1" w:rsidRPr="00EE1F27" w:rsidRDefault="00A80EE1" w:rsidP="00A80EE1">
          <w:pPr>
            <w:pStyle w:val="TOC2"/>
            <w:tabs>
              <w:tab w:val="left" w:pos="880"/>
              <w:tab w:val="right" w:leader="dot" w:pos="9350"/>
            </w:tabs>
            <w:spacing w:line="360" w:lineRule="auto"/>
            <w:jc w:val="both"/>
            <w:rPr>
              <w:rFonts w:ascii="Arial" w:hAnsi="Arial" w:cs="Arial"/>
              <w:noProof/>
              <w:sz w:val="24"/>
            </w:rPr>
          </w:pPr>
          <w:hyperlink w:anchor="_Toc202364645" w:history="1">
            <w:r w:rsidRPr="00EE1F27">
              <w:rPr>
                <w:rStyle w:val="Hyperlink"/>
                <w:rFonts w:ascii="Arial" w:hAnsi="Arial" w:cs="Arial"/>
                <w:noProof/>
                <w:sz w:val="24"/>
              </w:rPr>
              <w:t>8.3.</w:t>
            </w:r>
            <w:r w:rsidRPr="00EE1F27">
              <w:rPr>
                <w:rFonts w:ascii="Arial" w:hAnsi="Arial" w:cs="Arial"/>
                <w:noProof/>
                <w:sz w:val="24"/>
              </w:rPr>
              <w:tab/>
            </w:r>
            <w:r w:rsidRPr="00EE1F27">
              <w:rPr>
                <w:rStyle w:val="Hyperlink"/>
                <w:rFonts w:ascii="Arial" w:hAnsi="Arial" w:cs="Arial"/>
                <w:noProof/>
                <w:sz w:val="24"/>
              </w:rPr>
              <w:t>Foster Community-Based Care Models</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_Toc202364645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12</w:t>
            </w:r>
            <w:r w:rsidRPr="00EE1F27">
              <w:rPr>
                <w:rFonts w:ascii="Arial" w:hAnsi="Arial" w:cs="Arial"/>
                <w:noProof/>
                <w:webHidden/>
                <w:sz w:val="24"/>
              </w:rPr>
              <w:fldChar w:fldCharType="end"/>
            </w:r>
          </w:hyperlink>
        </w:p>
        <w:p w14:paraId="7550FAAD" w14:textId="77777777" w:rsidR="00A80EE1" w:rsidRPr="00EE1F27" w:rsidRDefault="00A80EE1" w:rsidP="00A80EE1">
          <w:pPr>
            <w:pStyle w:val="TOC2"/>
            <w:tabs>
              <w:tab w:val="left" w:pos="880"/>
              <w:tab w:val="right" w:leader="dot" w:pos="9350"/>
            </w:tabs>
            <w:spacing w:line="360" w:lineRule="auto"/>
            <w:jc w:val="both"/>
            <w:rPr>
              <w:rFonts w:ascii="Arial" w:hAnsi="Arial" w:cs="Arial"/>
              <w:noProof/>
              <w:sz w:val="24"/>
            </w:rPr>
          </w:pPr>
          <w:hyperlink w:anchor="_Toc202364646" w:history="1">
            <w:r w:rsidRPr="00EE1F27">
              <w:rPr>
                <w:rStyle w:val="Hyperlink"/>
                <w:rFonts w:ascii="Arial" w:hAnsi="Arial" w:cs="Arial"/>
                <w:noProof/>
                <w:sz w:val="24"/>
              </w:rPr>
              <w:t>8.4.</w:t>
            </w:r>
            <w:r w:rsidRPr="00EE1F27">
              <w:rPr>
                <w:rFonts w:ascii="Arial" w:hAnsi="Arial" w:cs="Arial"/>
                <w:noProof/>
                <w:sz w:val="24"/>
              </w:rPr>
              <w:tab/>
            </w:r>
            <w:r w:rsidRPr="00EE1F27">
              <w:rPr>
                <w:rStyle w:val="Hyperlink"/>
                <w:rFonts w:ascii="Arial" w:hAnsi="Arial" w:cs="Arial"/>
                <w:noProof/>
                <w:sz w:val="24"/>
              </w:rPr>
              <w:t>Implement Comprehensive Evaluation and Accountability Mechanisms</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_Toc202364646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12</w:t>
            </w:r>
            <w:r w:rsidRPr="00EE1F27">
              <w:rPr>
                <w:rFonts w:ascii="Arial" w:hAnsi="Arial" w:cs="Arial"/>
                <w:noProof/>
                <w:webHidden/>
                <w:sz w:val="24"/>
              </w:rPr>
              <w:fldChar w:fldCharType="end"/>
            </w:r>
          </w:hyperlink>
        </w:p>
        <w:p w14:paraId="3EADAB1F" w14:textId="77777777" w:rsidR="00A80EE1" w:rsidRPr="00EE1F27" w:rsidRDefault="00A80EE1" w:rsidP="00A80EE1">
          <w:pPr>
            <w:pStyle w:val="TOC2"/>
            <w:tabs>
              <w:tab w:val="left" w:pos="880"/>
              <w:tab w:val="right" w:leader="dot" w:pos="9350"/>
            </w:tabs>
            <w:spacing w:line="360" w:lineRule="auto"/>
            <w:jc w:val="both"/>
            <w:rPr>
              <w:rFonts w:ascii="Arial" w:hAnsi="Arial" w:cs="Arial"/>
              <w:noProof/>
              <w:sz w:val="24"/>
            </w:rPr>
          </w:pPr>
          <w:hyperlink w:anchor="_Toc202364647" w:history="1">
            <w:r w:rsidRPr="00EE1F27">
              <w:rPr>
                <w:rStyle w:val="Hyperlink"/>
                <w:rFonts w:ascii="Arial" w:hAnsi="Arial" w:cs="Arial"/>
                <w:noProof/>
                <w:sz w:val="24"/>
              </w:rPr>
              <w:t>8.5.</w:t>
            </w:r>
            <w:r w:rsidRPr="00EE1F27">
              <w:rPr>
                <w:rFonts w:ascii="Arial" w:hAnsi="Arial" w:cs="Arial"/>
                <w:noProof/>
                <w:sz w:val="24"/>
              </w:rPr>
              <w:tab/>
            </w:r>
            <w:r w:rsidRPr="00EE1F27">
              <w:rPr>
                <w:rStyle w:val="Hyperlink"/>
                <w:rFonts w:ascii="Arial" w:hAnsi="Arial" w:cs="Arial"/>
                <w:noProof/>
                <w:sz w:val="24"/>
              </w:rPr>
              <w:t>Address Health Inequalities through Targeted Interventions</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_Toc202364647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13</w:t>
            </w:r>
            <w:r w:rsidRPr="00EE1F27">
              <w:rPr>
                <w:rFonts w:ascii="Arial" w:hAnsi="Arial" w:cs="Arial"/>
                <w:noProof/>
                <w:webHidden/>
                <w:sz w:val="24"/>
              </w:rPr>
              <w:fldChar w:fldCharType="end"/>
            </w:r>
          </w:hyperlink>
        </w:p>
        <w:p w14:paraId="278A89DF" w14:textId="77777777" w:rsidR="00A80EE1" w:rsidRPr="00EE1F27" w:rsidRDefault="00A80EE1" w:rsidP="00A80EE1">
          <w:pPr>
            <w:pStyle w:val="TOC1"/>
            <w:tabs>
              <w:tab w:val="left" w:pos="440"/>
              <w:tab w:val="right" w:leader="dot" w:pos="9350"/>
            </w:tabs>
            <w:spacing w:line="360" w:lineRule="auto"/>
            <w:jc w:val="both"/>
            <w:rPr>
              <w:rFonts w:ascii="Arial" w:hAnsi="Arial" w:cs="Arial"/>
              <w:noProof/>
              <w:sz w:val="24"/>
            </w:rPr>
          </w:pPr>
          <w:hyperlink w:anchor="_Toc202364648" w:history="1">
            <w:r w:rsidRPr="00EE1F27">
              <w:rPr>
                <w:rStyle w:val="Hyperlink"/>
                <w:rFonts w:ascii="Arial" w:hAnsi="Arial" w:cs="Arial"/>
                <w:noProof/>
                <w:sz w:val="24"/>
              </w:rPr>
              <w:t>9.</w:t>
            </w:r>
            <w:r w:rsidRPr="00EE1F27">
              <w:rPr>
                <w:rFonts w:ascii="Arial" w:hAnsi="Arial" w:cs="Arial"/>
                <w:noProof/>
                <w:sz w:val="24"/>
              </w:rPr>
              <w:tab/>
            </w:r>
            <w:r w:rsidRPr="00EE1F27">
              <w:rPr>
                <w:rStyle w:val="Hyperlink"/>
                <w:rFonts w:ascii="Arial" w:hAnsi="Arial" w:cs="Arial"/>
                <w:noProof/>
                <w:sz w:val="24"/>
              </w:rPr>
              <w:t>Conclusion</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_Toc202364648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13</w:t>
            </w:r>
            <w:r w:rsidRPr="00EE1F27">
              <w:rPr>
                <w:rFonts w:ascii="Arial" w:hAnsi="Arial" w:cs="Arial"/>
                <w:noProof/>
                <w:webHidden/>
                <w:sz w:val="24"/>
              </w:rPr>
              <w:fldChar w:fldCharType="end"/>
            </w:r>
          </w:hyperlink>
        </w:p>
        <w:p w14:paraId="08D8000A" w14:textId="77777777" w:rsidR="00A80EE1" w:rsidRPr="00EE1F27" w:rsidRDefault="00A80EE1" w:rsidP="00A80EE1">
          <w:pPr>
            <w:pStyle w:val="TOC1"/>
            <w:tabs>
              <w:tab w:val="right" w:leader="dot" w:pos="9350"/>
            </w:tabs>
            <w:spacing w:line="360" w:lineRule="auto"/>
            <w:jc w:val="both"/>
            <w:rPr>
              <w:noProof/>
            </w:rPr>
          </w:pPr>
          <w:hyperlink w:anchor="_Toc202364649" w:history="1">
            <w:r w:rsidRPr="00EE1F27">
              <w:rPr>
                <w:rStyle w:val="Hyperlink"/>
                <w:rFonts w:ascii="Arial" w:hAnsi="Arial" w:cs="Arial"/>
                <w:noProof/>
                <w:sz w:val="24"/>
              </w:rPr>
              <w:t>References</w:t>
            </w:r>
            <w:r w:rsidRPr="00EE1F27">
              <w:rPr>
                <w:rFonts w:ascii="Arial" w:hAnsi="Arial" w:cs="Arial"/>
                <w:noProof/>
                <w:webHidden/>
                <w:sz w:val="24"/>
              </w:rPr>
              <w:tab/>
            </w:r>
            <w:r w:rsidRPr="00EE1F27">
              <w:rPr>
                <w:rFonts w:ascii="Arial" w:hAnsi="Arial" w:cs="Arial"/>
                <w:noProof/>
                <w:webHidden/>
                <w:sz w:val="24"/>
              </w:rPr>
              <w:fldChar w:fldCharType="begin"/>
            </w:r>
            <w:r w:rsidRPr="00EE1F27">
              <w:rPr>
                <w:rFonts w:ascii="Arial" w:hAnsi="Arial" w:cs="Arial"/>
                <w:noProof/>
                <w:webHidden/>
                <w:sz w:val="24"/>
              </w:rPr>
              <w:instrText xml:space="preserve"> PAGEREF _Toc202364649 \h </w:instrText>
            </w:r>
            <w:r w:rsidRPr="00EE1F27">
              <w:rPr>
                <w:rFonts w:ascii="Arial" w:hAnsi="Arial" w:cs="Arial"/>
                <w:noProof/>
                <w:webHidden/>
                <w:sz w:val="24"/>
              </w:rPr>
            </w:r>
            <w:r w:rsidRPr="00EE1F27">
              <w:rPr>
                <w:rFonts w:ascii="Arial" w:hAnsi="Arial" w:cs="Arial"/>
                <w:noProof/>
                <w:webHidden/>
                <w:sz w:val="24"/>
              </w:rPr>
              <w:fldChar w:fldCharType="separate"/>
            </w:r>
            <w:r w:rsidR="003B0809" w:rsidRPr="00EE1F27">
              <w:rPr>
                <w:rFonts w:ascii="Arial" w:hAnsi="Arial" w:cs="Arial"/>
                <w:noProof/>
                <w:webHidden/>
                <w:sz w:val="24"/>
              </w:rPr>
              <w:t>14</w:t>
            </w:r>
            <w:r w:rsidRPr="00EE1F27">
              <w:rPr>
                <w:rFonts w:ascii="Arial" w:hAnsi="Arial" w:cs="Arial"/>
                <w:noProof/>
                <w:webHidden/>
                <w:sz w:val="24"/>
              </w:rPr>
              <w:fldChar w:fldCharType="end"/>
            </w:r>
          </w:hyperlink>
        </w:p>
        <w:p w14:paraId="618632CF" w14:textId="77777777" w:rsidR="00A80EE1" w:rsidRPr="00EE1F27" w:rsidRDefault="00A80EE1">
          <w:r w:rsidRPr="00EE1F27">
            <w:rPr>
              <w:b/>
              <w:bCs/>
              <w:noProof/>
            </w:rPr>
            <w:fldChar w:fldCharType="end"/>
          </w:r>
        </w:p>
      </w:sdtContent>
    </w:sdt>
    <w:p w14:paraId="74580B5C" w14:textId="77777777" w:rsidR="00A80EE1" w:rsidRPr="00EE1F27" w:rsidRDefault="00A80EE1"/>
    <w:p w14:paraId="70B8B24B" w14:textId="77777777" w:rsidR="00A80EE1" w:rsidRPr="00EE1F27" w:rsidRDefault="00A80EE1">
      <w:r w:rsidRPr="00EE1F27">
        <w:br w:type="page"/>
      </w:r>
    </w:p>
    <w:p w14:paraId="789CDA68" w14:textId="77777777" w:rsidR="00B975DB" w:rsidRPr="00EE1F27" w:rsidRDefault="00B975DB"/>
    <w:p w14:paraId="3473CF07" w14:textId="77777777" w:rsidR="00CC7C04" w:rsidRPr="00EE1F27" w:rsidRDefault="00B975DB" w:rsidP="00B975DB">
      <w:pPr>
        <w:pStyle w:val="Heading1"/>
        <w:spacing w:line="360" w:lineRule="auto"/>
        <w:jc w:val="center"/>
        <w:rPr>
          <w:rFonts w:ascii="Arial" w:hAnsi="Arial" w:cs="Arial"/>
        </w:rPr>
      </w:pPr>
      <w:bookmarkStart w:id="0" w:name="_Toc202364634"/>
      <w:r w:rsidRPr="00EE1F27">
        <w:rPr>
          <w:rFonts w:ascii="Arial" w:hAnsi="Arial" w:cs="Arial"/>
          <w:color w:val="auto"/>
          <w:sz w:val="24"/>
        </w:rPr>
        <w:t>List of figures</w:t>
      </w:r>
      <w:bookmarkEnd w:id="0"/>
    </w:p>
    <w:p w14:paraId="59DA1423" w14:textId="77777777" w:rsidR="00B975DB" w:rsidRPr="00EE1F27" w:rsidRDefault="00B975DB" w:rsidP="00A54B0F">
      <w:pPr>
        <w:pStyle w:val="TableofFigures"/>
        <w:tabs>
          <w:tab w:val="right" w:leader="dot" w:pos="9350"/>
        </w:tabs>
        <w:spacing w:line="360" w:lineRule="auto"/>
        <w:jc w:val="both"/>
        <w:rPr>
          <w:rFonts w:ascii="Arial" w:hAnsi="Arial" w:cs="Arial"/>
          <w:noProof/>
          <w:sz w:val="24"/>
          <w:szCs w:val="24"/>
        </w:rPr>
      </w:pPr>
      <w:r w:rsidRPr="00EE1F27">
        <w:fldChar w:fldCharType="begin"/>
      </w:r>
      <w:r w:rsidRPr="00EE1F27">
        <w:instrText xml:space="preserve"> TOC \h \z \c "Figure" </w:instrText>
      </w:r>
      <w:r w:rsidRPr="00EE1F27">
        <w:fldChar w:fldCharType="separate"/>
      </w:r>
      <w:hyperlink w:anchor="_Toc202364556" w:history="1">
        <w:r w:rsidRPr="00EE1F27">
          <w:rPr>
            <w:rStyle w:val="Hyperlink"/>
            <w:rFonts w:ascii="Arial" w:eastAsia="Times New Roman" w:hAnsi="Arial" w:cs="Arial"/>
            <w:noProof/>
            <w:sz w:val="24"/>
            <w:szCs w:val="24"/>
          </w:rPr>
          <w:t>Figure 1: Relationship between the person care and the professional (Social Care Institute for Excellence, (2025)</w:t>
        </w:r>
        <w:r w:rsidRPr="00EE1F27">
          <w:rPr>
            <w:rFonts w:ascii="Arial" w:hAnsi="Arial" w:cs="Arial"/>
            <w:noProof/>
            <w:webHidden/>
            <w:sz w:val="24"/>
            <w:szCs w:val="24"/>
          </w:rPr>
          <w:tab/>
        </w:r>
        <w:r w:rsidRPr="00EE1F27">
          <w:rPr>
            <w:rFonts w:ascii="Arial" w:hAnsi="Arial" w:cs="Arial"/>
            <w:noProof/>
            <w:webHidden/>
            <w:sz w:val="24"/>
            <w:szCs w:val="24"/>
          </w:rPr>
          <w:fldChar w:fldCharType="begin"/>
        </w:r>
        <w:r w:rsidRPr="00EE1F27">
          <w:rPr>
            <w:rFonts w:ascii="Arial" w:hAnsi="Arial" w:cs="Arial"/>
            <w:noProof/>
            <w:webHidden/>
            <w:sz w:val="24"/>
            <w:szCs w:val="24"/>
          </w:rPr>
          <w:instrText xml:space="preserve"> PAGEREF _Toc202364556 \h </w:instrText>
        </w:r>
        <w:r w:rsidRPr="00EE1F27">
          <w:rPr>
            <w:rFonts w:ascii="Arial" w:hAnsi="Arial" w:cs="Arial"/>
            <w:noProof/>
            <w:webHidden/>
            <w:sz w:val="24"/>
            <w:szCs w:val="24"/>
          </w:rPr>
        </w:r>
        <w:r w:rsidRPr="00EE1F27">
          <w:rPr>
            <w:rFonts w:ascii="Arial" w:hAnsi="Arial" w:cs="Arial"/>
            <w:noProof/>
            <w:webHidden/>
            <w:sz w:val="24"/>
            <w:szCs w:val="24"/>
          </w:rPr>
          <w:fldChar w:fldCharType="separate"/>
        </w:r>
        <w:r w:rsidR="003B0809" w:rsidRPr="00EE1F27">
          <w:rPr>
            <w:rFonts w:ascii="Arial" w:hAnsi="Arial" w:cs="Arial"/>
            <w:noProof/>
            <w:webHidden/>
            <w:sz w:val="24"/>
            <w:szCs w:val="24"/>
          </w:rPr>
          <w:t>5</w:t>
        </w:r>
        <w:r w:rsidRPr="00EE1F27">
          <w:rPr>
            <w:rFonts w:ascii="Arial" w:hAnsi="Arial" w:cs="Arial"/>
            <w:noProof/>
            <w:webHidden/>
            <w:sz w:val="24"/>
            <w:szCs w:val="24"/>
          </w:rPr>
          <w:fldChar w:fldCharType="end"/>
        </w:r>
      </w:hyperlink>
    </w:p>
    <w:p w14:paraId="1E435F54" w14:textId="77777777" w:rsidR="00B975DB" w:rsidRPr="00EE1F27" w:rsidRDefault="00B975DB" w:rsidP="00A54B0F">
      <w:pPr>
        <w:pStyle w:val="TableofFigures"/>
        <w:tabs>
          <w:tab w:val="right" w:leader="dot" w:pos="9350"/>
        </w:tabs>
        <w:spacing w:line="360" w:lineRule="auto"/>
        <w:jc w:val="both"/>
        <w:rPr>
          <w:rFonts w:ascii="Arial" w:hAnsi="Arial" w:cs="Arial"/>
          <w:noProof/>
          <w:sz w:val="24"/>
          <w:szCs w:val="24"/>
        </w:rPr>
      </w:pPr>
      <w:hyperlink w:anchor="_Toc202364557" w:history="1">
        <w:r w:rsidRPr="00EE1F27">
          <w:rPr>
            <w:rStyle w:val="Hyperlink"/>
            <w:rFonts w:ascii="Arial" w:eastAsia="Times New Roman" w:hAnsi="Arial" w:cs="Arial"/>
            <w:noProof/>
            <w:sz w:val="24"/>
            <w:szCs w:val="24"/>
          </w:rPr>
          <w:t>Figure 2: Healthcare ethics (Mousavi, 2024)</w:t>
        </w:r>
        <w:r w:rsidRPr="00EE1F27">
          <w:rPr>
            <w:rFonts w:ascii="Arial" w:hAnsi="Arial" w:cs="Arial"/>
            <w:noProof/>
            <w:webHidden/>
            <w:sz w:val="24"/>
            <w:szCs w:val="24"/>
          </w:rPr>
          <w:tab/>
        </w:r>
        <w:r w:rsidRPr="00EE1F27">
          <w:rPr>
            <w:rFonts w:ascii="Arial" w:hAnsi="Arial" w:cs="Arial"/>
            <w:noProof/>
            <w:webHidden/>
            <w:sz w:val="24"/>
            <w:szCs w:val="24"/>
          </w:rPr>
          <w:fldChar w:fldCharType="begin"/>
        </w:r>
        <w:r w:rsidRPr="00EE1F27">
          <w:rPr>
            <w:rFonts w:ascii="Arial" w:hAnsi="Arial" w:cs="Arial"/>
            <w:noProof/>
            <w:webHidden/>
            <w:sz w:val="24"/>
            <w:szCs w:val="24"/>
          </w:rPr>
          <w:instrText xml:space="preserve"> PAGEREF _Toc202364557 \h </w:instrText>
        </w:r>
        <w:r w:rsidRPr="00EE1F27">
          <w:rPr>
            <w:rFonts w:ascii="Arial" w:hAnsi="Arial" w:cs="Arial"/>
            <w:noProof/>
            <w:webHidden/>
            <w:sz w:val="24"/>
            <w:szCs w:val="24"/>
          </w:rPr>
        </w:r>
        <w:r w:rsidRPr="00EE1F27">
          <w:rPr>
            <w:rFonts w:ascii="Arial" w:hAnsi="Arial" w:cs="Arial"/>
            <w:noProof/>
            <w:webHidden/>
            <w:sz w:val="24"/>
            <w:szCs w:val="24"/>
          </w:rPr>
          <w:fldChar w:fldCharType="separate"/>
        </w:r>
        <w:r w:rsidR="003B0809" w:rsidRPr="00EE1F27">
          <w:rPr>
            <w:rFonts w:ascii="Arial" w:hAnsi="Arial" w:cs="Arial"/>
            <w:noProof/>
            <w:webHidden/>
            <w:sz w:val="24"/>
            <w:szCs w:val="24"/>
          </w:rPr>
          <w:t>8</w:t>
        </w:r>
        <w:r w:rsidRPr="00EE1F27">
          <w:rPr>
            <w:rFonts w:ascii="Arial" w:hAnsi="Arial" w:cs="Arial"/>
            <w:noProof/>
            <w:webHidden/>
            <w:sz w:val="24"/>
            <w:szCs w:val="24"/>
          </w:rPr>
          <w:fldChar w:fldCharType="end"/>
        </w:r>
      </w:hyperlink>
    </w:p>
    <w:p w14:paraId="19ACE07A" w14:textId="77777777" w:rsidR="00B975DB" w:rsidRPr="00EE1F27" w:rsidRDefault="00B975DB">
      <w:r w:rsidRPr="00EE1F27">
        <w:fldChar w:fldCharType="end"/>
      </w:r>
    </w:p>
    <w:p w14:paraId="182C5C53" w14:textId="77777777" w:rsidR="00B975DB" w:rsidRPr="00EE1F27" w:rsidRDefault="00B975DB">
      <w:r w:rsidRPr="00EE1F27">
        <w:br w:type="page"/>
      </w:r>
    </w:p>
    <w:p w14:paraId="78DE91DF" w14:textId="77777777" w:rsidR="00D77A9C" w:rsidRPr="00EE1F27" w:rsidRDefault="00CC7C04" w:rsidP="00CC7C04">
      <w:pPr>
        <w:pStyle w:val="Heading1"/>
        <w:numPr>
          <w:ilvl w:val="0"/>
          <w:numId w:val="1"/>
        </w:numPr>
        <w:spacing w:line="360" w:lineRule="auto"/>
        <w:jc w:val="both"/>
        <w:rPr>
          <w:rFonts w:ascii="Arial" w:hAnsi="Arial" w:cs="Arial"/>
          <w:color w:val="auto"/>
          <w:sz w:val="22"/>
        </w:rPr>
      </w:pPr>
      <w:bookmarkStart w:id="1" w:name="_Toc202364635"/>
      <w:r w:rsidRPr="00EE1F27">
        <w:rPr>
          <w:rFonts w:ascii="Arial" w:hAnsi="Arial" w:cs="Arial"/>
          <w:color w:val="auto"/>
          <w:sz w:val="22"/>
        </w:rPr>
        <w:t>Introduction</w:t>
      </w:r>
      <w:bookmarkEnd w:id="1"/>
      <w:r w:rsidRPr="00EE1F27">
        <w:rPr>
          <w:rFonts w:ascii="Arial" w:hAnsi="Arial" w:cs="Arial"/>
          <w:color w:val="auto"/>
          <w:sz w:val="22"/>
        </w:rPr>
        <w:t xml:space="preserve"> </w:t>
      </w:r>
    </w:p>
    <w:p w14:paraId="0D8F2149" w14:textId="77777777" w:rsidR="00E355C3" w:rsidRPr="00EE1F27" w:rsidRDefault="006D10E1" w:rsidP="008A6E72">
      <w:pPr>
        <w:pStyle w:val="NormalWeb"/>
        <w:spacing w:line="360" w:lineRule="auto"/>
        <w:jc w:val="both"/>
      </w:pPr>
      <w:r w:rsidRPr="00EE1F27">
        <w:rPr>
          <w:rStyle w:val="relative"/>
          <w:rFonts w:ascii="Arial" w:hAnsi="Arial" w:cs="Arial"/>
        </w:rPr>
        <w:t>This study examines the topic of person-centred care (PCC) and partnership working (PW), evaluating how their impact on UK community care. It explores the moral underpinnings, theories, policy frameworks, advantages, and obstacles while also presenting practical examples. It specialises in integrated community hubs and seeks to demonstrate how digital integration and collaboration can reduce fragmentation and disparities, thereby improving patient-oriented outcomes.</w:t>
      </w:r>
    </w:p>
    <w:p w14:paraId="46FC9801" w14:textId="77777777" w:rsidR="00E355C3" w:rsidRPr="00EE1F27" w:rsidRDefault="00E355C3" w:rsidP="00E355C3"/>
    <w:p w14:paraId="636037D3" w14:textId="77777777" w:rsidR="00E355C3" w:rsidRPr="00EE1F27" w:rsidRDefault="00BB6C05" w:rsidP="00BB6C05">
      <w:pPr>
        <w:pStyle w:val="Heading1"/>
        <w:numPr>
          <w:ilvl w:val="0"/>
          <w:numId w:val="1"/>
        </w:numPr>
        <w:spacing w:line="360" w:lineRule="auto"/>
        <w:jc w:val="both"/>
      </w:pPr>
      <w:bookmarkStart w:id="2" w:name="_Toc202364636"/>
      <w:r w:rsidRPr="00EE1F27">
        <w:rPr>
          <w:rFonts w:ascii="Arial" w:hAnsi="Arial" w:cs="Arial"/>
          <w:color w:val="auto"/>
          <w:sz w:val="22"/>
        </w:rPr>
        <w:t>Person-Centred Care</w:t>
      </w:r>
      <w:bookmarkEnd w:id="2"/>
    </w:p>
    <w:p w14:paraId="7D4A9535" w14:textId="77777777" w:rsidR="001B1C04" w:rsidRPr="00EE1F27" w:rsidRDefault="00AC32B9" w:rsidP="00BB6C05">
      <w:pPr>
        <w:pStyle w:val="NormalWeb"/>
        <w:spacing w:line="360" w:lineRule="auto"/>
        <w:jc w:val="both"/>
        <w:rPr>
          <w:rStyle w:val="relative"/>
          <w:rFonts w:ascii="Arial" w:hAnsi="Arial" w:cs="Arial"/>
        </w:rPr>
      </w:pPr>
      <w:r w:rsidRPr="00EE1F27">
        <w:rPr>
          <w:rStyle w:val="relative"/>
          <w:rFonts w:ascii="Arial" w:hAnsi="Arial" w:cs="Arial"/>
        </w:rPr>
        <w:t xml:space="preserve">Person-centred care (PCC) makes the preferences and values of the patient and its needs its priority and encourages shared decision-making where patients actively contribute to the definition of diagnoses and treatment methods with practitioners (Ahmed, van den Muijsenbergh, &amp; Vrijhoef, 2023). This model supports the existence of services, such as the Jean Bishop Integrated Care Centre in Hull, which takes a chronic view of frailty, had reduced emergency referrals by 53% and decreased admission by 71%, which further helps to illustrate the transformative effect of PCC over care delivery. </w:t>
      </w:r>
      <w:r w:rsidR="001C13AC" w:rsidRPr="00EE1F27">
        <w:rPr>
          <w:rStyle w:val="relative"/>
          <w:rFonts w:ascii="Arial" w:hAnsi="Arial" w:cs="Arial"/>
        </w:rPr>
        <w:t>Advantages are an elevated patient satisfaction rates, and personalized care, as it results into a QALY increase of 0.0057, and a cost savings of 269 pounds per patient with the UK Your Care Needs You programme (Palacios et al., 2024). Moreover, PCC expands the continuity of care and chronic disease outcomes (Svasab and Ceroveticiki, 2024). Figure 1: Relationship between the person care and the professional (Social Care Institute for Excellence, 2025) emphasizes iterative and relational processes of PCC. Nonetheless, the implementation of systemic PCC has been encountered with difficulties such as financial burden and workforce hostility (Yu et al., 2023) that require systematic, active loops to instil common decision-making and achieve change maintenance.</w:t>
      </w:r>
    </w:p>
    <w:p w14:paraId="314B0040" w14:textId="77777777" w:rsidR="001B1C04" w:rsidRPr="00EE1F27" w:rsidRDefault="001B1C04" w:rsidP="001B1C04">
      <w:pPr>
        <w:pStyle w:val="NormalWeb"/>
        <w:keepNext/>
        <w:spacing w:line="360" w:lineRule="auto"/>
        <w:jc w:val="center"/>
        <w:rPr>
          <w:rStyle w:val="relative"/>
          <w:rFonts w:ascii="Arial" w:hAnsi="Arial" w:cs="Arial"/>
        </w:rPr>
      </w:pPr>
      <w:r w:rsidRPr="00EE1F27">
        <w:rPr>
          <w:rStyle w:val="relative"/>
          <w:rFonts w:ascii="Arial" w:hAnsi="Arial" w:cs="Arial"/>
          <w:noProof/>
        </w:rPr>
        <w:drawing>
          <wp:inline distT="0" distB="0" distL="0" distR="0" wp14:anchorId="1C00CA89" wp14:editId="6566A7F5">
            <wp:extent cx="6073140" cy="49834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6074627" cy="4984700"/>
                    </a:xfrm>
                    <a:prstGeom prst="rect">
                      <a:avLst/>
                    </a:prstGeom>
                  </pic:spPr>
                </pic:pic>
              </a:graphicData>
            </a:graphic>
          </wp:inline>
        </w:drawing>
      </w:r>
    </w:p>
    <w:p w14:paraId="2555639B" w14:textId="77777777" w:rsidR="001B1C04" w:rsidRPr="00EE1F27" w:rsidRDefault="001B1C04" w:rsidP="001B1C04">
      <w:pPr>
        <w:pStyle w:val="Caption"/>
        <w:jc w:val="center"/>
        <w:rPr>
          <w:rStyle w:val="relative"/>
          <w:rFonts w:ascii="Arial" w:hAnsi="Arial" w:cs="Arial"/>
        </w:rPr>
      </w:pPr>
      <w:bookmarkStart w:id="3" w:name="_Toc202364556"/>
      <w:r w:rsidRPr="00EE1F27">
        <w:rPr>
          <w:rStyle w:val="relative"/>
          <w:rFonts w:ascii="Arial" w:eastAsia="Times New Roman" w:hAnsi="Arial" w:cs="Arial"/>
          <w:bCs w:val="0"/>
          <w:color w:val="auto"/>
          <w:sz w:val="24"/>
          <w:szCs w:val="24"/>
        </w:rPr>
        <w:t xml:space="preserve">Figure </w:t>
      </w:r>
      <w:r w:rsidRPr="00EE1F27">
        <w:rPr>
          <w:rStyle w:val="relative"/>
          <w:rFonts w:ascii="Arial" w:eastAsia="Times New Roman" w:hAnsi="Arial" w:cs="Arial"/>
          <w:bCs w:val="0"/>
          <w:color w:val="auto"/>
          <w:sz w:val="24"/>
          <w:szCs w:val="24"/>
        </w:rPr>
        <w:fldChar w:fldCharType="begin"/>
      </w:r>
      <w:r w:rsidRPr="00EE1F27">
        <w:rPr>
          <w:rStyle w:val="relative"/>
          <w:rFonts w:ascii="Arial" w:eastAsia="Times New Roman" w:hAnsi="Arial" w:cs="Arial"/>
          <w:bCs w:val="0"/>
          <w:color w:val="auto"/>
          <w:sz w:val="24"/>
          <w:szCs w:val="24"/>
        </w:rPr>
        <w:instrText xml:space="preserve"> SEQ Figure \* ARABIC </w:instrText>
      </w:r>
      <w:r w:rsidRPr="00EE1F27">
        <w:rPr>
          <w:rStyle w:val="relative"/>
          <w:rFonts w:ascii="Arial" w:eastAsia="Times New Roman" w:hAnsi="Arial" w:cs="Arial"/>
          <w:bCs w:val="0"/>
          <w:color w:val="auto"/>
          <w:sz w:val="24"/>
          <w:szCs w:val="24"/>
        </w:rPr>
        <w:fldChar w:fldCharType="separate"/>
      </w:r>
      <w:r w:rsidR="0035060B" w:rsidRPr="00EE1F27">
        <w:rPr>
          <w:rStyle w:val="relative"/>
          <w:rFonts w:ascii="Arial" w:eastAsia="Times New Roman" w:hAnsi="Arial" w:cs="Arial"/>
          <w:bCs w:val="0"/>
          <w:noProof/>
          <w:color w:val="auto"/>
          <w:sz w:val="24"/>
          <w:szCs w:val="24"/>
        </w:rPr>
        <w:t>1</w:t>
      </w:r>
      <w:r w:rsidRPr="00EE1F27">
        <w:rPr>
          <w:rStyle w:val="relative"/>
          <w:rFonts w:ascii="Arial" w:eastAsia="Times New Roman" w:hAnsi="Arial" w:cs="Arial"/>
          <w:bCs w:val="0"/>
          <w:color w:val="auto"/>
          <w:sz w:val="24"/>
          <w:szCs w:val="24"/>
        </w:rPr>
        <w:fldChar w:fldCharType="end"/>
      </w:r>
      <w:r w:rsidRPr="00EE1F27">
        <w:rPr>
          <w:rStyle w:val="relative"/>
          <w:rFonts w:ascii="Arial" w:eastAsia="Times New Roman" w:hAnsi="Arial" w:cs="Arial"/>
          <w:bCs w:val="0"/>
          <w:color w:val="auto"/>
          <w:sz w:val="24"/>
          <w:szCs w:val="24"/>
        </w:rPr>
        <w:t>: Relationship between the person care and the professional (Social Care Institute for Excellence, (2025)</w:t>
      </w:r>
      <w:bookmarkEnd w:id="3"/>
    </w:p>
    <w:p w14:paraId="57DAE84E" w14:textId="77777777" w:rsidR="00BB6C05" w:rsidRPr="00EE1F27" w:rsidRDefault="00BB6C05" w:rsidP="00BB6C05">
      <w:pPr>
        <w:pStyle w:val="NormalWeb"/>
        <w:spacing w:line="360" w:lineRule="auto"/>
        <w:jc w:val="both"/>
        <w:rPr>
          <w:rStyle w:val="relative"/>
          <w:rFonts w:ascii="Arial" w:hAnsi="Arial" w:cs="Arial"/>
        </w:rPr>
      </w:pPr>
    </w:p>
    <w:p w14:paraId="040EDE9E" w14:textId="77777777" w:rsidR="00BB6C05" w:rsidRPr="00EE1F27" w:rsidRDefault="00BB6C05" w:rsidP="00755B14">
      <w:pPr>
        <w:pStyle w:val="Heading1"/>
        <w:numPr>
          <w:ilvl w:val="0"/>
          <w:numId w:val="1"/>
        </w:numPr>
        <w:spacing w:line="360" w:lineRule="auto"/>
        <w:jc w:val="both"/>
        <w:rPr>
          <w:rStyle w:val="relative"/>
          <w:rFonts w:ascii="Arial" w:hAnsi="Arial" w:cs="Arial"/>
        </w:rPr>
      </w:pPr>
      <w:bookmarkStart w:id="4" w:name="_Toc202364637"/>
      <w:r w:rsidRPr="00EE1F27">
        <w:rPr>
          <w:rFonts w:ascii="Arial" w:hAnsi="Arial" w:cs="Arial"/>
          <w:color w:val="auto"/>
          <w:sz w:val="24"/>
        </w:rPr>
        <w:t>Critical Examination of the Gothenburg Model in Person-Centred Care</w:t>
      </w:r>
      <w:bookmarkEnd w:id="4"/>
    </w:p>
    <w:p w14:paraId="497F048D" w14:textId="77777777" w:rsidR="00BB6C05" w:rsidRPr="00EE1F27" w:rsidRDefault="00486508" w:rsidP="00BB6C05">
      <w:pPr>
        <w:pStyle w:val="NormalWeb"/>
        <w:spacing w:line="360" w:lineRule="auto"/>
        <w:jc w:val="both"/>
        <w:rPr>
          <w:rStyle w:val="relative"/>
          <w:rFonts w:ascii="Arial" w:hAnsi="Arial" w:cs="Arial"/>
        </w:rPr>
      </w:pPr>
      <w:r w:rsidRPr="00EE1F27">
        <w:rPr>
          <w:rStyle w:val="relative"/>
          <w:rFonts w:ascii="Arial" w:hAnsi="Arial" w:cs="Arial"/>
        </w:rPr>
        <w:t>The Gothenburg Model developed by the University of Gothenburg GPCC is an intermediate theory that translates person-centred care into practice through well-planned partnership collaborations between patients and health care teams (McCance and McCormack, 2025).</w:t>
      </w:r>
      <w:r w:rsidR="001C13AC" w:rsidRPr="00EE1F27">
        <w:rPr>
          <w:rStyle w:val="relative"/>
          <w:rFonts w:ascii="Arial" w:hAnsi="Arial" w:cs="Arial"/>
        </w:rPr>
        <w:t>The model incorporates the fundamental beliefs of PCC, which include respecting individual values, shared decision-making, and customised care planning by involving patients as co-authors of their care. Its use at Sahlgrenska University Hospital, where 300 employees were spread across six wards, showed a record level of effectiveness in reducing the time patients spend in the establishment by half in cases of hip fracture surgery (Gyllensten aet al., 2025). Nevertheless, large-scale integration reveals imminent obstacles. The model requires high dedication to implement, as approximately 200 employees in each hospital unit require PCC training. This figure necessitates more than 150 additional hours to support fundamental procedures each year (Rogers aet al., 2022). Resistance would be high, and 120 employees in five wards would be subscribing to hierarchical norms, which would destroy the ideas of partnership. Moreover, the need to implement the uniform application of the NSQH framework at 60 clinical locations highlights the issues associated with differences in organisational cultures and discontinuity of managerial support. Therefore, even though the Gothenburg Model may be assumed to enhance PCC due to the incorporation of collaborative, person-focused practise, reaching its potential in diverse environments requires context-specific modifications, strong leadership, and orientation to learning objectives to align marking requirements effectively.</w:t>
      </w:r>
    </w:p>
    <w:p w14:paraId="28DE750F" w14:textId="77777777" w:rsidR="00514D2A" w:rsidRPr="00EE1F27" w:rsidRDefault="00514D2A" w:rsidP="00BB6C05">
      <w:pPr>
        <w:pStyle w:val="NormalWeb"/>
        <w:spacing w:line="360" w:lineRule="auto"/>
        <w:jc w:val="both"/>
        <w:rPr>
          <w:rStyle w:val="relative"/>
          <w:rFonts w:ascii="Arial" w:hAnsi="Arial" w:cs="Arial"/>
        </w:rPr>
      </w:pPr>
    </w:p>
    <w:p w14:paraId="793D8023" w14:textId="77777777" w:rsidR="00514D2A" w:rsidRPr="00EE1F27" w:rsidRDefault="00514D2A" w:rsidP="00514D2A">
      <w:pPr>
        <w:pStyle w:val="Heading1"/>
        <w:numPr>
          <w:ilvl w:val="0"/>
          <w:numId w:val="1"/>
        </w:numPr>
        <w:spacing w:line="360" w:lineRule="auto"/>
        <w:jc w:val="both"/>
        <w:rPr>
          <w:rStyle w:val="relative"/>
          <w:rFonts w:ascii="Arial" w:hAnsi="Arial" w:cs="Arial"/>
        </w:rPr>
      </w:pPr>
      <w:bookmarkStart w:id="5" w:name="_Toc202364638"/>
      <w:r w:rsidRPr="00EE1F27">
        <w:rPr>
          <w:rFonts w:ascii="Arial" w:hAnsi="Arial" w:cs="Arial"/>
          <w:color w:val="auto"/>
          <w:sz w:val="24"/>
        </w:rPr>
        <w:t>Ethical Principles and Emerging Challenges in Health and Social Care</w:t>
      </w:r>
      <w:bookmarkEnd w:id="5"/>
    </w:p>
    <w:p w14:paraId="4769A7B0" w14:textId="77777777" w:rsidR="006C0966" w:rsidRPr="00EE1F27" w:rsidRDefault="00164250" w:rsidP="006C0966">
      <w:pPr>
        <w:pStyle w:val="NormalWeb"/>
        <w:spacing w:line="360" w:lineRule="auto"/>
        <w:jc w:val="both"/>
        <w:rPr>
          <w:rStyle w:val="relative"/>
          <w:rFonts w:ascii="Arial" w:hAnsi="Arial" w:cs="Arial"/>
        </w:rPr>
      </w:pPr>
      <w:r w:rsidRPr="00EE1F27">
        <w:rPr>
          <w:rStyle w:val="relative"/>
          <w:rFonts w:ascii="Arial" w:hAnsi="Arial" w:cs="Arial"/>
        </w:rPr>
        <w:t>Health and social care are based on ethical principles to protect dignity, rights, and well-being. The core principles are interconnected; autonomy, beneficence, non-maleficence, and justice are related to each other, which is illustrated in Figure 2: Healthcare ethics ( Mousavi, 2024). By respecting choices, autonomy is guaranteed; beneficence and non-maleficence prioritise doing good to patients and prevent harm, whereas justice honours fair distribution of healthcare resources (Haddad and Geiger, 2023; AlHasan, 2023).</w:t>
      </w:r>
      <w:r w:rsidR="006C0966" w:rsidRPr="00EE1F27">
        <w:rPr>
          <w:rStyle w:val="relative"/>
          <w:rFonts w:ascii="Arial" w:hAnsi="Arial" w:cs="Arial"/>
        </w:rPr>
        <w:t xml:space="preserve"> Collectively, they also support balanced person-centred care (PCC). However, in practise, conflicts emerge. At the Jean Bishop Integrated Care Centre, proactive frailty interventions promote practises that support a patient-centred goal of autonomy and beneficence, resulting in a 53% decrease in emergency referrals among older adults who co-design their plans. Inversely, incorporating AI to forecast patient risks depicts ethical challenges. Artificial intelligence can exacerbate inequalities, compromising non-maleficence and fairness when built on skewed data (Weiner aet al., 2024).</w:t>
      </w:r>
    </w:p>
    <w:p w14:paraId="3B52F736" w14:textId="77777777" w:rsidR="00FE762B" w:rsidRPr="00EE1F27" w:rsidRDefault="006C0966" w:rsidP="006C0966">
      <w:pPr>
        <w:pStyle w:val="NormalWeb"/>
        <w:spacing w:line="360" w:lineRule="auto"/>
        <w:jc w:val="both"/>
        <w:rPr>
          <w:rStyle w:val="relative"/>
          <w:rFonts w:ascii="Arial" w:hAnsi="Arial" w:cs="Arial"/>
        </w:rPr>
      </w:pPr>
      <w:r w:rsidRPr="00EE1F27">
        <w:rPr>
          <w:rStyle w:val="relative"/>
          <w:rFonts w:ascii="Arial" w:hAnsi="Arial" w:cs="Arial"/>
        </w:rPr>
        <w:t>Furthermore, confidentiality is more difficult to achieve with broad data sharing. Critics argue that AI undermines trust and informed consent; supporters contend that it facilitates personalised care. These disparities illustrate the changing moral environment. Constant reflection and transparent governance are essential to ensure that PCC and PW treat patients with respect for their rights while also embracing new opportunities to achieve equitable and humane outcomes through avenues of innovation.</w:t>
      </w:r>
    </w:p>
    <w:p w14:paraId="78E29826" w14:textId="77777777" w:rsidR="004E4111" w:rsidRPr="00EE1F27" w:rsidRDefault="004E4111" w:rsidP="000F26BA">
      <w:pPr>
        <w:pStyle w:val="NormalWeb"/>
        <w:spacing w:line="360" w:lineRule="auto"/>
        <w:jc w:val="both"/>
        <w:rPr>
          <w:rStyle w:val="relative"/>
          <w:rFonts w:ascii="Arial" w:hAnsi="Arial" w:cs="Arial"/>
        </w:rPr>
      </w:pPr>
    </w:p>
    <w:p w14:paraId="27F3D93A" w14:textId="77777777" w:rsidR="0035060B" w:rsidRPr="00EE1F27" w:rsidRDefault="004E4111" w:rsidP="0035060B">
      <w:pPr>
        <w:pStyle w:val="NormalWeb"/>
        <w:keepNext/>
        <w:spacing w:line="360" w:lineRule="auto"/>
        <w:jc w:val="both"/>
      </w:pPr>
      <w:r w:rsidRPr="00EE1F27">
        <w:rPr>
          <w:noProof/>
        </w:rPr>
        <w:drawing>
          <wp:inline distT="0" distB="0" distL="0" distR="0" wp14:anchorId="2E465911" wp14:editId="5BD3ACB4">
            <wp:extent cx="5935980" cy="50596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5066175"/>
                    </a:xfrm>
                    <a:prstGeom prst="rect">
                      <a:avLst/>
                    </a:prstGeom>
                  </pic:spPr>
                </pic:pic>
              </a:graphicData>
            </a:graphic>
          </wp:inline>
        </w:drawing>
      </w:r>
    </w:p>
    <w:p w14:paraId="50E13D71" w14:textId="77777777" w:rsidR="004E4111" w:rsidRPr="00EE1F27" w:rsidRDefault="0035060B" w:rsidP="0035060B">
      <w:pPr>
        <w:pStyle w:val="Caption"/>
        <w:spacing w:line="360" w:lineRule="auto"/>
        <w:jc w:val="center"/>
        <w:rPr>
          <w:rStyle w:val="relative"/>
          <w:rFonts w:ascii="Arial" w:eastAsia="Times New Roman" w:hAnsi="Arial" w:cs="Arial"/>
          <w:bCs w:val="0"/>
          <w:color w:val="auto"/>
          <w:sz w:val="24"/>
          <w:szCs w:val="24"/>
        </w:rPr>
      </w:pPr>
      <w:bookmarkStart w:id="6" w:name="_Toc202364557"/>
      <w:r w:rsidRPr="00EE1F27">
        <w:rPr>
          <w:rStyle w:val="relative"/>
          <w:rFonts w:ascii="Arial" w:eastAsia="Times New Roman" w:hAnsi="Arial" w:cs="Arial"/>
          <w:bCs w:val="0"/>
          <w:color w:val="auto"/>
          <w:sz w:val="24"/>
          <w:szCs w:val="24"/>
        </w:rPr>
        <w:t xml:space="preserve">Figure </w:t>
      </w:r>
      <w:r w:rsidRPr="00EE1F27">
        <w:rPr>
          <w:rStyle w:val="relative"/>
          <w:rFonts w:ascii="Arial" w:eastAsia="Times New Roman" w:hAnsi="Arial" w:cs="Arial"/>
          <w:bCs w:val="0"/>
          <w:color w:val="auto"/>
          <w:sz w:val="24"/>
          <w:szCs w:val="24"/>
        </w:rPr>
        <w:fldChar w:fldCharType="begin"/>
      </w:r>
      <w:r w:rsidRPr="00EE1F27">
        <w:rPr>
          <w:rStyle w:val="relative"/>
          <w:rFonts w:ascii="Arial" w:eastAsia="Times New Roman" w:hAnsi="Arial" w:cs="Arial"/>
          <w:bCs w:val="0"/>
          <w:color w:val="auto"/>
          <w:sz w:val="24"/>
          <w:szCs w:val="24"/>
        </w:rPr>
        <w:instrText xml:space="preserve"> SEQ Figure \* ARABIC </w:instrText>
      </w:r>
      <w:r w:rsidRPr="00EE1F27">
        <w:rPr>
          <w:rStyle w:val="relative"/>
          <w:rFonts w:ascii="Arial" w:eastAsia="Times New Roman" w:hAnsi="Arial" w:cs="Arial"/>
          <w:bCs w:val="0"/>
          <w:color w:val="auto"/>
          <w:sz w:val="24"/>
          <w:szCs w:val="24"/>
        </w:rPr>
        <w:fldChar w:fldCharType="separate"/>
      </w:r>
      <w:r w:rsidRPr="00EE1F27">
        <w:rPr>
          <w:rStyle w:val="relative"/>
          <w:rFonts w:ascii="Arial" w:eastAsia="Times New Roman" w:hAnsi="Arial" w:cs="Arial"/>
          <w:bCs w:val="0"/>
          <w:color w:val="auto"/>
          <w:sz w:val="24"/>
          <w:szCs w:val="24"/>
        </w:rPr>
        <w:t>2</w:t>
      </w:r>
      <w:r w:rsidRPr="00EE1F27">
        <w:rPr>
          <w:rStyle w:val="relative"/>
          <w:rFonts w:ascii="Arial" w:eastAsia="Times New Roman" w:hAnsi="Arial" w:cs="Arial"/>
          <w:bCs w:val="0"/>
          <w:color w:val="auto"/>
          <w:sz w:val="24"/>
          <w:szCs w:val="24"/>
        </w:rPr>
        <w:fldChar w:fldCharType="end"/>
      </w:r>
      <w:r w:rsidRPr="00EE1F27">
        <w:rPr>
          <w:rStyle w:val="relative"/>
          <w:rFonts w:ascii="Arial" w:eastAsia="Times New Roman" w:hAnsi="Arial" w:cs="Arial"/>
          <w:bCs w:val="0"/>
          <w:color w:val="auto"/>
          <w:sz w:val="24"/>
          <w:szCs w:val="24"/>
        </w:rPr>
        <w:t>: Healthcare ethics (Mousavi, 2024)</w:t>
      </w:r>
      <w:bookmarkEnd w:id="6"/>
    </w:p>
    <w:p w14:paraId="6BFEFACE" w14:textId="77777777" w:rsidR="006C0966" w:rsidRPr="00EE1F27" w:rsidRDefault="006C0966" w:rsidP="006C0966"/>
    <w:p w14:paraId="2FE89A1D" w14:textId="77777777" w:rsidR="00514D2A" w:rsidRPr="00EE1F27" w:rsidRDefault="00514D2A" w:rsidP="00514D2A">
      <w:pPr>
        <w:pStyle w:val="Heading1"/>
        <w:numPr>
          <w:ilvl w:val="0"/>
          <w:numId w:val="1"/>
        </w:numPr>
        <w:spacing w:line="360" w:lineRule="auto"/>
        <w:jc w:val="both"/>
        <w:rPr>
          <w:rFonts w:ascii="Times New Roman" w:eastAsia="Times New Roman" w:hAnsi="Times New Roman" w:cs="Times New Roman"/>
          <w:sz w:val="24"/>
          <w:szCs w:val="24"/>
        </w:rPr>
      </w:pPr>
      <w:bookmarkStart w:id="7" w:name="_Toc202364639"/>
      <w:r w:rsidRPr="00EE1F27">
        <w:rPr>
          <w:rFonts w:ascii="Arial" w:hAnsi="Arial" w:cs="Arial"/>
          <w:color w:val="auto"/>
          <w:sz w:val="24"/>
        </w:rPr>
        <w:t>Evaluation of Partnership Working in Health and Social Care</w:t>
      </w:r>
      <w:bookmarkEnd w:id="7"/>
    </w:p>
    <w:p w14:paraId="096D05F5" w14:textId="77777777" w:rsidR="006C0966" w:rsidRPr="00EE1F27" w:rsidRDefault="00F52AE6" w:rsidP="00D4743A">
      <w:pPr>
        <w:pStyle w:val="NormalWeb"/>
        <w:spacing w:line="360" w:lineRule="auto"/>
        <w:jc w:val="both"/>
        <w:rPr>
          <w:rStyle w:val="relative"/>
          <w:rFonts w:ascii="Arial" w:hAnsi="Arial" w:cs="Arial"/>
        </w:rPr>
      </w:pPr>
      <w:r w:rsidRPr="00EE1F27">
        <w:rPr>
          <w:rStyle w:val="relative"/>
          <w:rFonts w:ascii="Arial" w:hAnsi="Arial" w:cs="Arial"/>
        </w:rPr>
        <w:t>Partnership working (PW) within the UK health and social care is a potential to unite healthcare, local authorities and community organisations to enable delivery of integrated and patient centred care. This was formalised by the Health and Care Act 2022 with 42 Integrated Care Systems (ICSs), both addressing fragmentation and the disparities in health.</w:t>
      </w:r>
      <w:r w:rsidR="006C0966" w:rsidRPr="00EE1F27">
        <w:rPr>
          <w:rStyle w:val="relative"/>
          <w:rFonts w:ascii="Arial" w:hAnsi="Arial" w:cs="Arial"/>
        </w:rPr>
        <w:t>PW plays a key role in integrating various expertise and resources to improve service efficiency and outcomes. The Michigan Health Continuing Care Clinics, which were initiated in 2023 across a 26-county region, demonstrate how Axial partnership methods can help lower hospital readmissions through services such as post-discharge care, preventive care, and access to food, transportation, and medications without patient charges (Midland Daily News, 2025).</w:t>
      </w:r>
    </w:p>
    <w:p w14:paraId="368A3D0E" w14:textId="77777777" w:rsidR="00D4743A" w:rsidRPr="00EE1F27" w:rsidRDefault="006C0966" w:rsidP="00D4743A">
      <w:pPr>
        <w:pStyle w:val="NormalWeb"/>
        <w:spacing w:line="360" w:lineRule="auto"/>
        <w:jc w:val="both"/>
        <w:rPr>
          <w:rStyle w:val="relative"/>
          <w:rFonts w:ascii="Arial" w:hAnsi="Arial" w:cs="Arial"/>
        </w:rPr>
      </w:pPr>
      <w:r w:rsidRPr="00EE1F27">
        <w:rPr>
          <w:rStyle w:val="relative"/>
          <w:rFonts w:ascii="Arial" w:hAnsi="Arial" w:cs="Arial"/>
        </w:rPr>
        <w:t>Similarly, the Same Day Emergency Care function combined the facilities of a hospital, a GP, and a community to achieve a 30 per cent decrease in GP attendance and a 14 per cent reduction in bed occupancy, demonstrating how PW can simplify the delivery of care (Neville, 2025). Still, there are difficulties. According to a systematic review conducted by Alderwick aet al. (2021), local health and non-health collaborations have minimal evidence that they universally achieve better outcomes, hindered by a variety of cultural factors, inconsistent leadership, or unequal distribution of resources. The Better Care Fund Support Programme referred to such issues as discontinuous fulfilment and the absence of strong shared responsibility (Department of Health and Social Care, 2025). In this way, PW still represents opportunities for more responsive and integrative services; however, to succeed consistently, there must be customised solutions with flexibility in various settings built on trust, coordination, and shared responsibility.</w:t>
      </w:r>
    </w:p>
    <w:p w14:paraId="70550CA3" w14:textId="77777777" w:rsidR="00D4743A" w:rsidRPr="00EE1F27" w:rsidRDefault="00D4743A" w:rsidP="00D4743A">
      <w:pPr>
        <w:pStyle w:val="NormalWeb"/>
        <w:spacing w:line="360" w:lineRule="auto"/>
        <w:jc w:val="both"/>
        <w:rPr>
          <w:rStyle w:val="relative"/>
          <w:rFonts w:ascii="Arial" w:hAnsi="Arial" w:cs="Arial"/>
        </w:rPr>
      </w:pPr>
    </w:p>
    <w:p w14:paraId="09D2BF28" w14:textId="77777777" w:rsidR="00B57CD7" w:rsidRPr="00EE1F27" w:rsidRDefault="00B57CD7" w:rsidP="00B57CD7">
      <w:pPr>
        <w:pStyle w:val="Heading1"/>
        <w:numPr>
          <w:ilvl w:val="0"/>
          <w:numId w:val="1"/>
        </w:numPr>
        <w:spacing w:line="360" w:lineRule="auto"/>
        <w:jc w:val="both"/>
      </w:pPr>
      <w:bookmarkStart w:id="8" w:name="_Toc202364640"/>
      <w:r w:rsidRPr="00EE1F27">
        <w:rPr>
          <w:rFonts w:ascii="Arial" w:hAnsi="Arial" w:cs="Arial"/>
          <w:bCs w:val="0"/>
          <w:color w:val="auto"/>
          <w:sz w:val="24"/>
        </w:rPr>
        <w:t>Application of Partnership Working in Health and Social Care: A Case Study of MyMichigan Health</w:t>
      </w:r>
      <w:bookmarkEnd w:id="8"/>
    </w:p>
    <w:p w14:paraId="74FC1168" w14:textId="77777777" w:rsidR="00B57CD7" w:rsidRPr="00EE1F27" w:rsidRDefault="00B57CD7" w:rsidP="00B57CD7">
      <w:pPr>
        <w:pStyle w:val="NormalWeb"/>
        <w:spacing w:line="360" w:lineRule="auto"/>
        <w:jc w:val="both"/>
        <w:rPr>
          <w:rStyle w:val="relative"/>
          <w:rFonts w:ascii="Arial" w:hAnsi="Arial" w:cs="Arial"/>
        </w:rPr>
      </w:pPr>
      <w:r w:rsidRPr="00EE1F27">
        <w:rPr>
          <w:rStyle w:val="relative"/>
          <w:rFonts w:ascii="Arial" w:hAnsi="Arial" w:cs="Arial"/>
        </w:rPr>
        <w:t xml:space="preserve">Michigan Health introduced Continuing Care Clinics in 26 Counties in 2023 to address the needs of patients without primary care physicians (Midland Daily News, 2025). The goal of such clinics is to reduce or minimise the number of readmissions and achieve better health outcomes by offering post-discharge services, preventive care, and connections to community resources, including food, transportation options, and medication delivery. </w:t>
      </w:r>
      <w:r w:rsidR="002D5728" w:rsidRPr="00EE1F27">
        <w:rPr>
          <w:rStyle w:val="relative"/>
          <w:rFonts w:ascii="Arial" w:hAnsi="Arial" w:cs="Arial"/>
        </w:rPr>
        <w:t>In 2025, Michigan Health and Hospital association honoured the programme with the 2025 Ludwig Community Benefit Award due to its innovative, effective methods of care delivery (Midland Daily News, 2025).</w:t>
      </w:r>
    </w:p>
    <w:p w14:paraId="0534C59C" w14:textId="77777777" w:rsidR="00B57CD7" w:rsidRPr="00EE1F27" w:rsidRDefault="002D5728" w:rsidP="00B57CD7">
      <w:pPr>
        <w:pStyle w:val="NormalWeb"/>
        <w:spacing w:line="360" w:lineRule="auto"/>
        <w:jc w:val="both"/>
        <w:rPr>
          <w:rStyle w:val="relative"/>
          <w:rFonts w:ascii="Arial" w:hAnsi="Arial" w:cs="Arial"/>
        </w:rPr>
      </w:pPr>
      <w:r w:rsidRPr="00EE1F27">
        <w:rPr>
          <w:rStyle w:val="relative"/>
          <w:rFonts w:ascii="Arial" w:hAnsi="Arial" w:cs="Arial"/>
        </w:rPr>
        <w:t>This success shows how essential cooperation is in successful health care and social care delivery.</w:t>
      </w:r>
      <w:r w:rsidR="00B57CD7" w:rsidRPr="00EE1F27">
        <w:rPr>
          <w:rStyle w:val="relative"/>
          <w:rFonts w:ascii="Arial" w:hAnsi="Arial" w:cs="Arial"/>
        </w:rPr>
        <w:t xml:space="preserve"> MyMichigan Health has partnered with local charities, such as The Bridge Food Centre, and regional transportation providers to offer its services free of charge to patients, ensuring that each patient has equal access to healthcare (Midland Daily News, 2025). This model not only responds to short-term health demands but also addresses social determinants of health, proving the efficiency of integrated care in enhancing patient outcomes and reducing healthcare expenses.</w:t>
      </w:r>
    </w:p>
    <w:p w14:paraId="548DAAD7" w14:textId="77777777" w:rsidR="00B57CD7" w:rsidRPr="00EE1F27" w:rsidRDefault="00B57CD7" w:rsidP="00B57CD7">
      <w:pPr>
        <w:pStyle w:val="NormalWeb"/>
        <w:spacing w:line="360" w:lineRule="auto"/>
        <w:jc w:val="both"/>
        <w:rPr>
          <w:rStyle w:val="relative"/>
          <w:rFonts w:ascii="Arial" w:hAnsi="Arial" w:cs="Arial"/>
        </w:rPr>
      </w:pPr>
    </w:p>
    <w:p w14:paraId="59DFEAA6" w14:textId="77777777" w:rsidR="00D71090" w:rsidRPr="00EE1F27" w:rsidRDefault="00D71090" w:rsidP="00D71090">
      <w:pPr>
        <w:pStyle w:val="Heading1"/>
        <w:numPr>
          <w:ilvl w:val="0"/>
          <w:numId w:val="1"/>
        </w:numPr>
        <w:spacing w:line="360" w:lineRule="auto"/>
        <w:jc w:val="both"/>
        <w:rPr>
          <w:rStyle w:val="relative"/>
          <w:rFonts w:ascii="Arial" w:hAnsi="Arial" w:cs="Arial"/>
        </w:rPr>
      </w:pPr>
      <w:bookmarkStart w:id="9" w:name="_Toc202364641"/>
      <w:r w:rsidRPr="00EE1F27">
        <w:rPr>
          <w:color w:val="auto"/>
          <w:sz w:val="24"/>
        </w:rPr>
        <w:t>Critical Examination of Policy and Legislation in Person-Centred Care and Partnership Working</w:t>
      </w:r>
      <w:bookmarkEnd w:id="9"/>
    </w:p>
    <w:p w14:paraId="7E39B566" w14:textId="77777777" w:rsidR="000C5473" w:rsidRPr="00EE1F27" w:rsidRDefault="003B0809" w:rsidP="00D71090">
      <w:pPr>
        <w:pStyle w:val="NormalWeb"/>
        <w:spacing w:line="360" w:lineRule="auto"/>
        <w:jc w:val="both"/>
        <w:rPr>
          <w:rStyle w:val="relative"/>
          <w:rFonts w:ascii="Arial" w:hAnsi="Arial" w:cs="Arial"/>
        </w:rPr>
      </w:pPr>
      <w:r w:rsidRPr="00EE1F27">
        <w:rPr>
          <w:rStyle w:val="relative"/>
          <w:rFonts w:ascii="Arial" w:hAnsi="Arial" w:cs="Arial"/>
        </w:rPr>
        <w:t>The UK person-centred care (PCC) and partnership working (PW) are based on a broad legislative infrastructure. The Regulated Activities Regulations 2014 in Section 9 of the Health and Social Care Act 2008 indicate the provision of tailored care around individual needs, which is defined as requiring collaborative practice, reasonable adjustments, and empowering effective choices to work on an inclusive plan (Care Quality Commission, 2025; UK Government, 2023). PCC is also being developed further by the Care Act 2014 where an £86,000 cap on care is added to ensure affordability and fairness (Department of Health and Social Care, Prime Ministers Office, and Cabinet Office, 2024). Moreover, dignity, non-discrimination, and autonomy, which are crucial in PCC-related trust, are entrenched in the Human Rights Act 1998, and Equality Act 2010. The Health and Care Act 2022 puts PW on a statutory footing, bringing about 42 Integrated Care Systems (ICSs) across England, made up of 21 Integrated Care Boards (ICBs) and 21 Integrated Care Partnerships (ICPs), the successors of former strategic networks. These statutory agencies will all evaluate needs, prepare strategies, and resource allocations among NHS bodies, councils, and voluntary groups, having a core purpose to decrease health disparities (NHS England, 2023). Cases of East Birmingham in which integration reduced GPs visits by 30% and bed days in hospitals by 14% demonstrate how this type of legislation can be practically used to improve person-centered, coordinated care (Neville, 2025).</w:t>
      </w:r>
    </w:p>
    <w:p w14:paraId="06F0F4C2" w14:textId="77777777" w:rsidR="00B57CD7" w:rsidRPr="00EE1F27" w:rsidRDefault="000C5473" w:rsidP="00D71090">
      <w:pPr>
        <w:pStyle w:val="NormalWeb"/>
        <w:spacing w:line="360" w:lineRule="auto"/>
        <w:jc w:val="both"/>
        <w:rPr>
          <w:rStyle w:val="relative"/>
          <w:rFonts w:ascii="Arial" w:hAnsi="Arial" w:cs="Arial"/>
        </w:rPr>
      </w:pPr>
      <w:r w:rsidRPr="00EE1F27">
        <w:rPr>
          <w:rStyle w:val="relative"/>
          <w:rFonts w:ascii="Arial" w:hAnsi="Arial" w:cs="Arial"/>
        </w:rPr>
        <w:t>In addition, the Better Care Fund policy has anticipated the coming years 20232025 with health and social care partners creating harmonised spending plans that will promote more integrated and person-centred services (Department of Health and Social Care and Department for Levelling Up, Housing and Communities, 2023). Although these policies internalise the culture of PCC and PW, they also presuppose the strengthening of good local governance, collective responsibility, and cultural changes to combat fragmentation. In this way, legal frameworks not only prescribe priorities but also determine operating models in which local systems, such as community hubs, are forced to organise resources around patient-centred, holistic-based goals.</w:t>
      </w:r>
    </w:p>
    <w:p w14:paraId="64EA5CC3" w14:textId="77777777" w:rsidR="00B8286C" w:rsidRPr="00EE1F27" w:rsidRDefault="00B8286C" w:rsidP="00D71090">
      <w:pPr>
        <w:pStyle w:val="NormalWeb"/>
        <w:spacing w:line="360" w:lineRule="auto"/>
        <w:jc w:val="both"/>
        <w:rPr>
          <w:rStyle w:val="relative"/>
          <w:rFonts w:ascii="Arial" w:hAnsi="Arial" w:cs="Arial"/>
        </w:rPr>
      </w:pPr>
    </w:p>
    <w:p w14:paraId="0DF59E14" w14:textId="77777777" w:rsidR="00D71090" w:rsidRPr="00EE1F27" w:rsidRDefault="00D71090" w:rsidP="00B8286C">
      <w:pPr>
        <w:pStyle w:val="Heading1"/>
        <w:numPr>
          <w:ilvl w:val="0"/>
          <w:numId w:val="1"/>
        </w:numPr>
        <w:spacing w:line="360" w:lineRule="auto"/>
        <w:jc w:val="both"/>
        <w:rPr>
          <w:rStyle w:val="relative"/>
          <w:rFonts w:ascii="Arial" w:hAnsi="Arial" w:cs="Arial"/>
        </w:rPr>
      </w:pPr>
      <w:bookmarkStart w:id="10" w:name="_Toc202364642"/>
      <w:r w:rsidRPr="00EE1F27">
        <w:rPr>
          <w:rFonts w:ascii="Arial" w:hAnsi="Arial" w:cs="Arial"/>
          <w:color w:val="auto"/>
          <w:sz w:val="24"/>
        </w:rPr>
        <w:t>Recommendations for Advancing Person-Centred Care and Partnership Working in the UK</w:t>
      </w:r>
      <w:bookmarkEnd w:id="10"/>
    </w:p>
    <w:p w14:paraId="22BE14B3" w14:textId="77777777" w:rsidR="00D71090" w:rsidRPr="00EE1F27" w:rsidRDefault="00D71090" w:rsidP="00B8286C">
      <w:pPr>
        <w:pStyle w:val="Heading2"/>
        <w:numPr>
          <w:ilvl w:val="1"/>
          <w:numId w:val="1"/>
        </w:numPr>
        <w:spacing w:line="360" w:lineRule="auto"/>
        <w:jc w:val="both"/>
        <w:rPr>
          <w:rStyle w:val="relative"/>
          <w:rFonts w:ascii="Arial" w:hAnsi="Arial" w:cs="Arial"/>
        </w:rPr>
      </w:pPr>
      <w:bookmarkStart w:id="11" w:name="_Toc202364643"/>
      <w:r w:rsidRPr="00EE1F27">
        <w:rPr>
          <w:rStyle w:val="relative"/>
          <w:rFonts w:ascii="Arial" w:hAnsi="Arial" w:cs="Arial"/>
          <w:bCs w:val="0"/>
          <w:color w:val="auto"/>
          <w:sz w:val="24"/>
        </w:rPr>
        <w:t>Strengthen Workforce Training and Cultural Competency</w:t>
      </w:r>
      <w:bookmarkEnd w:id="11"/>
    </w:p>
    <w:p w14:paraId="712CC9AD" w14:textId="77777777" w:rsidR="00C37DF5" w:rsidRPr="00EE1F27" w:rsidRDefault="000C5473" w:rsidP="00B8286C">
      <w:pPr>
        <w:pStyle w:val="NormalWeb"/>
        <w:spacing w:line="360" w:lineRule="auto"/>
        <w:jc w:val="both"/>
        <w:rPr>
          <w:rStyle w:val="relative"/>
          <w:rFonts w:ascii="Arial" w:hAnsi="Arial" w:cs="Arial"/>
        </w:rPr>
      </w:pPr>
      <w:r w:rsidRPr="00EE1F27">
        <w:rPr>
          <w:rStyle w:val="relative"/>
          <w:rFonts w:ascii="Arial" w:hAnsi="Arial" w:cs="Arial"/>
        </w:rPr>
        <w:t>One of the most significant weaknesses in UK PCC and PW is the inadequate integration of PCC values throughout medical education. Moore aet al. (2023) highlight the inconsistency in PCC training within postgraduate programmes, which hinders collaboration in care. The application of PCC principles and cultural competency, particularly essential in multicultural regions such as East Birmingham, can help develop a competent and compassionate workforce, which can be achieved by implementing common training across all healthcare levels (Blake, 2024). However, this change can only be achieved through long-term funding and professional resistance.</w:t>
      </w:r>
    </w:p>
    <w:p w14:paraId="5E41E9F5" w14:textId="77777777" w:rsidR="00C37DF5" w:rsidRPr="00EE1F27" w:rsidRDefault="00C37DF5" w:rsidP="00B8286C">
      <w:pPr>
        <w:pStyle w:val="NormalWeb"/>
        <w:spacing w:line="360" w:lineRule="auto"/>
        <w:jc w:val="both"/>
        <w:rPr>
          <w:rStyle w:val="relative"/>
          <w:rFonts w:ascii="Arial" w:hAnsi="Arial" w:cs="Arial"/>
          <w:b/>
          <w:bCs/>
        </w:rPr>
      </w:pPr>
    </w:p>
    <w:p w14:paraId="21B93C70" w14:textId="77777777" w:rsidR="00D71090" w:rsidRPr="00EE1F27" w:rsidRDefault="00D71090" w:rsidP="00B8286C">
      <w:pPr>
        <w:pStyle w:val="Heading2"/>
        <w:numPr>
          <w:ilvl w:val="1"/>
          <w:numId w:val="1"/>
        </w:numPr>
        <w:spacing w:line="360" w:lineRule="auto"/>
        <w:jc w:val="both"/>
        <w:rPr>
          <w:rStyle w:val="relative"/>
          <w:rFonts w:ascii="Arial" w:hAnsi="Arial" w:cs="Arial"/>
        </w:rPr>
      </w:pPr>
      <w:bookmarkStart w:id="12" w:name="_Toc202364644"/>
      <w:r w:rsidRPr="00EE1F27">
        <w:rPr>
          <w:rStyle w:val="relative"/>
          <w:rFonts w:ascii="Arial" w:hAnsi="Arial" w:cs="Arial"/>
          <w:bCs w:val="0"/>
          <w:color w:val="auto"/>
          <w:sz w:val="24"/>
        </w:rPr>
        <w:t>Enhance Integration Through Technology and Data Sharing</w:t>
      </w:r>
      <w:bookmarkEnd w:id="12"/>
    </w:p>
    <w:p w14:paraId="5A5065C2" w14:textId="77777777" w:rsidR="00C37DF5" w:rsidRPr="00EE1F27" w:rsidRDefault="00066A21" w:rsidP="00B8286C">
      <w:pPr>
        <w:pStyle w:val="NormalWeb"/>
        <w:spacing w:line="360" w:lineRule="auto"/>
        <w:jc w:val="both"/>
        <w:rPr>
          <w:rStyle w:val="relative"/>
          <w:rFonts w:ascii="Arial" w:hAnsi="Arial" w:cs="Arial"/>
        </w:rPr>
      </w:pPr>
      <w:r w:rsidRPr="00EE1F27">
        <w:rPr>
          <w:rStyle w:val="relative"/>
          <w:rFonts w:ascii="Arial" w:hAnsi="Arial" w:cs="Arial"/>
        </w:rPr>
        <w:t>Technological integration is still scattered. According to a £25 million 2022/23 addition, although £25 million was added in 2022/23, only 45 per cent of providers have implemented digital social care records (HTN Health Tech News, 2022). Although millions of people (37 million) use the NHS App, legacy systems still result in 1.5 million missed appointments (Kc aet al., 2023). The success of integrating East Birmingham relies on the smooth flow of data. The rate of interoperability between systems under strong digital governance must be accelerated; however, investments in expensive infrastructure improvements and addressing data security issues may become a significant roadblock.</w:t>
      </w:r>
    </w:p>
    <w:p w14:paraId="595CB1D8" w14:textId="77777777" w:rsidR="00C37DF5" w:rsidRPr="00EE1F27" w:rsidRDefault="00C37DF5" w:rsidP="00B8286C">
      <w:pPr>
        <w:pStyle w:val="NormalWeb"/>
        <w:spacing w:line="360" w:lineRule="auto"/>
        <w:jc w:val="both"/>
        <w:rPr>
          <w:rStyle w:val="relative"/>
          <w:rFonts w:ascii="Arial" w:hAnsi="Arial" w:cs="Arial"/>
        </w:rPr>
      </w:pPr>
    </w:p>
    <w:p w14:paraId="541F9AA9" w14:textId="77777777" w:rsidR="00D71090" w:rsidRPr="00EE1F27" w:rsidRDefault="00D71090" w:rsidP="00B8286C">
      <w:pPr>
        <w:pStyle w:val="Heading2"/>
        <w:numPr>
          <w:ilvl w:val="1"/>
          <w:numId w:val="1"/>
        </w:numPr>
        <w:spacing w:line="360" w:lineRule="auto"/>
        <w:jc w:val="both"/>
        <w:rPr>
          <w:rStyle w:val="relative"/>
          <w:rFonts w:ascii="Arial" w:hAnsi="Arial" w:cs="Arial"/>
        </w:rPr>
      </w:pPr>
      <w:bookmarkStart w:id="13" w:name="_Toc202364645"/>
      <w:r w:rsidRPr="00EE1F27">
        <w:rPr>
          <w:rStyle w:val="relative"/>
          <w:rFonts w:ascii="Arial" w:hAnsi="Arial" w:cs="Arial"/>
          <w:bCs w:val="0"/>
          <w:color w:val="auto"/>
          <w:sz w:val="24"/>
        </w:rPr>
        <w:t>Foster Community-Based Care Models</w:t>
      </w:r>
      <w:bookmarkEnd w:id="13"/>
    </w:p>
    <w:p w14:paraId="5B7D3483" w14:textId="77777777" w:rsidR="00154568" w:rsidRPr="00EE1F27" w:rsidRDefault="009B6D9F" w:rsidP="00B8286C">
      <w:pPr>
        <w:pStyle w:val="NormalWeb"/>
        <w:spacing w:line="360" w:lineRule="auto"/>
        <w:jc w:val="both"/>
        <w:rPr>
          <w:rStyle w:val="relative"/>
          <w:rFonts w:ascii="Arial" w:hAnsi="Arial" w:cs="Arial"/>
        </w:rPr>
      </w:pPr>
      <w:r w:rsidRPr="00EE1F27">
        <w:rPr>
          <w:rStyle w:val="relative"/>
          <w:rFonts w:ascii="Arial" w:hAnsi="Arial" w:cs="Arial"/>
        </w:rPr>
        <w:t>The community-level interventions are still lacking, making hospital pressures inevitable. Donnelly (2023) and Neville (2024) demonstrate that initiatives such as Growing Health Together in Surrey effectively meet the needs of the local population. The NHS 10-year plan's vision of building additional local health centres (Reuters, 2025; Halliday, 2025) should focus on high-need regions, aiming to reduce the number of hospital admissions and address social factors. Nonetheless, these models require a substantial multi-agency collaboration and adequate funding distribution to be successful.</w:t>
      </w:r>
    </w:p>
    <w:p w14:paraId="6D546DBD" w14:textId="77777777" w:rsidR="00D71090" w:rsidRPr="00EE1F27" w:rsidRDefault="00C37DF5" w:rsidP="00B8286C">
      <w:pPr>
        <w:pStyle w:val="NormalWeb"/>
        <w:spacing w:line="360" w:lineRule="auto"/>
        <w:jc w:val="both"/>
        <w:rPr>
          <w:rStyle w:val="relative"/>
          <w:rFonts w:ascii="Arial" w:hAnsi="Arial" w:cs="Arial"/>
        </w:rPr>
      </w:pPr>
      <w:r w:rsidRPr="00EE1F27">
        <w:rPr>
          <w:rStyle w:val="relative"/>
          <w:rFonts w:ascii="Arial" w:hAnsi="Arial" w:cs="Arial"/>
        </w:rPr>
        <w:t xml:space="preserve"> </w:t>
      </w:r>
    </w:p>
    <w:p w14:paraId="5B02D7EE" w14:textId="77777777" w:rsidR="00D71090" w:rsidRPr="00EE1F27" w:rsidRDefault="00D71090" w:rsidP="00B8286C">
      <w:pPr>
        <w:pStyle w:val="Heading2"/>
        <w:numPr>
          <w:ilvl w:val="1"/>
          <w:numId w:val="1"/>
        </w:numPr>
        <w:spacing w:line="360" w:lineRule="auto"/>
        <w:jc w:val="both"/>
        <w:rPr>
          <w:rStyle w:val="relative"/>
          <w:rFonts w:ascii="Arial" w:hAnsi="Arial" w:cs="Arial"/>
        </w:rPr>
      </w:pPr>
      <w:bookmarkStart w:id="14" w:name="_Toc202364646"/>
      <w:r w:rsidRPr="00EE1F27">
        <w:rPr>
          <w:rStyle w:val="relative"/>
          <w:rFonts w:ascii="Arial" w:hAnsi="Arial" w:cs="Arial"/>
          <w:bCs w:val="0"/>
          <w:color w:val="auto"/>
          <w:sz w:val="24"/>
        </w:rPr>
        <w:t>Implement Comprehensive Evaluation and Accountability Mechanisms</w:t>
      </w:r>
      <w:bookmarkEnd w:id="14"/>
    </w:p>
    <w:p w14:paraId="1722B16F" w14:textId="77777777" w:rsidR="00C37DF5" w:rsidRPr="00EE1F27" w:rsidRDefault="00155986" w:rsidP="00B8286C">
      <w:pPr>
        <w:pStyle w:val="NormalWeb"/>
        <w:spacing w:line="360" w:lineRule="auto"/>
        <w:jc w:val="both"/>
        <w:rPr>
          <w:rStyle w:val="relative"/>
          <w:rFonts w:ascii="Arial" w:hAnsi="Arial" w:cs="Arial"/>
        </w:rPr>
      </w:pPr>
      <w:r w:rsidRPr="00EE1F27">
        <w:rPr>
          <w:rStyle w:val="relative"/>
          <w:rFonts w:ascii="Arial" w:hAnsi="Arial" w:cs="Arial"/>
        </w:rPr>
        <w:t>The absence of regular monitoring threatens the impact of PCC and PW. It is proposed that the design of the Better Care Fund emphasises collective accountability (Department of Health and Social Care and Department for Levelling Up, Housing and Communities, 2024). The enshrinement of rigorous assessments, following costs, results, and satisfaction, would motivate long-lasting, meaningful changes in local centres, such as East Birmingham. Nevertheless, there may be a burden associated with data collection, as well as disparities in local capabilities and barriers to standard evaluation.</w:t>
      </w:r>
    </w:p>
    <w:p w14:paraId="28FDBF59" w14:textId="77777777" w:rsidR="00D71090" w:rsidRPr="00EE1F27" w:rsidRDefault="00C37DF5" w:rsidP="00B8286C">
      <w:pPr>
        <w:pStyle w:val="NormalWeb"/>
        <w:spacing w:line="360" w:lineRule="auto"/>
        <w:jc w:val="both"/>
        <w:rPr>
          <w:rStyle w:val="relative"/>
          <w:rFonts w:ascii="Arial" w:hAnsi="Arial" w:cs="Arial"/>
        </w:rPr>
      </w:pPr>
      <w:r w:rsidRPr="00EE1F27">
        <w:rPr>
          <w:rStyle w:val="relative"/>
          <w:rFonts w:ascii="Arial" w:hAnsi="Arial" w:cs="Arial"/>
        </w:rPr>
        <w:t xml:space="preserve"> </w:t>
      </w:r>
    </w:p>
    <w:p w14:paraId="29A292DF" w14:textId="77777777" w:rsidR="00D71090" w:rsidRPr="00EE1F27" w:rsidRDefault="00D71090" w:rsidP="00B8286C">
      <w:pPr>
        <w:pStyle w:val="Heading2"/>
        <w:numPr>
          <w:ilvl w:val="1"/>
          <w:numId w:val="1"/>
        </w:numPr>
        <w:spacing w:line="360" w:lineRule="auto"/>
        <w:jc w:val="both"/>
        <w:rPr>
          <w:rStyle w:val="relative"/>
          <w:rFonts w:ascii="Arial" w:hAnsi="Arial" w:cs="Arial"/>
        </w:rPr>
      </w:pPr>
      <w:bookmarkStart w:id="15" w:name="_Toc202364647"/>
      <w:r w:rsidRPr="00EE1F27">
        <w:rPr>
          <w:rStyle w:val="relative"/>
          <w:rFonts w:ascii="Arial" w:hAnsi="Arial" w:cs="Arial"/>
          <w:bCs w:val="0"/>
          <w:color w:val="auto"/>
          <w:sz w:val="24"/>
        </w:rPr>
        <w:t xml:space="preserve">Address Health Inequalities </w:t>
      </w:r>
      <w:r w:rsidR="00B8286C" w:rsidRPr="00EE1F27">
        <w:rPr>
          <w:rStyle w:val="relative"/>
          <w:rFonts w:ascii="Arial" w:hAnsi="Arial" w:cs="Arial"/>
          <w:bCs w:val="0"/>
          <w:color w:val="auto"/>
          <w:sz w:val="24"/>
        </w:rPr>
        <w:t>through</w:t>
      </w:r>
      <w:r w:rsidRPr="00EE1F27">
        <w:rPr>
          <w:rStyle w:val="relative"/>
          <w:rFonts w:ascii="Arial" w:hAnsi="Arial" w:cs="Arial"/>
          <w:bCs w:val="0"/>
          <w:color w:val="auto"/>
          <w:sz w:val="24"/>
        </w:rPr>
        <w:t xml:space="preserve"> Targeted Interventions</w:t>
      </w:r>
      <w:bookmarkEnd w:id="15"/>
    </w:p>
    <w:p w14:paraId="5CE9512C" w14:textId="77777777" w:rsidR="00B8286C" w:rsidRPr="00EE1F27" w:rsidRDefault="005F3650" w:rsidP="00B8286C">
      <w:pPr>
        <w:pStyle w:val="NormalWeb"/>
        <w:spacing w:line="360" w:lineRule="auto"/>
        <w:jc w:val="both"/>
        <w:rPr>
          <w:rStyle w:val="relative"/>
          <w:rFonts w:ascii="Arial" w:hAnsi="Arial" w:cs="Arial"/>
        </w:rPr>
      </w:pPr>
      <w:r w:rsidRPr="00EE1F27">
        <w:rPr>
          <w:rStyle w:val="relative"/>
          <w:rFonts w:ascii="Arial" w:hAnsi="Arial" w:cs="Arial"/>
        </w:rPr>
        <w:t>Sustained imbalances counteract fair treatment. According to The King's Fund, place-based partnerships can address the actual causes of ill health by adjusting the interventions to the realities of the community (Ross aet al., 2025). The direct investment in underserved areas and citizen participation in the process lead to the enhancement of trusting relationships and improved outcomes (Powell and Mutebi, 2025). The former can only be accomplished by fighting local leadership fragmentation and achieving long-term policy support.</w:t>
      </w:r>
    </w:p>
    <w:p w14:paraId="7DDBEEDB" w14:textId="77777777" w:rsidR="005F3650" w:rsidRPr="00EE1F27" w:rsidRDefault="005F3650" w:rsidP="00B8286C">
      <w:pPr>
        <w:pStyle w:val="NormalWeb"/>
        <w:spacing w:line="360" w:lineRule="auto"/>
        <w:jc w:val="both"/>
        <w:rPr>
          <w:rStyle w:val="relative"/>
          <w:rFonts w:ascii="Arial" w:hAnsi="Arial" w:cs="Arial"/>
        </w:rPr>
      </w:pPr>
    </w:p>
    <w:p w14:paraId="79673AA5" w14:textId="77777777" w:rsidR="00B8286C" w:rsidRPr="00EE1F27" w:rsidRDefault="00B8286C" w:rsidP="00B8286C">
      <w:pPr>
        <w:pStyle w:val="Heading1"/>
        <w:numPr>
          <w:ilvl w:val="0"/>
          <w:numId w:val="1"/>
        </w:numPr>
        <w:spacing w:line="360" w:lineRule="auto"/>
        <w:jc w:val="both"/>
        <w:rPr>
          <w:rFonts w:ascii="Arial" w:hAnsi="Arial" w:cs="Arial"/>
          <w:color w:val="auto"/>
          <w:sz w:val="24"/>
        </w:rPr>
      </w:pPr>
      <w:bookmarkStart w:id="16" w:name="_Toc202364648"/>
      <w:r w:rsidRPr="00EE1F27">
        <w:rPr>
          <w:rFonts w:ascii="Arial" w:hAnsi="Arial" w:cs="Arial"/>
          <w:color w:val="auto"/>
          <w:sz w:val="24"/>
        </w:rPr>
        <w:t>Conclusion</w:t>
      </w:r>
      <w:bookmarkEnd w:id="16"/>
      <w:r w:rsidRPr="00EE1F27">
        <w:rPr>
          <w:rFonts w:ascii="Arial" w:hAnsi="Arial" w:cs="Arial"/>
          <w:color w:val="auto"/>
          <w:sz w:val="24"/>
        </w:rPr>
        <w:t xml:space="preserve"> </w:t>
      </w:r>
    </w:p>
    <w:p w14:paraId="47F6C06D" w14:textId="67444BE9" w:rsidR="00A65787" w:rsidRPr="00A65787" w:rsidRDefault="00A65787" w:rsidP="00A65787">
      <w:pPr>
        <w:pStyle w:val="NormalWeb"/>
        <w:spacing w:line="360" w:lineRule="auto"/>
        <w:rPr>
          <w:rStyle w:val="relative"/>
          <w:rFonts w:ascii="Arial" w:hAnsi="Arial" w:cs="Arial"/>
        </w:rPr>
      </w:pPr>
      <w:r>
        <w:rPr>
          <w:rStyle w:val="relative"/>
          <w:rFonts w:ascii="Arial" w:hAnsi="Arial" w:cs="Arial"/>
        </w:rPr>
        <w:t xml:space="preserve"> </w:t>
      </w:r>
      <w:r w:rsidRPr="00A65787">
        <w:rPr>
          <w:rStyle w:val="relative"/>
          <w:rFonts w:ascii="Arial" w:hAnsi="Arial" w:cs="Arial"/>
        </w:rPr>
        <w:t>The analysis has shown that person-centred care and partnership working play a central role in the delivery of humane, equitable and effective health and social care in the UK. Evidence from models like the Gothenburg framework, the Jean Bishop Integrated Care Centre</w:t>
      </w:r>
      <w:r>
        <w:rPr>
          <w:rStyle w:val="relative"/>
          <w:rFonts w:ascii="Arial" w:hAnsi="Arial" w:cs="Arial"/>
        </w:rPr>
        <w:t>,</w:t>
      </w:r>
      <w:r w:rsidRPr="00A65787">
        <w:rPr>
          <w:rStyle w:val="relative"/>
          <w:rFonts w:ascii="Arial" w:hAnsi="Arial" w:cs="Arial"/>
        </w:rPr>
        <w:t xml:space="preserve"> and MyMichigan Health ha</w:t>
      </w:r>
      <w:r>
        <w:rPr>
          <w:rStyle w:val="relative"/>
          <w:rFonts w:ascii="Arial" w:hAnsi="Arial" w:cs="Arial"/>
        </w:rPr>
        <w:t>s</w:t>
      </w:r>
      <w:r w:rsidRPr="00A65787">
        <w:rPr>
          <w:rStyle w:val="relative"/>
          <w:rFonts w:ascii="Arial" w:hAnsi="Arial" w:cs="Arial"/>
        </w:rPr>
        <w:t xml:space="preserve"> shown that when people are treated as partners, </w:t>
      </w:r>
      <w:r>
        <w:rPr>
          <w:rStyle w:val="relative"/>
          <w:rFonts w:ascii="Arial" w:hAnsi="Arial" w:cs="Arial"/>
        </w:rPr>
        <w:t>they</w:t>
      </w:r>
      <w:r w:rsidRPr="00A65787">
        <w:rPr>
          <w:rStyle w:val="relative"/>
          <w:rFonts w:ascii="Arial" w:hAnsi="Arial" w:cs="Arial"/>
        </w:rPr>
        <w:t xml:space="preserve"> do better, something they have done is reduce the use of hospitals and address social needs in addition to clinical needs. Ethical principles of autonomy, beneficence, non-maleficence and justice do form a stable moral foundation but digital innovation, AI</w:t>
      </w:r>
      <w:r>
        <w:rPr>
          <w:rStyle w:val="relative"/>
          <w:rFonts w:ascii="Arial" w:hAnsi="Arial" w:cs="Arial"/>
        </w:rPr>
        <w:t>,</w:t>
      </w:r>
      <w:r w:rsidRPr="00A65787">
        <w:rPr>
          <w:rStyle w:val="relative"/>
          <w:rFonts w:ascii="Arial" w:hAnsi="Arial" w:cs="Arial"/>
        </w:rPr>
        <w:t xml:space="preserve"> and increased data sharing create new tensions of consent, bias, privacy</w:t>
      </w:r>
      <w:r>
        <w:rPr>
          <w:rStyle w:val="relative"/>
          <w:rFonts w:ascii="Arial" w:hAnsi="Arial" w:cs="Arial"/>
        </w:rPr>
        <w:t>,</w:t>
      </w:r>
      <w:r w:rsidRPr="00A65787">
        <w:rPr>
          <w:rStyle w:val="relative"/>
          <w:rFonts w:ascii="Arial" w:hAnsi="Arial" w:cs="Arial"/>
        </w:rPr>
        <w:t xml:space="preserve"> and trust that need to be actively managed.</w:t>
      </w:r>
    </w:p>
    <w:p w14:paraId="0841CC26" w14:textId="04D129FC" w:rsidR="00B8286C" w:rsidRPr="00EE1F27" w:rsidRDefault="00A65787" w:rsidP="00A65787">
      <w:pPr>
        <w:pStyle w:val="NormalWeb"/>
        <w:spacing w:line="360" w:lineRule="auto"/>
        <w:jc w:val="both"/>
        <w:rPr>
          <w:rStyle w:val="relative"/>
          <w:rFonts w:ascii="Arial" w:hAnsi="Arial" w:cs="Arial"/>
        </w:rPr>
      </w:pPr>
      <w:r w:rsidRPr="00A65787">
        <w:rPr>
          <w:rStyle w:val="relative"/>
          <w:rFonts w:ascii="Arial" w:hAnsi="Arial" w:cs="Arial"/>
        </w:rPr>
        <w:t>Policy and legislation</w:t>
      </w:r>
      <w:r>
        <w:rPr>
          <w:rStyle w:val="relative"/>
          <w:rFonts w:ascii="Arial" w:hAnsi="Arial" w:cs="Arial"/>
        </w:rPr>
        <w:t>,</w:t>
      </w:r>
      <w:r w:rsidRPr="00A65787">
        <w:rPr>
          <w:rStyle w:val="relative"/>
          <w:rFonts w:ascii="Arial" w:hAnsi="Arial" w:cs="Arial"/>
        </w:rPr>
        <w:t xml:space="preserve"> such as the Health and Care Act 2022, Better Care Fund framework and person-centred care regulations</w:t>
      </w:r>
      <w:r>
        <w:rPr>
          <w:rStyle w:val="relative"/>
          <w:rFonts w:ascii="Arial" w:hAnsi="Arial" w:cs="Arial"/>
        </w:rPr>
        <w:t>,</w:t>
      </w:r>
      <w:r w:rsidRPr="00A65787">
        <w:rPr>
          <w:rStyle w:val="relative"/>
          <w:rFonts w:ascii="Arial" w:hAnsi="Arial" w:cs="Arial"/>
        </w:rPr>
        <w:t xml:space="preserve"> have provided this enabling context for integrated care systems and place</w:t>
      </w:r>
      <w:r>
        <w:rPr>
          <w:rStyle w:val="relative"/>
          <w:rFonts w:ascii="Arial" w:hAnsi="Arial" w:cs="Arial"/>
        </w:rPr>
        <w:t>-</w:t>
      </w:r>
      <w:r w:rsidRPr="00A65787">
        <w:rPr>
          <w:rStyle w:val="relative"/>
          <w:rFonts w:ascii="Arial" w:hAnsi="Arial" w:cs="Arial"/>
        </w:rPr>
        <w:t>based partnerships. However, variable digital maturity, ineffectual PCC training, pressures from the workforce</w:t>
      </w:r>
      <w:r>
        <w:rPr>
          <w:rStyle w:val="relative"/>
          <w:rFonts w:ascii="Arial" w:hAnsi="Arial" w:cs="Arial"/>
        </w:rPr>
        <w:t>,</w:t>
      </w:r>
      <w:r w:rsidRPr="00A65787">
        <w:rPr>
          <w:rStyle w:val="relative"/>
          <w:rFonts w:ascii="Arial" w:hAnsi="Arial" w:cs="Arial"/>
        </w:rPr>
        <w:t xml:space="preserve"> and ingrained inequalities restrain the actualisation of these ambitions. Strengthening the workforce capability, developing safe interoperability on a faster time scale, investing in community-based models</w:t>
      </w:r>
      <w:r>
        <w:rPr>
          <w:rStyle w:val="relative"/>
          <w:rFonts w:ascii="Arial" w:hAnsi="Arial" w:cs="Arial"/>
        </w:rPr>
        <w:t>,</w:t>
      </w:r>
      <w:r w:rsidRPr="00A65787">
        <w:rPr>
          <w:rStyle w:val="relative"/>
          <w:rFonts w:ascii="Arial" w:hAnsi="Arial" w:cs="Arial"/>
        </w:rPr>
        <w:t xml:space="preserve"> and implementing rigorous evaluation and accountability are thus important. Taken together, these actions can help reduce fragmentation, address avoidable inequalities</w:t>
      </w:r>
      <w:r>
        <w:rPr>
          <w:rStyle w:val="relative"/>
          <w:rFonts w:ascii="Arial" w:hAnsi="Arial" w:cs="Arial"/>
        </w:rPr>
        <w:t>,</w:t>
      </w:r>
      <w:r w:rsidRPr="00A65787">
        <w:rPr>
          <w:rStyle w:val="relative"/>
          <w:rFonts w:ascii="Arial" w:hAnsi="Arial" w:cs="Arial"/>
        </w:rPr>
        <w:t xml:space="preserve"> and create a more resilient, person-centred system where individuals, families and communities are true partners in their own care.</w:t>
      </w:r>
    </w:p>
    <w:p w14:paraId="5F417930" w14:textId="77777777" w:rsidR="00514D2A" w:rsidRPr="00EE1F27" w:rsidRDefault="00514D2A" w:rsidP="00D4743A">
      <w:pPr>
        <w:pStyle w:val="NormalWeb"/>
        <w:spacing w:line="360" w:lineRule="auto"/>
        <w:jc w:val="both"/>
      </w:pPr>
    </w:p>
    <w:p w14:paraId="6DD306CB" w14:textId="77777777" w:rsidR="00B975DB" w:rsidRPr="00EE1F27" w:rsidRDefault="00B975DB">
      <w:pPr>
        <w:rPr>
          <w:rStyle w:val="relative"/>
          <w:rFonts w:ascii="Arial" w:eastAsia="Times New Roman" w:hAnsi="Arial" w:cs="Arial"/>
          <w:sz w:val="24"/>
          <w:szCs w:val="24"/>
        </w:rPr>
      </w:pPr>
      <w:r w:rsidRPr="00EE1F27">
        <w:rPr>
          <w:rStyle w:val="relative"/>
          <w:rFonts w:ascii="Arial" w:hAnsi="Arial" w:cs="Arial"/>
        </w:rPr>
        <w:br w:type="page"/>
      </w:r>
    </w:p>
    <w:p w14:paraId="53B88A36" w14:textId="77777777" w:rsidR="00FE762B" w:rsidRPr="00EE1F27" w:rsidRDefault="00B975DB" w:rsidP="00B975DB">
      <w:pPr>
        <w:pStyle w:val="Heading1"/>
        <w:spacing w:line="360" w:lineRule="auto"/>
        <w:jc w:val="both"/>
        <w:rPr>
          <w:rStyle w:val="relative"/>
          <w:rFonts w:ascii="Arial" w:hAnsi="Arial" w:cs="Arial"/>
        </w:rPr>
      </w:pPr>
      <w:bookmarkStart w:id="17" w:name="_Toc202364649"/>
      <w:r w:rsidRPr="00EE1F27">
        <w:rPr>
          <w:rStyle w:val="relative"/>
          <w:rFonts w:ascii="Arial" w:hAnsi="Arial" w:cs="Arial"/>
          <w:color w:val="auto"/>
          <w:sz w:val="24"/>
        </w:rPr>
        <w:t>References</w:t>
      </w:r>
      <w:bookmarkEnd w:id="17"/>
    </w:p>
    <w:p w14:paraId="699B2C2E"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Ahmed, A., van den Muijsenbergh, M.E.T.C. and Vrijhoef, H.J.M. (2023) ‘Person-centred care in the Dutch primary care setting: Refinement of middle-range theory by patients and professionals’, </w:t>
      </w:r>
      <w:r w:rsidRPr="00EE1F27">
        <w:rPr>
          <w:rStyle w:val="Emphasis"/>
          <w:rFonts w:ascii="Arial" w:hAnsi="Arial" w:cs="Arial"/>
          <w:sz w:val="24"/>
        </w:rPr>
        <w:t>PLOS ONE</w:t>
      </w:r>
      <w:r w:rsidRPr="00EE1F27">
        <w:rPr>
          <w:rFonts w:ascii="Arial" w:hAnsi="Arial" w:cs="Arial"/>
          <w:sz w:val="24"/>
        </w:rPr>
        <w:t xml:space="preserve">, 18(3), e0282802. Available at: </w:t>
      </w:r>
      <w:hyperlink r:id="rId10" w:tgtFrame="_new" w:history="1">
        <w:r w:rsidRPr="00EE1F27">
          <w:rPr>
            <w:rStyle w:val="Hyperlink"/>
            <w:rFonts w:ascii="Arial" w:hAnsi="Arial" w:cs="Arial"/>
            <w:sz w:val="24"/>
          </w:rPr>
          <w:t>https://doi.org/10.1371/journal.pone.0282802</w:t>
        </w:r>
      </w:hyperlink>
      <w:r w:rsidRPr="00EE1F27">
        <w:rPr>
          <w:rFonts w:ascii="Arial" w:hAnsi="Arial" w:cs="Arial"/>
          <w:sz w:val="24"/>
        </w:rPr>
        <w:t xml:space="preserve"> (Accessed: 21 June 2025).</w:t>
      </w:r>
    </w:p>
    <w:p w14:paraId="00FAD681"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AlHasan, A. (2023) ‘Ethical concerns grow as AI takes on greater decision-making role’, </w:t>
      </w:r>
      <w:r w:rsidRPr="00EE1F27">
        <w:rPr>
          <w:rStyle w:val="Emphasis"/>
          <w:rFonts w:ascii="Arial" w:hAnsi="Arial" w:cs="Arial"/>
          <w:sz w:val="24"/>
        </w:rPr>
        <w:t>Bulletin of the American College of Surgeons</w:t>
      </w:r>
      <w:r w:rsidRPr="00EE1F27">
        <w:rPr>
          <w:rFonts w:ascii="Arial" w:hAnsi="Arial" w:cs="Arial"/>
          <w:sz w:val="24"/>
        </w:rPr>
        <w:t xml:space="preserve">, 108(2). Available at: </w:t>
      </w:r>
      <w:hyperlink r:id="rId11" w:tgtFrame="_new" w:history="1">
        <w:r w:rsidRPr="00EE1F27">
          <w:rPr>
            <w:rStyle w:val="Hyperlink"/>
            <w:rFonts w:ascii="Arial" w:hAnsi="Arial" w:cs="Arial"/>
            <w:sz w:val="24"/>
          </w:rPr>
          <w:t>https://www.facs.org/for-medical-professionals/news-publications/news-and-articles/bulletin/2023/february-2023-volume-108-issue-2/ethical-concerns-grow-as-ai-takes-on-greater-decision-making-role/</w:t>
        </w:r>
      </w:hyperlink>
      <w:r w:rsidRPr="00EE1F27">
        <w:rPr>
          <w:rFonts w:ascii="Arial" w:hAnsi="Arial" w:cs="Arial"/>
          <w:sz w:val="24"/>
        </w:rPr>
        <w:t xml:space="preserve"> (Accessed: 20 June 2025).</w:t>
      </w:r>
    </w:p>
    <w:p w14:paraId="3203B4A8"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Alderwick, H., Hutchings, A., Briggs, A. and Mays, N. (2021) ‘The impacts of collaboration between local health care and non-health care organizations and factors shaping how they work: a systematic review of reviews’, </w:t>
      </w:r>
      <w:r w:rsidRPr="00EE1F27">
        <w:rPr>
          <w:rStyle w:val="Emphasis"/>
          <w:rFonts w:ascii="Arial" w:hAnsi="Arial" w:cs="Arial"/>
          <w:sz w:val="24"/>
        </w:rPr>
        <w:t>BMC Public Health</w:t>
      </w:r>
      <w:r w:rsidRPr="00EE1F27">
        <w:rPr>
          <w:rFonts w:ascii="Arial" w:hAnsi="Arial" w:cs="Arial"/>
          <w:sz w:val="24"/>
        </w:rPr>
        <w:t xml:space="preserve">, 21, article 753. Available at: </w:t>
      </w:r>
      <w:hyperlink r:id="rId12" w:tgtFrame="_new" w:history="1">
        <w:r w:rsidRPr="00EE1F27">
          <w:rPr>
            <w:rStyle w:val="Hyperlink"/>
            <w:rFonts w:ascii="Arial" w:hAnsi="Arial" w:cs="Arial"/>
            <w:sz w:val="24"/>
          </w:rPr>
          <w:t>https://bmcpublichealth.biomedcentral.com/articles/10.1186/s12889-021-10630-1</w:t>
        </w:r>
      </w:hyperlink>
      <w:r w:rsidRPr="00EE1F27">
        <w:rPr>
          <w:rFonts w:ascii="Arial" w:hAnsi="Arial" w:cs="Arial"/>
          <w:sz w:val="24"/>
        </w:rPr>
        <w:t xml:space="preserve"> (Accessed: 22 June 2025).</w:t>
      </w:r>
    </w:p>
    <w:p w14:paraId="533667CC"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Blake, L. (2024) </w:t>
      </w:r>
      <w:r w:rsidRPr="00EE1F27">
        <w:rPr>
          <w:rStyle w:val="Emphasis"/>
          <w:rFonts w:ascii="Arial" w:hAnsi="Arial" w:cs="Arial"/>
          <w:sz w:val="24"/>
        </w:rPr>
        <w:t>Delivering person-centred care for the UK's culturally diverse communities: Frontline Briefing</w:t>
      </w:r>
      <w:r w:rsidRPr="00EE1F27">
        <w:rPr>
          <w:rFonts w:ascii="Arial" w:hAnsi="Arial" w:cs="Arial"/>
          <w:sz w:val="24"/>
        </w:rPr>
        <w:t xml:space="preserve">. London: National Children’s Bureau, Research in Practice. Available at: </w:t>
      </w:r>
      <w:hyperlink r:id="rId13" w:tgtFrame="_new" w:history="1">
        <w:r w:rsidRPr="00EE1F27">
          <w:rPr>
            <w:rStyle w:val="Hyperlink"/>
            <w:rFonts w:ascii="Arial" w:hAnsi="Arial" w:cs="Arial"/>
            <w:sz w:val="24"/>
          </w:rPr>
          <w:t>https://www.researchinpractice.org.uk/adults/publications/2024/august/delivering-person-centred-care-for-the-uks-culturally-diverse-communities-frontline-briefing-2024/</w:t>
        </w:r>
      </w:hyperlink>
      <w:r w:rsidRPr="00EE1F27">
        <w:rPr>
          <w:rFonts w:ascii="Arial" w:hAnsi="Arial" w:cs="Arial"/>
          <w:sz w:val="24"/>
        </w:rPr>
        <w:t xml:space="preserve"> (Accessed: 24 June 2025).</w:t>
      </w:r>
    </w:p>
    <w:p w14:paraId="6938EF7C"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Care Quality Commission (2025) </w:t>
      </w:r>
      <w:r w:rsidRPr="00EE1F27">
        <w:rPr>
          <w:rStyle w:val="Emphasis"/>
          <w:rFonts w:ascii="Arial" w:hAnsi="Arial" w:cs="Arial"/>
          <w:sz w:val="24"/>
        </w:rPr>
        <w:t>Regulation 9: Person-centred care. Health and Social Care Act 2008 (Regulated Activities) Regulations 2014</w:t>
      </w:r>
      <w:r w:rsidRPr="00EE1F27">
        <w:rPr>
          <w:rFonts w:ascii="Arial" w:hAnsi="Arial" w:cs="Arial"/>
          <w:sz w:val="24"/>
        </w:rPr>
        <w:t xml:space="preserve">. Available at: </w:t>
      </w:r>
      <w:hyperlink r:id="rId14" w:tgtFrame="_new" w:history="1">
        <w:r w:rsidRPr="00EE1F27">
          <w:rPr>
            <w:rStyle w:val="Hyperlink"/>
            <w:rFonts w:ascii="Arial" w:hAnsi="Arial" w:cs="Arial"/>
            <w:sz w:val="24"/>
          </w:rPr>
          <w:t>https://www.cqc.org.uk/guidance-regulation/providers/regulations-service-providers-and-managers/health-social-care-act/regulation-9</w:t>
        </w:r>
      </w:hyperlink>
      <w:r w:rsidRPr="00EE1F27">
        <w:rPr>
          <w:rFonts w:ascii="Arial" w:hAnsi="Arial" w:cs="Arial"/>
          <w:sz w:val="24"/>
        </w:rPr>
        <w:t xml:space="preserve"> (Accessed: 25 June 2025).</w:t>
      </w:r>
    </w:p>
    <w:p w14:paraId="48485FA2"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Department of Health and Social Care (2025) </w:t>
      </w:r>
      <w:r w:rsidRPr="00EE1F27">
        <w:rPr>
          <w:rStyle w:val="Emphasis"/>
          <w:rFonts w:ascii="Arial" w:hAnsi="Arial" w:cs="Arial"/>
          <w:sz w:val="24"/>
        </w:rPr>
        <w:t>Evaluation of the Better Care Fund Support Programme 2023 to 2025</w:t>
      </w:r>
      <w:r w:rsidRPr="00EE1F27">
        <w:rPr>
          <w:rFonts w:ascii="Arial" w:hAnsi="Arial" w:cs="Arial"/>
          <w:sz w:val="24"/>
        </w:rPr>
        <w:t xml:space="preserve">. London: Department of Health and Social Care. Available at: </w:t>
      </w:r>
      <w:hyperlink r:id="rId15" w:tgtFrame="_new" w:history="1">
        <w:r w:rsidRPr="00EE1F27">
          <w:rPr>
            <w:rStyle w:val="Hyperlink"/>
            <w:rFonts w:ascii="Arial" w:hAnsi="Arial" w:cs="Arial"/>
            <w:sz w:val="24"/>
          </w:rPr>
          <w:t>https://www.gov.uk/government/publications/evaluation-of-the-better-care-fund-support-programme-2023-to-2025</w:t>
        </w:r>
      </w:hyperlink>
      <w:r w:rsidRPr="00EE1F27">
        <w:rPr>
          <w:rFonts w:ascii="Arial" w:hAnsi="Arial" w:cs="Arial"/>
          <w:sz w:val="24"/>
        </w:rPr>
        <w:t xml:space="preserve"> (Accessed: 20 June 2025).</w:t>
      </w:r>
    </w:p>
    <w:p w14:paraId="1B899FCC"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Department of Health and Social Care and Department for Levelling Up, Housing and Communities (2023) </w:t>
      </w:r>
      <w:r w:rsidRPr="00EE1F27">
        <w:rPr>
          <w:rStyle w:val="Emphasis"/>
          <w:rFonts w:ascii="Arial" w:hAnsi="Arial" w:cs="Arial"/>
          <w:sz w:val="24"/>
        </w:rPr>
        <w:t>Better Care Fund policy framework 2023 to 2025</w:t>
      </w:r>
      <w:r w:rsidRPr="00EE1F27">
        <w:rPr>
          <w:rFonts w:ascii="Arial" w:hAnsi="Arial" w:cs="Arial"/>
          <w:sz w:val="24"/>
        </w:rPr>
        <w:t xml:space="preserve">. London: HM Government. Available at: </w:t>
      </w:r>
      <w:hyperlink r:id="rId16" w:tgtFrame="_new" w:history="1">
        <w:r w:rsidRPr="00EE1F27">
          <w:rPr>
            <w:rStyle w:val="Hyperlink"/>
            <w:rFonts w:ascii="Arial" w:hAnsi="Arial" w:cs="Arial"/>
            <w:sz w:val="24"/>
          </w:rPr>
          <w:t>https://www.gov.uk/government/publications/better-care-fund-policy-framework-2023-to-2025</w:t>
        </w:r>
      </w:hyperlink>
      <w:r w:rsidRPr="00EE1F27">
        <w:rPr>
          <w:rFonts w:ascii="Arial" w:hAnsi="Arial" w:cs="Arial"/>
          <w:sz w:val="24"/>
        </w:rPr>
        <w:t xml:space="preserve"> (Accessed: 18 June 2025).</w:t>
      </w:r>
    </w:p>
    <w:p w14:paraId="09C415B4"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Department of Health and Social Care and Department for Levelling Up, Housing and Communities (2024) </w:t>
      </w:r>
      <w:r w:rsidRPr="00EE1F27">
        <w:rPr>
          <w:rStyle w:val="Emphasis"/>
          <w:rFonts w:ascii="Arial" w:hAnsi="Arial" w:cs="Arial"/>
          <w:sz w:val="24"/>
        </w:rPr>
        <w:t>Better Care Fund policy framework 2023 to 2025</w:t>
      </w:r>
      <w:r w:rsidRPr="00EE1F27">
        <w:rPr>
          <w:rFonts w:ascii="Arial" w:hAnsi="Arial" w:cs="Arial"/>
          <w:sz w:val="24"/>
        </w:rPr>
        <w:t xml:space="preserve">. Updated 12 April. London: HM Government. Available at: </w:t>
      </w:r>
      <w:hyperlink r:id="rId17" w:tgtFrame="_new" w:history="1">
        <w:r w:rsidRPr="00EE1F27">
          <w:rPr>
            <w:rStyle w:val="Hyperlink"/>
            <w:rFonts w:ascii="Arial" w:hAnsi="Arial" w:cs="Arial"/>
            <w:sz w:val="24"/>
          </w:rPr>
          <w:t>https://www.gov.uk/government/publications/better-care-fund-policy-framework-2023-to-2025</w:t>
        </w:r>
      </w:hyperlink>
      <w:r w:rsidRPr="00EE1F27">
        <w:rPr>
          <w:rFonts w:ascii="Arial" w:hAnsi="Arial" w:cs="Arial"/>
          <w:sz w:val="24"/>
        </w:rPr>
        <w:t xml:space="preserve"> (Accessed: 21 June 2025).</w:t>
      </w:r>
    </w:p>
    <w:p w14:paraId="42813D88"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Department of Health and Social Care, Prime Minister’s Office and Cabinet Office (2024) </w:t>
      </w:r>
      <w:r w:rsidRPr="00EE1F27">
        <w:rPr>
          <w:rStyle w:val="Emphasis"/>
          <w:rFonts w:ascii="Arial" w:hAnsi="Arial" w:cs="Arial"/>
          <w:sz w:val="24"/>
        </w:rPr>
        <w:t>Build Back Better: Our plan for health and social care</w:t>
      </w:r>
      <w:r w:rsidRPr="00EE1F27">
        <w:rPr>
          <w:rFonts w:ascii="Arial" w:hAnsi="Arial" w:cs="Arial"/>
          <w:sz w:val="24"/>
        </w:rPr>
        <w:t xml:space="preserve">. Updated 12 September. London: HM Government. Available at: </w:t>
      </w:r>
      <w:hyperlink r:id="rId18" w:tgtFrame="_new" w:history="1">
        <w:r w:rsidRPr="00EE1F27">
          <w:rPr>
            <w:rStyle w:val="Hyperlink"/>
            <w:rFonts w:ascii="Arial" w:hAnsi="Arial" w:cs="Arial"/>
            <w:sz w:val="24"/>
          </w:rPr>
          <w:t>https://www.gov.uk/government/publications/build-back-better-our-plan-for-health-and-social-care/build-back-better-our-plan-for-health-and-social-care</w:t>
        </w:r>
      </w:hyperlink>
      <w:r w:rsidRPr="00EE1F27">
        <w:rPr>
          <w:rFonts w:ascii="Arial" w:hAnsi="Arial" w:cs="Arial"/>
          <w:sz w:val="24"/>
        </w:rPr>
        <w:t xml:space="preserve"> (Accessed: 27 June 2025).</w:t>
      </w:r>
    </w:p>
    <w:p w14:paraId="73226B83"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Donnelly, T. (2023) ‘In the Future, Patients Won’t Go to the Hospital—It Will Come to Them’, </w:t>
      </w:r>
      <w:r w:rsidRPr="00EE1F27">
        <w:rPr>
          <w:rStyle w:val="Emphasis"/>
          <w:rFonts w:ascii="Arial" w:hAnsi="Arial" w:cs="Arial"/>
          <w:sz w:val="24"/>
        </w:rPr>
        <w:t>WIRED</w:t>
      </w:r>
      <w:r w:rsidRPr="00EE1F27">
        <w:rPr>
          <w:rFonts w:ascii="Arial" w:hAnsi="Arial" w:cs="Arial"/>
          <w:sz w:val="24"/>
        </w:rPr>
        <w:t xml:space="preserve">, 26 June. Available at: </w:t>
      </w:r>
      <w:hyperlink r:id="rId19" w:tgtFrame="_new" w:history="1">
        <w:r w:rsidRPr="00EE1F27">
          <w:rPr>
            <w:rStyle w:val="Hyperlink"/>
            <w:rFonts w:ascii="Arial" w:hAnsi="Arial" w:cs="Arial"/>
            <w:sz w:val="24"/>
          </w:rPr>
          <w:t>https://www.wired.com/story/virtual-wards-home-health-care/</w:t>
        </w:r>
      </w:hyperlink>
      <w:r w:rsidRPr="00EE1F27">
        <w:rPr>
          <w:rFonts w:ascii="Arial" w:hAnsi="Arial" w:cs="Arial"/>
          <w:sz w:val="24"/>
        </w:rPr>
        <w:t xml:space="preserve"> (Accessed: 23 June 2025).</w:t>
      </w:r>
    </w:p>
    <w:p w14:paraId="0A836A04"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Gyllensten, H., Cederberg, M., Alsén, S., Blanck, E., Ali, L., Fors, A., Hedman, H., Nørmark, L.P., Swedberg, K. and Ekman, I. (2025) ‘Person-centred care: state-of-the-art and future perspectives’, </w:t>
      </w:r>
      <w:r w:rsidRPr="00EE1F27">
        <w:rPr>
          <w:rStyle w:val="Emphasis"/>
          <w:rFonts w:ascii="Arial" w:hAnsi="Arial" w:cs="Arial"/>
          <w:sz w:val="24"/>
        </w:rPr>
        <w:t>Current Heart Failure Reports</w:t>
      </w:r>
      <w:r w:rsidRPr="00EE1F27">
        <w:rPr>
          <w:rFonts w:ascii="Arial" w:hAnsi="Arial" w:cs="Arial"/>
          <w:sz w:val="24"/>
        </w:rPr>
        <w:t xml:space="preserve">, 22, article 15. Available at: </w:t>
      </w:r>
      <w:hyperlink r:id="rId20" w:tgtFrame="_new" w:history="1">
        <w:r w:rsidRPr="00EE1F27">
          <w:rPr>
            <w:rStyle w:val="Hyperlink"/>
            <w:rFonts w:ascii="Arial" w:hAnsi="Arial" w:cs="Arial"/>
            <w:sz w:val="24"/>
          </w:rPr>
          <w:t>https://link.springer.com/article/10.1007/s11897-025-00702-3</w:t>
        </w:r>
      </w:hyperlink>
      <w:r w:rsidRPr="00EE1F27">
        <w:rPr>
          <w:rFonts w:ascii="Arial" w:hAnsi="Arial" w:cs="Arial"/>
          <w:sz w:val="24"/>
        </w:rPr>
        <w:t xml:space="preserve"> (Accessed: 24 June 2025).</w:t>
      </w:r>
    </w:p>
    <w:p w14:paraId="6E86E4CE"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Haddad, L.M. and Geiger, R.A. (2023) ‘Nursing ethical considerations’, in </w:t>
      </w:r>
      <w:r w:rsidRPr="00EE1F27">
        <w:rPr>
          <w:rStyle w:val="Emphasis"/>
          <w:rFonts w:ascii="Arial" w:hAnsi="Arial" w:cs="Arial"/>
          <w:sz w:val="24"/>
        </w:rPr>
        <w:t>StatPearls</w:t>
      </w:r>
      <w:r w:rsidRPr="00EE1F27">
        <w:rPr>
          <w:rFonts w:ascii="Arial" w:hAnsi="Arial" w:cs="Arial"/>
          <w:sz w:val="24"/>
        </w:rPr>
        <w:t xml:space="preserve"> [online]. Treasure Island (FL): StatPearls Publishing. Available at: </w:t>
      </w:r>
      <w:hyperlink r:id="rId21" w:tgtFrame="_new" w:history="1">
        <w:r w:rsidRPr="00EE1F27">
          <w:rPr>
            <w:rStyle w:val="Hyperlink"/>
            <w:rFonts w:ascii="Arial" w:hAnsi="Arial" w:cs="Arial"/>
            <w:sz w:val="24"/>
          </w:rPr>
          <w:t>https://www.ncbi.nlm.nih.gov/books/NBK526054/</w:t>
        </w:r>
      </w:hyperlink>
      <w:r w:rsidRPr="00EE1F27">
        <w:rPr>
          <w:rFonts w:ascii="Arial" w:hAnsi="Arial" w:cs="Arial"/>
          <w:sz w:val="24"/>
        </w:rPr>
        <w:t xml:space="preserve"> (Accessed: 26 June 2025).</w:t>
      </w:r>
    </w:p>
    <w:p w14:paraId="4804AC5F"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Halliday, J. (2025) ‘Britain in 2025: sick man of Europe battling untreated illness crisis’, </w:t>
      </w:r>
      <w:r w:rsidRPr="00EE1F27">
        <w:rPr>
          <w:rStyle w:val="Emphasis"/>
          <w:rFonts w:ascii="Arial" w:hAnsi="Arial" w:cs="Arial"/>
          <w:sz w:val="24"/>
        </w:rPr>
        <w:t>The Guardian</w:t>
      </w:r>
      <w:r w:rsidRPr="00EE1F27">
        <w:rPr>
          <w:rFonts w:ascii="Arial" w:hAnsi="Arial" w:cs="Arial"/>
          <w:sz w:val="24"/>
        </w:rPr>
        <w:t xml:space="preserve">, 29 June. Available at: </w:t>
      </w:r>
      <w:hyperlink r:id="rId22" w:tgtFrame="_new" w:history="1">
        <w:r w:rsidRPr="00EE1F27">
          <w:rPr>
            <w:rStyle w:val="Hyperlink"/>
            <w:rFonts w:ascii="Arial" w:hAnsi="Arial" w:cs="Arial"/>
            <w:sz w:val="24"/>
          </w:rPr>
          <w:t>https://www.theguardian.com/society/2025/jun/29/britain-in-2025-sick-man-of-europe-battling-untreated-illness-crisis</w:t>
        </w:r>
      </w:hyperlink>
      <w:r w:rsidRPr="00EE1F27">
        <w:rPr>
          <w:rFonts w:ascii="Arial" w:hAnsi="Arial" w:cs="Arial"/>
          <w:sz w:val="24"/>
        </w:rPr>
        <w:t xml:space="preserve"> (Accessed: 28 June 2025).</w:t>
      </w:r>
    </w:p>
    <w:p w14:paraId="765583F6"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HTN Health Tech News (2022) ‘£25 million digital social care fund for ICSs’, </w:t>
      </w:r>
      <w:r w:rsidRPr="00EE1F27">
        <w:rPr>
          <w:rStyle w:val="Emphasis"/>
          <w:rFonts w:ascii="Arial" w:hAnsi="Arial" w:cs="Arial"/>
          <w:sz w:val="24"/>
        </w:rPr>
        <w:t>HTN Health Tech News</w:t>
      </w:r>
      <w:r w:rsidRPr="00EE1F27">
        <w:rPr>
          <w:rFonts w:ascii="Arial" w:hAnsi="Arial" w:cs="Arial"/>
          <w:sz w:val="24"/>
        </w:rPr>
        <w:t xml:space="preserve">, 18 June. Available at: </w:t>
      </w:r>
      <w:hyperlink r:id="rId23" w:tgtFrame="_new" w:history="1">
        <w:r w:rsidRPr="00EE1F27">
          <w:rPr>
            <w:rStyle w:val="Hyperlink"/>
            <w:rFonts w:ascii="Arial" w:hAnsi="Arial" w:cs="Arial"/>
            <w:sz w:val="24"/>
          </w:rPr>
          <w:t>https://htn.co.uk/2022/07/18/25million-digital-social-care-fund-for-icss/</w:t>
        </w:r>
      </w:hyperlink>
      <w:r w:rsidRPr="00EE1F27">
        <w:rPr>
          <w:rFonts w:ascii="Arial" w:hAnsi="Arial" w:cs="Arial"/>
          <w:sz w:val="24"/>
        </w:rPr>
        <w:t xml:space="preserve"> (Accessed: 26 June 2025).</w:t>
      </w:r>
    </w:p>
    <w:p w14:paraId="49B47133"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Kc, S., Tewolde, S., Laverty, A.A., Costelloe, C. </w:t>
      </w:r>
      <w:r w:rsidRPr="00EE1F27">
        <w:rPr>
          <w:rStyle w:val="Emphasis"/>
          <w:rFonts w:ascii="Arial" w:hAnsi="Arial" w:cs="Arial"/>
          <w:sz w:val="24"/>
        </w:rPr>
        <w:t>et al.</w:t>
      </w:r>
      <w:r w:rsidRPr="00EE1F27">
        <w:rPr>
          <w:rFonts w:ascii="Arial" w:hAnsi="Arial" w:cs="Arial"/>
          <w:sz w:val="24"/>
        </w:rPr>
        <w:t xml:space="preserve"> (2023) ‘An observational study of uptake and adoption of the NHS App in England’, </w:t>
      </w:r>
      <w:r w:rsidRPr="00EE1F27">
        <w:rPr>
          <w:rStyle w:val="Emphasis"/>
          <w:rFonts w:ascii="Arial" w:hAnsi="Arial" w:cs="Arial"/>
          <w:sz w:val="24"/>
        </w:rPr>
        <w:t>British Journal of General Practice</w:t>
      </w:r>
      <w:r w:rsidRPr="00EE1F27">
        <w:rPr>
          <w:rFonts w:ascii="Arial" w:hAnsi="Arial" w:cs="Arial"/>
          <w:sz w:val="24"/>
        </w:rPr>
        <w:t xml:space="preserve">, 73(737), BJGP.2022.0150. Available at: </w:t>
      </w:r>
      <w:hyperlink r:id="rId24" w:tgtFrame="_new" w:history="1">
        <w:r w:rsidRPr="00EE1F27">
          <w:rPr>
            <w:rStyle w:val="Hyperlink"/>
            <w:rFonts w:ascii="Arial" w:hAnsi="Arial" w:cs="Arial"/>
            <w:sz w:val="24"/>
          </w:rPr>
          <w:t>https://www.researchgate.net/publication/371360818_An_observational_study_of_uptake_and_adoption_of_the_NHS_App_in_England</w:t>
        </w:r>
      </w:hyperlink>
      <w:r w:rsidRPr="00EE1F27">
        <w:rPr>
          <w:rFonts w:ascii="Arial" w:hAnsi="Arial" w:cs="Arial"/>
          <w:sz w:val="24"/>
        </w:rPr>
        <w:t xml:space="preserve"> (Accessed: 27 June 2025).</w:t>
      </w:r>
    </w:p>
    <w:p w14:paraId="2A677CAF"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McCance, T. and McCormack, B. (2025) ‘The Person-centred Nursing Framework: a mid-range theory for nursing practice’, </w:t>
      </w:r>
      <w:r w:rsidRPr="00EE1F27">
        <w:rPr>
          <w:rStyle w:val="Emphasis"/>
          <w:rFonts w:ascii="Arial" w:hAnsi="Arial" w:cs="Arial"/>
          <w:sz w:val="24"/>
        </w:rPr>
        <w:t>Journal of Research in Nursing</w:t>
      </w:r>
      <w:r w:rsidRPr="00EE1F27">
        <w:rPr>
          <w:rFonts w:ascii="Arial" w:hAnsi="Arial" w:cs="Arial"/>
          <w:sz w:val="24"/>
        </w:rPr>
        <w:t xml:space="preserve">, 30(1). Available at: </w:t>
      </w:r>
      <w:hyperlink r:id="rId25" w:tgtFrame="_new" w:history="1">
        <w:r w:rsidRPr="00EE1F27">
          <w:rPr>
            <w:rStyle w:val="Hyperlink"/>
            <w:rFonts w:ascii="Arial" w:hAnsi="Arial" w:cs="Arial"/>
            <w:sz w:val="24"/>
          </w:rPr>
          <w:t>https://doi.org/10.1177/17449871241281428</w:t>
        </w:r>
      </w:hyperlink>
      <w:r w:rsidRPr="00EE1F27">
        <w:rPr>
          <w:rFonts w:ascii="Arial" w:hAnsi="Arial" w:cs="Arial"/>
          <w:sz w:val="24"/>
        </w:rPr>
        <w:t xml:space="preserve"> (Accessed: 15 June 2025).</w:t>
      </w:r>
    </w:p>
    <w:p w14:paraId="5F27002B"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Midland Daily News (2025) ‘MyMichigan Health honored for reducing readmissions, expanding access with Continuing Care Clinics’, </w:t>
      </w:r>
      <w:r w:rsidRPr="00EE1F27">
        <w:rPr>
          <w:rStyle w:val="Emphasis"/>
          <w:rFonts w:ascii="Arial" w:hAnsi="Arial" w:cs="Arial"/>
          <w:sz w:val="24"/>
        </w:rPr>
        <w:t>Midland Daily News</w:t>
      </w:r>
      <w:r w:rsidRPr="00EE1F27">
        <w:rPr>
          <w:rFonts w:ascii="Arial" w:hAnsi="Arial" w:cs="Arial"/>
          <w:sz w:val="24"/>
        </w:rPr>
        <w:t xml:space="preserve">, 2 June. Available at: </w:t>
      </w:r>
      <w:hyperlink r:id="rId26" w:tgtFrame="_new" w:history="1">
        <w:r w:rsidRPr="00EE1F27">
          <w:rPr>
            <w:rStyle w:val="Hyperlink"/>
            <w:rFonts w:ascii="Arial" w:hAnsi="Arial" w:cs="Arial"/>
            <w:sz w:val="24"/>
          </w:rPr>
          <w:t>https://www.ourmidland.com/news/article/mymichigan-health-honored-reducing-readmissions-20416620.php</w:t>
        </w:r>
      </w:hyperlink>
      <w:r w:rsidRPr="00EE1F27">
        <w:rPr>
          <w:rFonts w:ascii="Arial" w:hAnsi="Arial" w:cs="Arial"/>
          <w:sz w:val="24"/>
        </w:rPr>
        <w:t xml:space="preserve"> (Accessed: 21 June 2025).</w:t>
      </w:r>
    </w:p>
    <w:p w14:paraId="763E4D1B"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Moore, H.L., Watson, R., Farnworth, A., Giles, K., Tomson, D. and Thomson, R.G. (2023) ‘Inclusion of person-centred care in UK postgraduate medical education curricula: Interviews and documentary analysis’, </w:t>
      </w:r>
      <w:r w:rsidRPr="00EE1F27">
        <w:rPr>
          <w:rStyle w:val="Emphasis"/>
          <w:rFonts w:ascii="Arial" w:hAnsi="Arial" w:cs="Arial"/>
          <w:sz w:val="24"/>
        </w:rPr>
        <w:t>BMC Medical Education</w:t>
      </w:r>
      <w:r w:rsidRPr="00EE1F27">
        <w:rPr>
          <w:rFonts w:ascii="Arial" w:hAnsi="Arial" w:cs="Arial"/>
          <w:sz w:val="24"/>
        </w:rPr>
        <w:t xml:space="preserve">, 23, article 757. Available at: </w:t>
      </w:r>
      <w:hyperlink r:id="rId27" w:tgtFrame="_new" w:history="1">
        <w:r w:rsidRPr="00EE1F27">
          <w:rPr>
            <w:rStyle w:val="Hyperlink"/>
            <w:rFonts w:ascii="Arial" w:hAnsi="Arial" w:cs="Arial"/>
            <w:sz w:val="24"/>
          </w:rPr>
          <w:t>https://bmcmededuc.biomedcentral.com/articles/10.1186/s12909-023-04730-2</w:t>
        </w:r>
      </w:hyperlink>
      <w:r w:rsidRPr="00EE1F27">
        <w:rPr>
          <w:rFonts w:ascii="Arial" w:hAnsi="Arial" w:cs="Arial"/>
          <w:sz w:val="24"/>
        </w:rPr>
        <w:t xml:space="preserve"> (Accessed: 16 June 2025).</w:t>
      </w:r>
    </w:p>
    <w:p w14:paraId="4F20FCB1"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Mousavi, S. (2024) ‘Global ethical principles in healthcare networks, including debates on euthanasia and abortion’, </w:t>
      </w:r>
      <w:r w:rsidRPr="00EE1F27">
        <w:rPr>
          <w:rStyle w:val="Emphasis"/>
          <w:rFonts w:ascii="Arial" w:hAnsi="Arial" w:cs="Arial"/>
          <w:sz w:val="24"/>
        </w:rPr>
        <w:t>Cureus</w:t>
      </w:r>
      <w:r w:rsidRPr="00EE1F27">
        <w:rPr>
          <w:rFonts w:ascii="Arial" w:hAnsi="Arial" w:cs="Arial"/>
          <w:sz w:val="24"/>
        </w:rPr>
        <w:t xml:space="preserve">, 16(4), e59116. Available at: </w:t>
      </w:r>
      <w:hyperlink r:id="rId28" w:tgtFrame="_new" w:history="1">
        <w:r w:rsidRPr="00EE1F27">
          <w:rPr>
            <w:rStyle w:val="Hyperlink"/>
            <w:rFonts w:ascii="Arial" w:hAnsi="Arial" w:cs="Arial"/>
            <w:sz w:val="24"/>
          </w:rPr>
          <w:t>https://www.cureus.com/articles/203939-global-ethical-principles-in-healthcare-networks-including-debates-on-euthanasia-and-abortion</w:t>
        </w:r>
      </w:hyperlink>
      <w:r w:rsidRPr="00EE1F27">
        <w:rPr>
          <w:rFonts w:ascii="Arial" w:hAnsi="Arial" w:cs="Arial"/>
          <w:sz w:val="24"/>
        </w:rPr>
        <w:t xml:space="preserve"> (Accessed: 22 June 2025).</w:t>
      </w:r>
    </w:p>
    <w:p w14:paraId="3F8B041E"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Neville, S. (2024) ‘The best medicine: could a shift to prevention help save the NHS?’, </w:t>
      </w:r>
      <w:r w:rsidRPr="00EE1F27">
        <w:rPr>
          <w:rStyle w:val="Emphasis"/>
          <w:rFonts w:ascii="Arial" w:hAnsi="Arial" w:cs="Arial"/>
          <w:sz w:val="24"/>
        </w:rPr>
        <w:t>Financial Times</w:t>
      </w:r>
      <w:r w:rsidRPr="00EE1F27">
        <w:rPr>
          <w:rFonts w:ascii="Arial" w:hAnsi="Arial" w:cs="Arial"/>
          <w:sz w:val="24"/>
        </w:rPr>
        <w:t xml:space="preserve">, 6 November. Available at: </w:t>
      </w:r>
      <w:hyperlink r:id="rId29" w:tgtFrame="_new" w:history="1">
        <w:r w:rsidRPr="00EE1F27">
          <w:rPr>
            <w:rStyle w:val="Hyperlink"/>
            <w:rFonts w:ascii="Arial" w:hAnsi="Arial" w:cs="Arial"/>
            <w:sz w:val="24"/>
          </w:rPr>
          <w:t>https://www.ft.com/content/099ee1e9-c09c-4d5a-84a3-7eec34ef65f6</w:t>
        </w:r>
      </w:hyperlink>
      <w:r w:rsidRPr="00EE1F27">
        <w:rPr>
          <w:rFonts w:ascii="Arial" w:hAnsi="Arial" w:cs="Arial"/>
          <w:sz w:val="24"/>
        </w:rPr>
        <w:t xml:space="preserve"> (Accessed: 26 June 2025).</w:t>
      </w:r>
      <w:r w:rsidRPr="00EE1F27">
        <w:rPr>
          <w:rFonts w:ascii="Arial" w:hAnsi="Arial" w:cs="Arial"/>
          <w:sz w:val="24"/>
        </w:rPr>
        <w:tab/>
      </w:r>
    </w:p>
    <w:p w14:paraId="5329C95D"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Neville, S. (2025) ‘Breaking down barriers: NHS project built on collaboration leads to better patient care’, </w:t>
      </w:r>
      <w:r w:rsidRPr="00EE1F27">
        <w:rPr>
          <w:rStyle w:val="Emphasis"/>
          <w:rFonts w:ascii="Arial" w:hAnsi="Arial" w:cs="Arial"/>
          <w:sz w:val="24"/>
        </w:rPr>
        <w:t>Financial Times</w:t>
      </w:r>
      <w:r w:rsidRPr="00EE1F27">
        <w:rPr>
          <w:rFonts w:ascii="Arial" w:hAnsi="Arial" w:cs="Arial"/>
          <w:sz w:val="24"/>
        </w:rPr>
        <w:t xml:space="preserve">, 29 June. Available at: </w:t>
      </w:r>
      <w:hyperlink r:id="rId30" w:tgtFrame="_new" w:history="1">
        <w:r w:rsidRPr="00EE1F27">
          <w:rPr>
            <w:rStyle w:val="Hyperlink"/>
            <w:rFonts w:ascii="Arial" w:hAnsi="Arial" w:cs="Arial"/>
            <w:sz w:val="24"/>
          </w:rPr>
          <w:t>https://www.ft.com/content/73345cdb-a77d-46a7-8ded-fa15b44b74a6</w:t>
        </w:r>
      </w:hyperlink>
      <w:r w:rsidRPr="00EE1F27">
        <w:rPr>
          <w:rFonts w:ascii="Arial" w:hAnsi="Arial" w:cs="Arial"/>
          <w:sz w:val="24"/>
        </w:rPr>
        <w:t xml:space="preserve"> (Accessed: 21 June 2025).</w:t>
      </w:r>
    </w:p>
    <w:p w14:paraId="051EE628"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NHS England (2023) </w:t>
      </w:r>
      <w:r w:rsidRPr="00EE1F27">
        <w:rPr>
          <w:rStyle w:val="Emphasis"/>
          <w:rFonts w:ascii="Arial" w:hAnsi="Arial" w:cs="Arial"/>
          <w:sz w:val="24"/>
        </w:rPr>
        <w:t>Working in partnership with people and communities: Statutory guidance</w:t>
      </w:r>
      <w:r w:rsidRPr="00EE1F27">
        <w:rPr>
          <w:rFonts w:ascii="Arial" w:hAnsi="Arial" w:cs="Arial"/>
          <w:sz w:val="24"/>
        </w:rPr>
        <w:t xml:space="preserve">. Updated 23 May. Available at: </w:t>
      </w:r>
      <w:hyperlink r:id="rId31" w:tgtFrame="_new" w:history="1">
        <w:r w:rsidRPr="00EE1F27">
          <w:rPr>
            <w:rStyle w:val="Hyperlink"/>
            <w:rFonts w:ascii="Arial" w:hAnsi="Arial" w:cs="Arial"/>
            <w:sz w:val="24"/>
          </w:rPr>
          <w:t>https://www.england.nhs.uk/long-read/working-in-partnership-with-people-and-communities-statutory-guidance/</w:t>
        </w:r>
      </w:hyperlink>
      <w:r w:rsidRPr="00EE1F27">
        <w:rPr>
          <w:rFonts w:ascii="Arial" w:hAnsi="Arial" w:cs="Arial"/>
          <w:sz w:val="24"/>
        </w:rPr>
        <w:t xml:space="preserve"> (Accessed: 25 June 2025).</w:t>
      </w:r>
    </w:p>
    <w:p w14:paraId="0D703931"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Palacios, A., Walker, S., Woods, B., Hewitt, C., Cracknell, A., Murray, J., Lawton, R. and Richardson, G. (2024) ‘The economic value of empowering older patients transitioning from hospital to home: Evidence from the "Your Care Needs You" intervention’, </w:t>
      </w:r>
      <w:r w:rsidRPr="00EE1F27">
        <w:rPr>
          <w:rStyle w:val="Emphasis"/>
          <w:rFonts w:ascii="Arial" w:hAnsi="Arial" w:cs="Arial"/>
          <w:sz w:val="24"/>
        </w:rPr>
        <w:t>arXiv preprint</w:t>
      </w:r>
      <w:r w:rsidRPr="00EE1F27">
        <w:rPr>
          <w:rFonts w:ascii="Arial" w:hAnsi="Arial" w:cs="Arial"/>
          <w:sz w:val="24"/>
        </w:rPr>
        <w:t xml:space="preserve">, arXiv:2411.04339. Available at: </w:t>
      </w:r>
      <w:hyperlink r:id="rId32" w:tgtFrame="_new" w:history="1">
        <w:r w:rsidRPr="00EE1F27">
          <w:rPr>
            <w:rStyle w:val="Hyperlink"/>
            <w:rFonts w:ascii="Arial" w:hAnsi="Arial" w:cs="Arial"/>
            <w:sz w:val="24"/>
          </w:rPr>
          <w:t>https://arxiv.org/abs/2411.04339</w:t>
        </w:r>
      </w:hyperlink>
      <w:r w:rsidRPr="00EE1F27">
        <w:rPr>
          <w:rFonts w:ascii="Arial" w:hAnsi="Arial" w:cs="Arial"/>
          <w:sz w:val="24"/>
        </w:rPr>
        <w:t xml:space="preserve"> (Accessed: 26 June 2025).</w:t>
      </w:r>
    </w:p>
    <w:p w14:paraId="254ECA2B"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Powell, T. and Mutebi, N. (2025) </w:t>
      </w:r>
      <w:r w:rsidRPr="00EE1F27">
        <w:rPr>
          <w:rStyle w:val="Emphasis"/>
          <w:rFonts w:ascii="Arial" w:hAnsi="Arial" w:cs="Arial"/>
          <w:sz w:val="24"/>
        </w:rPr>
        <w:t>Integrating health and social care: a path to better services and outcomes</w:t>
      </w:r>
      <w:r w:rsidRPr="00EE1F27">
        <w:rPr>
          <w:rFonts w:ascii="Arial" w:hAnsi="Arial" w:cs="Arial"/>
          <w:sz w:val="24"/>
        </w:rPr>
        <w:t xml:space="preserve">. Horizon scanning. London: Parliamentary Office of Science and Technology (POST). Available at: </w:t>
      </w:r>
      <w:hyperlink r:id="rId33" w:tgtFrame="_new" w:history="1">
        <w:r w:rsidRPr="00EE1F27">
          <w:rPr>
            <w:rStyle w:val="Hyperlink"/>
            <w:rFonts w:ascii="Arial" w:hAnsi="Arial" w:cs="Arial"/>
            <w:sz w:val="24"/>
          </w:rPr>
          <w:t>https://post.parliament.uk/integrating-health-and-social-care-a-path-to-better-services-and-outcomes/</w:t>
        </w:r>
      </w:hyperlink>
      <w:r w:rsidRPr="00EE1F27">
        <w:rPr>
          <w:rFonts w:ascii="Arial" w:hAnsi="Arial" w:cs="Arial"/>
          <w:sz w:val="24"/>
        </w:rPr>
        <w:t xml:space="preserve"> (Accessed: 28 June 2025).</w:t>
      </w:r>
    </w:p>
    <w:p w14:paraId="5AAEA464"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Reuters (2025) ‘Britain launches 10-year plan to save health service in crisis’, </w:t>
      </w:r>
      <w:r w:rsidRPr="00EE1F27">
        <w:rPr>
          <w:rStyle w:val="Emphasis"/>
          <w:rFonts w:ascii="Arial" w:hAnsi="Arial" w:cs="Arial"/>
          <w:sz w:val="24"/>
        </w:rPr>
        <w:t>Reuters</w:t>
      </w:r>
      <w:r w:rsidRPr="00EE1F27">
        <w:rPr>
          <w:rFonts w:ascii="Arial" w:hAnsi="Arial" w:cs="Arial"/>
          <w:sz w:val="24"/>
        </w:rPr>
        <w:t xml:space="preserve">, 2 June. Available at: </w:t>
      </w:r>
      <w:hyperlink r:id="rId34" w:tgtFrame="_new" w:history="1">
        <w:r w:rsidRPr="00EE1F27">
          <w:rPr>
            <w:rStyle w:val="Hyperlink"/>
            <w:rFonts w:ascii="Arial" w:hAnsi="Arial" w:cs="Arial"/>
            <w:sz w:val="24"/>
          </w:rPr>
          <w:t>https://www.reuters.com/world/uk/britain-launches-10-year-plan-save-health-service-crisis-2025-07-02/</w:t>
        </w:r>
      </w:hyperlink>
      <w:r w:rsidRPr="00EE1F27">
        <w:rPr>
          <w:rFonts w:ascii="Arial" w:hAnsi="Arial" w:cs="Arial"/>
          <w:sz w:val="24"/>
        </w:rPr>
        <w:t xml:space="preserve"> (Accessed: 21 June 2025).</w:t>
      </w:r>
    </w:p>
    <w:p w14:paraId="78E5892F"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Rogers, H.L., Raposo, V., Vajagic, M. and Knezevic, B. (2022) ‘Person-centred care implementation: design and evaluation considerations’, in </w:t>
      </w:r>
      <w:r w:rsidRPr="00EE1F27">
        <w:rPr>
          <w:rStyle w:val="Emphasis"/>
          <w:rFonts w:ascii="Arial" w:hAnsi="Arial" w:cs="Arial"/>
          <w:sz w:val="24"/>
        </w:rPr>
        <w:t>Intelligent Systems for Sustainable Person-Centered Healthcare</w:t>
      </w:r>
      <w:r w:rsidRPr="00EE1F27">
        <w:rPr>
          <w:rFonts w:ascii="Arial" w:hAnsi="Arial" w:cs="Arial"/>
          <w:sz w:val="24"/>
        </w:rPr>
        <w:t xml:space="preserve">. ISRL, vol. 205. Cham: Springer, pp. 35–51. Available at: </w:t>
      </w:r>
      <w:hyperlink r:id="rId35" w:tgtFrame="_new" w:history="1">
        <w:r w:rsidRPr="00EE1F27">
          <w:rPr>
            <w:rStyle w:val="Hyperlink"/>
            <w:rFonts w:ascii="Arial" w:hAnsi="Arial" w:cs="Arial"/>
            <w:sz w:val="24"/>
          </w:rPr>
          <w:t>https://link.springer.com/chapter/10.1007/978-3-030-79353-1_3</w:t>
        </w:r>
      </w:hyperlink>
      <w:r w:rsidRPr="00EE1F27">
        <w:rPr>
          <w:rFonts w:ascii="Arial" w:hAnsi="Arial" w:cs="Arial"/>
          <w:sz w:val="24"/>
        </w:rPr>
        <w:t xml:space="preserve"> (Accessed: 27 June 2025).</w:t>
      </w:r>
    </w:p>
    <w:p w14:paraId="18CCCFC1"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Ross, S., Jabbal, J., Blythe, N. and Nwasike, C.J. (2025) </w:t>
      </w:r>
      <w:r w:rsidRPr="00EE1F27">
        <w:rPr>
          <w:rStyle w:val="Emphasis"/>
          <w:rFonts w:ascii="Arial" w:hAnsi="Arial" w:cs="Arial"/>
          <w:sz w:val="24"/>
        </w:rPr>
        <w:t>Place-based partnerships: challenges and opportunities</w:t>
      </w:r>
      <w:r w:rsidRPr="00EE1F27">
        <w:rPr>
          <w:rFonts w:ascii="Arial" w:hAnsi="Arial" w:cs="Arial"/>
          <w:sz w:val="24"/>
        </w:rPr>
        <w:t xml:space="preserve">. London: The King’s Fund. Available at: </w:t>
      </w:r>
      <w:hyperlink r:id="rId36" w:tgtFrame="_new" w:history="1">
        <w:r w:rsidRPr="00EE1F27">
          <w:rPr>
            <w:rStyle w:val="Hyperlink"/>
            <w:rFonts w:ascii="Arial" w:hAnsi="Arial" w:cs="Arial"/>
            <w:sz w:val="24"/>
          </w:rPr>
          <w:t>https://www.kingsfund.org.uk/insight-and-analysis/reports/place-based-partnerships-challenges-opportunities</w:t>
        </w:r>
      </w:hyperlink>
      <w:r w:rsidRPr="00EE1F27">
        <w:rPr>
          <w:rFonts w:ascii="Arial" w:hAnsi="Arial" w:cs="Arial"/>
          <w:sz w:val="24"/>
        </w:rPr>
        <w:t xml:space="preserve"> (Accessed: 19 June 2025).</w:t>
      </w:r>
    </w:p>
    <w:p w14:paraId="044AE660"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Social Care Institute for Excellence (2025) </w:t>
      </w:r>
      <w:r w:rsidRPr="00EE1F27">
        <w:rPr>
          <w:rStyle w:val="Emphasis"/>
          <w:rFonts w:ascii="Arial" w:hAnsi="Arial" w:cs="Arial"/>
          <w:sz w:val="24"/>
        </w:rPr>
        <w:t>MCA: Care planning, involvement and person-centred care</w:t>
      </w:r>
      <w:r w:rsidRPr="00EE1F27">
        <w:rPr>
          <w:rFonts w:ascii="Arial" w:hAnsi="Arial" w:cs="Arial"/>
          <w:sz w:val="24"/>
        </w:rPr>
        <w:t xml:space="preserve">. Available at: </w:t>
      </w:r>
      <w:hyperlink r:id="rId37" w:tgtFrame="_new" w:history="1">
        <w:r w:rsidRPr="00EE1F27">
          <w:rPr>
            <w:rStyle w:val="Hyperlink"/>
            <w:rFonts w:ascii="Arial" w:hAnsi="Arial" w:cs="Arial"/>
            <w:sz w:val="24"/>
          </w:rPr>
          <w:t>https://www.scie.org.uk/mca/practice/care-planning/person-centred-care/</w:t>
        </w:r>
      </w:hyperlink>
      <w:r w:rsidRPr="00EE1F27">
        <w:rPr>
          <w:rFonts w:ascii="Arial" w:hAnsi="Arial" w:cs="Arial"/>
          <w:sz w:val="24"/>
        </w:rPr>
        <w:t xml:space="preserve"> (Accessed: 23 June 2025).</w:t>
      </w:r>
    </w:p>
    <w:p w14:paraId="48749A63"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Švab, I. and Cerovečki, V. (2024) ‘Person-centred care, a core concept of family medicine’, </w:t>
      </w:r>
      <w:r w:rsidRPr="00EE1F27">
        <w:rPr>
          <w:rStyle w:val="Emphasis"/>
          <w:rFonts w:ascii="Arial" w:hAnsi="Arial" w:cs="Arial"/>
          <w:sz w:val="24"/>
        </w:rPr>
        <w:t>European Journal of General Practice</w:t>
      </w:r>
      <w:r w:rsidRPr="00EE1F27">
        <w:rPr>
          <w:rFonts w:ascii="Arial" w:hAnsi="Arial" w:cs="Arial"/>
          <w:sz w:val="24"/>
        </w:rPr>
        <w:t xml:space="preserve">, 30(1), p. 2393860. Available at: </w:t>
      </w:r>
      <w:hyperlink r:id="rId38" w:tgtFrame="_new" w:history="1">
        <w:r w:rsidRPr="00EE1F27">
          <w:rPr>
            <w:rStyle w:val="Hyperlink"/>
            <w:rFonts w:ascii="Arial" w:hAnsi="Arial" w:cs="Arial"/>
            <w:sz w:val="24"/>
          </w:rPr>
          <w:t>https://www.ncbi.nlm.nih.gov/pmc/articles/PMC11351358/</w:t>
        </w:r>
      </w:hyperlink>
      <w:r w:rsidRPr="00EE1F27">
        <w:rPr>
          <w:rFonts w:ascii="Arial" w:hAnsi="Arial" w:cs="Arial"/>
          <w:sz w:val="24"/>
        </w:rPr>
        <w:t xml:space="preserve"> (Accessed: 21 June 2025).</w:t>
      </w:r>
    </w:p>
    <w:p w14:paraId="3C539391"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UK Government (2023) </w:t>
      </w:r>
      <w:r w:rsidRPr="00EE1F27">
        <w:rPr>
          <w:rStyle w:val="Emphasis"/>
          <w:rFonts w:ascii="Arial" w:hAnsi="Arial" w:cs="Arial"/>
          <w:sz w:val="24"/>
        </w:rPr>
        <w:t>The Health and Social Care Act 2008 (Regulated Activities) (Amendment) Regulations 2023</w:t>
      </w:r>
      <w:r w:rsidRPr="00EE1F27">
        <w:rPr>
          <w:rFonts w:ascii="Arial" w:hAnsi="Arial" w:cs="Arial"/>
          <w:sz w:val="24"/>
        </w:rPr>
        <w:t xml:space="preserve">. Statutory Instrument 2023 No. 1402. Available at: </w:t>
      </w:r>
      <w:hyperlink r:id="rId39" w:tgtFrame="_new" w:history="1">
        <w:r w:rsidRPr="00EE1F27">
          <w:rPr>
            <w:rStyle w:val="Hyperlink"/>
            <w:rFonts w:ascii="Arial" w:hAnsi="Arial" w:cs="Arial"/>
            <w:sz w:val="24"/>
          </w:rPr>
          <w:t>https://www.legislation.gov.uk/uksi/2023/1402/made</w:t>
        </w:r>
      </w:hyperlink>
      <w:r w:rsidRPr="00EE1F27">
        <w:rPr>
          <w:rFonts w:ascii="Arial" w:hAnsi="Arial" w:cs="Arial"/>
          <w:sz w:val="24"/>
        </w:rPr>
        <w:t xml:space="preserve"> (Accessed: 25 June 2025).</w:t>
      </w:r>
    </w:p>
    <w:p w14:paraId="6D510614"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Weiner, E.B., Dankwa-Mullan, I., Nelson, W.A. and Hassanpour, S. (2024) ‘Ethical challenges and evolving strategies in the integration of artificial intelligence into clinical practice’, </w:t>
      </w:r>
      <w:r w:rsidRPr="00EE1F27">
        <w:rPr>
          <w:rStyle w:val="Emphasis"/>
          <w:rFonts w:ascii="Arial" w:hAnsi="Arial" w:cs="Arial"/>
          <w:sz w:val="24"/>
        </w:rPr>
        <w:t>arXiv preprint</w:t>
      </w:r>
      <w:r w:rsidRPr="00EE1F27">
        <w:rPr>
          <w:rFonts w:ascii="Arial" w:hAnsi="Arial" w:cs="Arial"/>
          <w:sz w:val="24"/>
        </w:rPr>
        <w:t xml:space="preserve">, arXiv:2412.03576. Available at: </w:t>
      </w:r>
      <w:hyperlink r:id="rId40" w:tgtFrame="_new" w:history="1">
        <w:r w:rsidRPr="00EE1F27">
          <w:rPr>
            <w:rStyle w:val="Hyperlink"/>
            <w:rFonts w:ascii="Arial" w:hAnsi="Arial" w:cs="Arial"/>
            <w:sz w:val="24"/>
          </w:rPr>
          <w:t>https://doi.org/10.48550/arXiv.2412.03576</w:t>
        </w:r>
      </w:hyperlink>
      <w:r w:rsidRPr="00EE1F27">
        <w:rPr>
          <w:rFonts w:ascii="Arial" w:hAnsi="Arial" w:cs="Arial"/>
          <w:sz w:val="24"/>
        </w:rPr>
        <w:t xml:space="preserve"> (Accessed: 26 June 2025).</w:t>
      </w:r>
    </w:p>
    <w:p w14:paraId="58631664" w14:textId="77777777" w:rsidR="00A80EE1" w:rsidRPr="00EE1F27" w:rsidRDefault="00A80EE1" w:rsidP="00A80EE1">
      <w:pPr>
        <w:pStyle w:val="ListParagraph"/>
        <w:numPr>
          <w:ilvl w:val="0"/>
          <w:numId w:val="2"/>
        </w:numPr>
        <w:spacing w:line="360" w:lineRule="auto"/>
        <w:jc w:val="both"/>
        <w:rPr>
          <w:rFonts w:ascii="Arial" w:hAnsi="Arial" w:cs="Arial"/>
          <w:sz w:val="24"/>
        </w:rPr>
      </w:pPr>
      <w:r w:rsidRPr="00EE1F27">
        <w:rPr>
          <w:rFonts w:ascii="Arial" w:hAnsi="Arial" w:cs="Arial"/>
          <w:sz w:val="24"/>
        </w:rPr>
        <w:t xml:space="preserve">Yu, C., Xian, Y., Jing, T., Bai, M., Li, X., Li, J., Liang, H., Yu, G. and Zhang, Z. (2023) ‘More patient-centered care, better healthcare: the association between patient-centered care and healthcare outcomes in inpatients’, </w:t>
      </w:r>
      <w:r w:rsidRPr="00EE1F27">
        <w:rPr>
          <w:rStyle w:val="Emphasis"/>
          <w:rFonts w:ascii="Arial" w:hAnsi="Arial" w:cs="Arial"/>
          <w:sz w:val="24"/>
        </w:rPr>
        <w:t>Frontiers in Public Health</w:t>
      </w:r>
      <w:r w:rsidRPr="00EE1F27">
        <w:rPr>
          <w:rFonts w:ascii="Arial" w:hAnsi="Arial" w:cs="Arial"/>
          <w:sz w:val="24"/>
        </w:rPr>
        <w:t xml:space="preserve">, 11, 1148277. Available at: </w:t>
      </w:r>
      <w:hyperlink r:id="rId41" w:tgtFrame="_new" w:history="1">
        <w:r w:rsidRPr="00EE1F27">
          <w:rPr>
            <w:rStyle w:val="Hyperlink"/>
            <w:rFonts w:ascii="Arial" w:hAnsi="Arial" w:cs="Arial"/>
            <w:sz w:val="24"/>
          </w:rPr>
          <w:t>https://doi.org/10.3389/fpubh.2023.1148277</w:t>
        </w:r>
      </w:hyperlink>
      <w:r w:rsidRPr="00EE1F27">
        <w:rPr>
          <w:rFonts w:ascii="Arial" w:hAnsi="Arial" w:cs="Arial"/>
          <w:sz w:val="24"/>
        </w:rPr>
        <w:t xml:space="preserve"> (Accessed: 27 June 2025).</w:t>
      </w:r>
    </w:p>
    <w:p w14:paraId="6C5ECE2C" w14:textId="77777777" w:rsidR="00755B14" w:rsidRPr="00755B14" w:rsidRDefault="00755B14" w:rsidP="00BB6C05">
      <w:pPr>
        <w:pStyle w:val="NormalWeb"/>
        <w:spacing w:line="360" w:lineRule="auto"/>
        <w:jc w:val="both"/>
        <w:rPr>
          <w:rStyle w:val="relative"/>
          <w:rFonts w:ascii="Arial" w:hAnsi="Arial" w:cs="Arial"/>
        </w:rPr>
      </w:pPr>
    </w:p>
    <w:p w14:paraId="0C1851A4" w14:textId="77777777" w:rsidR="00E355C3" w:rsidRPr="00E355C3" w:rsidRDefault="00E355C3" w:rsidP="00E355C3"/>
    <w:sectPr w:rsidR="00E355C3" w:rsidRPr="00E355C3">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D4FD2" w14:textId="77777777" w:rsidR="00B21F4B" w:rsidRDefault="00B21F4B" w:rsidP="00972692">
      <w:pPr>
        <w:spacing w:after="0" w:line="240" w:lineRule="auto"/>
      </w:pPr>
      <w:r>
        <w:separator/>
      </w:r>
    </w:p>
  </w:endnote>
  <w:endnote w:type="continuationSeparator" w:id="0">
    <w:p w14:paraId="745412FE" w14:textId="77777777" w:rsidR="00B21F4B" w:rsidRDefault="00B21F4B" w:rsidP="00972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6441757"/>
      <w:docPartObj>
        <w:docPartGallery w:val="Page Numbers (Bottom of Page)"/>
        <w:docPartUnique/>
      </w:docPartObj>
    </w:sdtPr>
    <w:sdtEndPr>
      <w:rPr>
        <w:noProof/>
      </w:rPr>
    </w:sdtEndPr>
    <w:sdtContent>
      <w:p w14:paraId="2EA903B6" w14:textId="77777777" w:rsidR="00972692" w:rsidRDefault="00972692" w:rsidP="00972692">
        <w:pPr>
          <w:pStyle w:val="Footer"/>
          <w:spacing w:line="360" w:lineRule="auto"/>
          <w:jc w:val="right"/>
        </w:pPr>
        <w:r w:rsidRPr="00972692">
          <w:rPr>
            <w:rFonts w:ascii="Arial" w:hAnsi="Arial" w:cs="Arial"/>
          </w:rPr>
          <w:fldChar w:fldCharType="begin"/>
        </w:r>
        <w:r w:rsidRPr="00972692">
          <w:rPr>
            <w:rFonts w:ascii="Arial" w:hAnsi="Arial" w:cs="Arial"/>
          </w:rPr>
          <w:instrText xml:space="preserve"> PAGE   \* MERGEFORMAT </w:instrText>
        </w:r>
        <w:r w:rsidRPr="00972692">
          <w:rPr>
            <w:rFonts w:ascii="Arial" w:hAnsi="Arial" w:cs="Arial"/>
          </w:rPr>
          <w:fldChar w:fldCharType="separate"/>
        </w:r>
        <w:r w:rsidR="00EE1F27">
          <w:rPr>
            <w:rFonts w:ascii="Arial" w:hAnsi="Arial" w:cs="Arial"/>
            <w:noProof/>
          </w:rPr>
          <w:t>18</w:t>
        </w:r>
        <w:r w:rsidRPr="00972692">
          <w:rPr>
            <w:rFonts w:ascii="Arial" w:hAnsi="Arial" w:cs="Arial"/>
            <w:noProof/>
          </w:rPr>
          <w:fldChar w:fldCharType="end"/>
        </w:r>
      </w:p>
    </w:sdtContent>
  </w:sdt>
  <w:p w14:paraId="25002A12" w14:textId="77777777" w:rsidR="00972692" w:rsidRDefault="00972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A9956" w14:textId="77777777" w:rsidR="00B21F4B" w:rsidRDefault="00B21F4B" w:rsidP="00972692">
      <w:pPr>
        <w:spacing w:after="0" w:line="240" w:lineRule="auto"/>
      </w:pPr>
      <w:r>
        <w:separator/>
      </w:r>
    </w:p>
  </w:footnote>
  <w:footnote w:type="continuationSeparator" w:id="0">
    <w:p w14:paraId="26958A5B" w14:textId="77777777" w:rsidR="00B21F4B" w:rsidRDefault="00B21F4B" w:rsidP="00972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2A5C89"/>
    <w:multiLevelType w:val="multilevel"/>
    <w:tmpl w:val="14F8CAA8"/>
    <w:lvl w:ilvl="0">
      <w:start w:val="1"/>
      <w:numFmt w:val="decimal"/>
      <w:lvlText w:val="%1."/>
      <w:lvlJc w:val="left"/>
      <w:pPr>
        <w:ind w:left="720" w:hanging="360"/>
      </w:pPr>
      <w:rPr>
        <w:rFonts w:ascii="Arial" w:hAnsi="Arial" w:cs="Arial" w:hint="default"/>
        <w:color w:val="auto"/>
        <w:sz w:val="24"/>
      </w:rPr>
    </w:lvl>
    <w:lvl w:ilvl="1">
      <w:start w:val="1"/>
      <w:numFmt w:val="decimal"/>
      <w:isLgl/>
      <w:lvlText w:val="%1.%2."/>
      <w:lvlJc w:val="left"/>
      <w:pPr>
        <w:ind w:left="1080" w:hanging="720"/>
      </w:pPr>
      <w:rPr>
        <w:rFonts w:hint="default"/>
        <w:color w:val="auto"/>
        <w:sz w:val="24"/>
      </w:rPr>
    </w:lvl>
    <w:lvl w:ilvl="2">
      <w:start w:val="1"/>
      <w:numFmt w:val="decimal"/>
      <w:isLgl/>
      <w:lvlText w:val="%1.%2.%3."/>
      <w:lvlJc w:val="left"/>
      <w:pPr>
        <w:ind w:left="1080" w:hanging="720"/>
      </w:pPr>
      <w:rPr>
        <w:rFonts w:hint="default"/>
        <w:color w:val="auto"/>
        <w:sz w:val="24"/>
      </w:rPr>
    </w:lvl>
    <w:lvl w:ilvl="3">
      <w:start w:val="1"/>
      <w:numFmt w:val="decimal"/>
      <w:isLgl/>
      <w:lvlText w:val="%1.%2.%3.%4."/>
      <w:lvlJc w:val="left"/>
      <w:pPr>
        <w:ind w:left="1440" w:hanging="1080"/>
      </w:pPr>
      <w:rPr>
        <w:rFonts w:hint="default"/>
        <w:color w:val="auto"/>
        <w:sz w:val="24"/>
      </w:rPr>
    </w:lvl>
    <w:lvl w:ilvl="4">
      <w:start w:val="1"/>
      <w:numFmt w:val="decimal"/>
      <w:isLgl/>
      <w:lvlText w:val="%1.%2.%3.%4.%5."/>
      <w:lvlJc w:val="left"/>
      <w:pPr>
        <w:ind w:left="1800" w:hanging="1440"/>
      </w:pPr>
      <w:rPr>
        <w:rFonts w:hint="default"/>
        <w:color w:val="auto"/>
        <w:sz w:val="24"/>
      </w:rPr>
    </w:lvl>
    <w:lvl w:ilvl="5">
      <w:start w:val="1"/>
      <w:numFmt w:val="decimal"/>
      <w:isLgl/>
      <w:lvlText w:val="%1.%2.%3.%4.%5.%6."/>
      <w:lvlJc w:val="left"/>
      <w:pPr>
        <w:ind w:left="1800" w:hanging="1440"/>
      </w:pPr>
      <w:rPr>
        <w:rFonts w:hint="default"/>
        <w:color w:val="auto"/>
        <w:sz w:val="24"/>
      </w:rPr>
    </w:lvl>
    <w:lvl w:ilvl="6">
      <w:start w:val="1"/>
      <w:numFmt w:val="decimal"/>
      <w:isLgl/>
      <w:lvlText w:val="%1.%2.%3.%4.%5.%6.%7."/>
      <w:lvlJc w:val="left"/>
      <w:pPr>
        <w:ind w:left="2160" w:hanging="1800"/>
      </w:pPr>
      <w:rPr>
        <w:rFonts w:hint="default"/>
        <w:color w:val="auto"/>
        <w:sz w:val="24"/>
      </w:rPr>
    </w:lvl>
    <w:lvl w:ilvl="7">
      <w:start w:val="1"/>
      <w:numFmt w:val="decimal"/>
      <w:isLgl/>
      <w:lvlText w:val="%1.%2.%3.%4.%5.%6.%7.%8."/>
      <w:lvlJc w:val="left"/>
      <w:pPr>
        <w:ind w:left="2160" w:hanging="1800"/>
      </w:pPr>
      <w:rPr>
        <w:rFonts w:hint="default"/>
        <w:color w:val="auto"/>
        <w:sz w:val="24"/>
      </w:rPr>
    </w:lvl>
    <w:lvl w:ilvl="8">
      <w:start w:val="1"/>
      <w:numFmt w:val="decimal"/>
      <w:isLgl/>
      <w:lvlText w:val="%1.%2.%3.%4.%5.%6.%7.%8.%9."/>
      <w:lvlJc w:val="left"/>
      <w:pPr>
        <w:ind w:left="2520" w:hanging="2160"/>
      </w:pPr>
      <w:rPr>
        <w:rFonts w:hint="default"/>
        <w:color w:val="auto"/>
        <w:sz w:val="24"/>
      </w:rPr>
    </w:lvl>
  </w:abstractNum>
  <w:abstractNum w:abstractNumId="1" w15:restartNumberingAfterBreak="0">
    <w:nsid w:val="52A079A2"/>
    <w:multiLevelType w:val="hybridMultilevel"/>
    <w:tmpl w:val="332EF3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9424076">
    <w:abstractNumId w:val="0"/>
  </w:num>
  <w:num w:numId="2" w16cid:durableId="362172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DBC"/>
    <w:rsid w:val="00011C41"/>
    <w:rsid w:val="00021D5B"/>
    <w:rsid w:val="00042E52"/>
    <w:rsid w:val="00054CDC"/>
    <w:rsid w:val="00060658"/>
    <w:rsid w:val="00066A21"/>
    <w:rsid w:val="00095B52"/>
    <w:rsid w:val="000C3374"/>
    <w:rsid w:val="000C5473"/>
    <w:rsid w:val="000D0DBC"/>
    <w:rsid w:val="000E65C1"/>
    <w:rsid w:val="000F26BA"/>
    <w:rsid w:val="001348B5"/>
    <w:rsid w:val="0014049E"/>
    <w:rsid w:val="00154568"/>
    <w:rsid w:val="00155986"/>
    <w:rsid w:val="00164250"/>
    <w:rsid w:val="001B1C04"/>
    <w:rsid w:val="001C13AC"/>
    <w:rsid w:val="001E3E72"/>
    <w:rsid w:val="0028013B"/>
    <w:rsid w:val="002D5728"/>
    <w:rsid w:val="002F2706"/>
    <w:rsid w:val="003132E7"/>
    <w:rsid w:val="0035060B"/>
    <w:rsid w:val="0035248A"/>
    <w:rsid w:val="00361920"/>
    <w:rsid w:val="003B0809"/>
    <w:rsid w:val="003C3870"/>
    <w:rsid w:val="003F214E"/>
    <w:rsid w:val="0045503F"/>
    <w:rsid w:val="00470E2D"/>
    <w:rsid w:val="00482FEF"/>
    <w:rsid w:val="00486508"/>
    <w:rsid w:val="004E4111"/>
    <w:rsid w:val="004F4EDF"/>
    <w:rsid w:val="00514D2A"/>
    <w:rsid w:val="00541DD5"/>
    <w:rsid w:val="00551356"/>
    <w:rsid w:val="005F3650"/>
    <w:rsid w:val="00603B24"/>
    <w:rsid w:val="00633348"/>
    <w:rsid w:val="006C0966"/>
    <w:rsid w:val="006D10E1"/>
    <w:rsid w:val="00755B14"/>
    <w:rsid w:val="0075745F"/>
    <w:rsid w:val="007F641F"/>
    <w:rsid w:val="008073F5"/>
    <w:rsid w:val="008617FE"/>
    <w:rsid w:val="008A6E72"/>
    <w:rsid w:val="008D6E6A"/>
    <w:rsid w:val="008E4A5D"/>
    <w:rsid w:val="00911CCF"/>
    <w:rsid w:val="00972692"/>
    <w:rsid w:val="009808C5"/>
    <w:rsid w:val="009A6F84"/>
    <w:rsid w:val="009B1352"/>
    <w:rsid w:val="009B6D9F"/>
    <w:rsid w:val="009C44DB"/>
    <w:rsid w:val="009E7358"/>
    <w:rsid w:val="00A54B0F"/>
    <w:rsid w:val="00A65787"/>
    <w:rsid w:val="00A80EE1"/>
    <w:rsid w:val="00A93989"/>
    <w:rsid w:val="00AC32B9"/>
    <w:rsid w:val="00AE6663"/>
    <w:rsid w:val="00B11A50"/>
    <w:rsid w:val="00B21F4B"/>
    <w:rsid w:val="00B51570"/>
    <w:rsid w:val="00B57CD7"/>
    <w:rsid w:val="00B8286C"/>
    <w:rsid w:val="00B94736"/>
    <w:rsid w:val="00B975DB"/>
    <w:rsid w:val="00B97BE7"/>
    <w:rsid w:val="00BA093C"/>
    <w:rsid w:val="00BB6C05"/>
    <w:rsid w:val="00BC5A5F"/>
    <w:rsid w:val="00C04E29"/>
    <w:rsid w:val="00C37DF5"/>
    <w:rsid w:val="00C56F0F"/>
    <w:rsid w:val="00C82680"/>
    <w:rsid w:val="00C83441"/>
    <w:rsid w:val="00CC7AFE"/>
    <w:rsid w:val="00CC7C04"/>
    <w:rsid w:val="00D15907"/>
    <w:rsid w:val="00D4743A"/>
    <w:rsid w:val="00D71090"/>
    <w:rsid w:val="00D77A9C"/>
    <w:rsid w:val="00DB7E63"/>
    <w:rsid w:val="00DE5BA9"/>
    <w:rsid w:val="00E33BF2"/>
    <w:rsid w:val="00E355C3"/>
    <w:rsid w:val="00E6442E"/>
    <w:rsid w:val="00E831DA"/>
    <w:rsid w:val="00EE1F27"/>
    <w:rsid w:val="00F2411D"/>
    <w:rsid w:val="00F43D94"/>
    <w:rsid w:val="00F52AE6"/>
    <w:rsid w:val="00FD5D91"/>
    <w:rsid w:val="00FE762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D0C40"/>
  <w15:docId w15:val="{541B0DC4-B9F1-4EDA-9A00-C31CD64F2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C0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8286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BA093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C0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nhideWhenUsed/>
    <w:rsid w:val="00972692"/>
    <w:pPr>
      <w:tabs>
        <w:tab w:val="center" w:pos="4680"/>
        <w:tab w:val="right" w:pos="9360"/>
      </w:tabs>
      <w:spacing w:after="0" w:line="240" w:lineRule="auto"/>
    </w:pPr>
  </w:style>
  <w:style w:type="character" w:customStyle="1" w:styleId="HeaderChar">
    <w:name w:val="Header Char"/>
    <w:basedOn w:val="DefaultParagraphFont"/>
    <w:link w:val="Header"/>
    <w:rsid w:val="00972692"/>
  </w:style>
  <w:style w:type="paragraph" w:styleId="Footer">
    <w:name w:val="footer"/>
    <w:basedOn w:val="Normal"/>
    <w:link w:val="FooterChar"/>
    <w:uiPriority w:val="99"/>
    <w:unhideWhenUsed/>
    <w:rsid w:val="009726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2692"/>
  </w:style>
  <w:style w:type="paragraph" w:styleId="NormalWeb">
    <w:name w:val="Normal (Web)"/>
    <w:basedOn w:val="Normal"/>
    <w:uiPriority w:val="99"/>
    <w:unhideWhenUsed/>
    <w:rsid w:val="00E355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lative">
    <w:name w:val="relative"/>
    <w:basedOn w:val="DefaultParagraphFont"/>
    <w:rsid w:val="00E355C3"/>
  </w:style>
  <w:style w:type="character" w:styleId="Emphasis">
    <w:name w:val="Emphasis"/>
    <w:basedOn w:val="DefaultParagraphFont"/>
    <w:uiPriority w:val="20"/>
    <w:qFormat/>
    <w:rsid w:val="00E355C3"/>
    <w:rPr>
      <w:i/>
      <w:iCs/>
    </w:rPr>
  </w:style>
  <w:style w:type="character" w:customStyle="1" w:styleId="ms-1">
    <w:name w:val="ms-1"/>
    <w:basedOn w:val="DefaultParagraphFont"/>
    <w:rsid w:val="00E355C3"/>
  </w:style>
  <w:style w:type="character" w:customStyle="1" w:styleId="max-w-full">
    <w:name w:val="max-w-full"/>
    <w:basedOn w:val="DefaultParagraphFont"/>
    <w:rsid w:val="00E355C3"/>
  </w:style>
  <w:style w:type="character" w:styleId="Strong">
    <w:name w:val="Strong"/>
    <w:basedOn w:val="DefaultParagraphFont"/>
    <w:uiPriority w:val="22"/>
    <w:qFormat/>
    <w:rsid w:val="00BB6C05"/>
    <w:rPr>
      <w:b/>
      <w:bCs/>
    </w:rPr>
  </w:style>
  <w:style w:type="character" w:customStyle="1" w:styleId="-me-1">
    <w:name w:val="-me-1"/>
    <w:basedOn w:val="DefaultParagraphFont"/>
    <w:rsid w:val="00BB6C05"/>
  </w:style>
  <w:style w:type="character" w:customStyle="1" w:styleId="Heading2Char">
    <w:name w:val="Heading 2 Char"/>
    <w:basedOn w:val="DefaultParagraphFont"/>
    <w:link w:val="Heading2"/>
    <w:uiPriority w:val="9"/>
    <w:rsid w:val="00B8286C"/>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1B1C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C04"/>
    <w:rPr>
      <w:rFonts w:ascii="Tahoma" w:hAnsi="Tahoma" w:cs="Tahoma"/>
      <w:sz w:val="16"/>
      <w:szCs w:val="16"/>
    </w:rPr>
  </w:style>
  <w:style w:type="paragraph" w:styleId="Caption">
    <w:name w:val="caption"/>
    <w:basedOn w:val="Normal"/>
    <w:next w:val="Normal"/>
    <w:uiPriority w:val="35"/>
    <w:unhideWhenUsed/>
    <w:qFormat/>
    <w:rsid w:val="001B1C04"/>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B975DB"/>
    <w:pPr>
      <w:spacing w:after="0"/>
    </w:pPr>
  </w:style>
  <w:style w:type="character" w:styleId="Hyperlink">
    <w:name w:val="Hyperlink"/>
    <w:basedOn w:val="DefaultParagraphFont"/>
    <w:uiPriority w:val="99"/>
    <w:unhideWhenUsed/>
    <w:rsid w:val="00B975DB"/>
    <w:rPr>
      <w:color w:val="0000FF" w:themeColor="hyperlink"/>
      <w:u w:val="single"/>
    </w:rPr>
  </w:style>
  <w:style w:type="paragraph" w:styleId="ListParagraph">
    <w:name w:val="List Paragraph"/>
    <w:basedOn w:val="Normal"/>
    <w:uiPriority w:val="34"/>
    <w:qFormat/>
    <w:rsid w:val="00A80EE1"/>
    <w:pPr>
      <w:ind w:left="720"/>
      <w:contextualSpacing/>
    </w:pPr>
  </w:style>
  <w:style w:type="paragraph" w:styleId="TOCHeading">
    <w:name w:val="TOC Heading"/>
    <w:basedOn w:val="Heading1"/>
    <w:next w:val="Normal"/>
    <w:uiPriority w:val="39"/>
    <w:semiHidden/>
    <w:unhideWhenUsed/>
    <w:qFormat/>
    <w:rsid w:val="00A80EE1"/>
    <w:pPr>
      <w:outlineLvl w:val="9"/>
    </w:pPr>
    <w:rPr>
      <w:lang w:eastAsia="ja-JP"/>
    </w:rPr>
  </w:style>
  <w:style w:type="paragraph" w:styleId="TOC1">
    <w:name w:val="toc 1"/>
    <w:basedOn w:val="Normal"/>
    <w:next w:val="Normal"/>
    <w:autoRedefine/>
    <w:uiPriority w:val="39"/>
    <w:unhideWhenUsed/>
    <w:rsid w:val="00A80EE1"/>
    <w:pPr>
      <w:spacing w:after="100"/>
    </w:pPr>
  </w:style>
  <w:style w:type="paragraph" w:styleId="TOC2">
    <w:name w:val="toc 2"/>
    <w:basedOn w:val="Normal"/>
    <w:next w:val="Normal"/>
    <w:autoRedefine/>
    <w:uiPriority w:val="39"/>
    <w:unhideWhenUsed/>
    <w:rsid w:val="00A80EE1"/>
    <w:pPr>
      <w:spacing w:after="100"/>
      <w:ind w:left="220"/>
    </w:pPr>
  </w:style>
  <w:style w:type="character" w:customStyle="1" w:styleId="Heading4Char">
    <w:name w:val="Heading 4 Char"/>
    <w:basedOn w:val="DefaultParagraphFont"/>
    <w:link w:val="Heading4"/>
    <w:uiPriority w:val="9"/>
    <w:semiHidden/>
    <w:rsid w:val="00BA093C"/>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00270">
      <w:bodyDiv w:val="1"/>
      <w:marLeft w:val="0"/>
      <w:marRight w:val="0"/>
      <w:marTop w:val="0"/>
      <w:marBottom w:val="0"/>
      <w:divBdr>
        <w:top w:val="none" w:sz="0" w:space="0" w:color="auto"/>
        <w:left w:val="none" w:sz="0" w:space="0" w:color="auto"/>
        <w:bottom w:val="none" w:sz="0" w:space="0" w:color="auto"/>
        <w:right w:val="none" w:sz="0" w:space="0" w:color="auto"/>
      </w:divBdr>
    </w:div>
    <w:div w:id="608317319">
      <w:bodyDiv w:val="1"/>
      <w:marLeft w:val="0"/>
      <w:marRight w:val="0"/>
      <w:marTop w:val="0"/>
      <w:marBottom w:val="0"/>
      <w:divBdr>
        <w:top w:val="none" w:sz="0" w:space="0" w:color="auto"/>
        <w:left w:val="none" w:sz="0" w:space="0" w:color="auto"/>
        <w:bottom w:val="none" w:sz="0" w:space="0" w:color="auto"/>
        <w:right w:val="none" w:sz="0" w:space="0" w:color="auto"/>
      </w:divBdr>
    </w:div>
    <w:div w:id="793712946">
      <w:bodyDiv w:val="1"/>
      <w:marLeft w:val="0"/>
      <w:marRight w:val="0"/>
      <w:marTop w:val="0"/>
      <w:marBottom w:val="0"/>
      <w:divBdr>
        <w:top w:val="none" w:sz="0" w:space="0" w:color="auto"/>
        <w:left w:val="none" w:sz="0" w:space="0" w:color="auto"/>
        <w:bottom w:val="none" w:sz="0" w:space="0" w:color="auto"/>
        <w:right w:val="none" w:sz="0" w:space="0" w:color="auto"/>
      </w:divBdr>
    </w:div>
    <w:div w:id="964970669">
      <w:bodyDiv w:val="1"/>
      <w:marLeft w:val="0"/>
      <w:marRight w:val="0"/>
      <w:marTop w:val="0"/>
      <w:marBottom w:val="0"/>
      <w:divBdr>
        <w:top w:val="none" w:sz="0" w:space="0" w:color="auto"/>
        <w:left w:val="none" w:sz="0" w:space="0" w:color="auto"/>
        <w:bottom w:val="none" w:sz="0" w:space="0" w:color="auto"/>
        <w:right w:val="none" w:sz="0" w:space="0" w:color="auto"/>
      </w:divBdr>
    </w:div>
    <w:div w:id="1311786175">
      <w:bodyDiv w:val="1"/>
      <w:marLeft w:val="0"/>
      <w:marRight w:val="0"/>
      <w:marTop w:val="0"/>
      <w:marBottom w:val="0"/>
      <w:divBdr>
        <w:top w:val="none" w:sz="0" w:space="0" w:color="auto"/>
        <w:left w:val="none" w:sz="0" w:space="0" w:color="auto"/>
        <w:bottom w:val="none" w:sz="0" w:space="0" w:color="auto"/>
        <w:right w:val="none" w:sz="0" w:space="0" w:color="auto"/>
      </w:divBdr>
      <w:divsChild>
        <w:div w:id="781193416">
          <w:marLeft w:val="0"/>
          <w:marRight w:val="0"/>
          <w:marTop w:val="0"/>
          <w:marBottom w:val="0"/>
          <w:divBdr>
            <w:top w:val="none" w:sz="0" w:space="0" w:color="auto"/>
            <w:left w:val="none" w:sz="0" w:space="0" w:color="auto"/>
            <w:bottom w:val="none" w:sz="0" w:space="0" w:color="auto"/>
            <w:right w:val="none" w:sz="0" w:space="0" w:color="auto"/>
          </w:divBdr>
          <w:divsChild>
            <w:div w:id="663704833">
              <w:marLeft w:val="0"/>
              <w:marRight w:val="0"/>
              <w:marTop w:val="0"/>
              <w:marBottom w:val="0"/>
              <w:divBdr>
                <w:top w:val="none" w:sz="0" w:space="0" w:color="auto"/>
                <w:left w:val="none" w:sz="0" w:space="0" w:color="auto"/>
                <w:bottom w:val="none" w:sz="0" w:space="0" w:color="auto"/>
                <w:right w:val="none" w:sz="0" w:space="0" w:color="auto"/>
              </w:divBdr>
              <w:divsChild>
                <w:div w:id="75709028">
                  <w:marLeft w:val="0"/>
                  <w:marRight w:val="0"/>
                  <w:marTop w:val="0"/>
                  <w:marBottom w:val="0"/>
                  <w:divBdr>
                    <w:top w:val="none" w:sz="0" w:space="0" w:color="auto"/>
                    <w:left w:val="none" w:sz="0" w:space="0" w:color="auto"/>
                    <w:bottom w:val="none" w:sz="0" w:space="0" w:color="auto"/>
                    <w:right w:val="none" w:sz="0" w:space="0" w:color="auto"/>
                  </w:divBdr>
                  <w:divsChild>
                    <w:div w:id="140732203">
                      <w:marLeft w:val="0"/>
                      <w:marRight w:val="0"/>
                      <w:marTop w:val="0"/>
                      <w:marBottom w:val="0"/>
                      <w:divBdr>
                        <w:top w:val="none" w:sz="0" w:space="0" w:color="auto"/>
                        <w:left w:val="none" w:sz="0" w:space="0" w:color="auto"/>
                        <w:bottom w:val="none" w:sz="0" w:space="0" w:color="auto"/>
                        <w:right w:val="none" w:sz="0" w:space="0" w:color="auto"/>
                      </w:divBdr>
                      <w:divsChild>
                        <w:div w:id="138230595">
                          <w:marLeft w:val="0"/>
                          <w:marRight w:val="0"/>
                          <w:marTop w:val="0"/>
                          <w:marBottom w:val="0"/>
                          <w:divBdr>
                            <w:top w:val="none" w:sz="0" w:space="0" w:color="auto"/>
                            <w:left w:val="none" w:sz="0" w:space="0" w:color="auto"/>
                            <w:bottom w:val="none" w:sz="0" w:space="0" w:color="auto"/>
                            <w:right w:val="none" w:sz="0" w:space="0" w:color="auto"/>
                          </w:divBdr>
                          <w:divsChild>
                            <w:div w:id="95102902">
                              <w:marLeft w:val="0"/>
                              <w:marRight w:val="0"/>
                              <w:marTop w:val="0"/>
                              <w:marBottom w:val="0"/>
                              <w:divBdr>
                                <w:top w:val="none" w:sz="0" w:space="0" w:color="auto"/>
                                <w:left w:val="none" w:sz="0" w:space="0" w:color="auto"/>
                                <w:bottom w:val="none" w:sz="0" w:space="0" w:color="auto"/>
                                <w:right w:val="none" w:sz="0" w:space="0" w:color="auto"/>
                              </w:divBdr>
                              <w:divsChild>
                                <w:div w:id="1696299837">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435007368">
      <w:bodyDiv w:val="1"/>
      <w:marLeft w:val="0"/>
      <w:marRight w:val="0"/>
      <w:marTop w:val="0"/>
      <w:marBottom w:val="0"/>
      <w:divBdr>
        <w:top w:val="none" w:sz="0" w:space="0" w:color="auto"/>
        <w:left w:val="none" w:sz="0" w:space="0" w:color="auto"/>
        <w:bottom w:val="none" w:sz="0" w:space="0" w:color="auto"/>
        <w:right w:val="none" w:sz="0" w:space="0" w:color="auto"/>
      </w:divBdr>
    </w:div>
    <w:div w:id="1471707109">
      <w:bodyDiv w:val="1"/>
      <w:marLeft w:val="0"/>
      <w:marRight w:val="0"/>
      <w:marTop w:val="0"/>
      <w:marBottom w:val="0"/>
      <w:divBdr>
        <w:top w:val="none" w:sz="0" w:space="0" w:color="auto"/>
        <w:left w:val="none" w:sz="0" w:space="0" w:color="auto"/>
        <w:bottom w:val="none" w:sz="0" w:space="0" w:color="auto"/>
        <w:right w:val="none" w:sz="0" w:space="0" w:color="auto"/>
      </w:divBdr>
    </w:div>
    <w:div w:id="1552109320">
      <w:bodyDiv w:val="1"/>
      <w:marLeft w:val="0"/>
      <w:marRight w:val="0"/>
      <w:marTop w:val="0"/>
      <w:marBottom w:val="0"/>
      <w:divBdr>
        <w:top w:val="none" w:sz="0" w:space="0" w:color="auto"/>
        <w:left w:val="none" w:sz="0" w:space="0" w:color="auto"/>
        <w:bottom w:val="none" w:sz="0" w:space="0" w:color="auto"/>
        <w:right w:val="none" w:sz="0" w:space="0" w:color="auto"/>
      </w:divBdr>
    </w:div>
    <w:div w:id="1645156372">
      <w:bodyDiv w:val="1"/>
      <w:marLeft w:val="0"/>
      <w:marRight w:val="0"/>
      <w:marTop w:val="0"/>
      <w:marBottom w:val="0"/>
      <w:divBdr>
        <w:top w:val="none" w:sz="0" w:space="0" w:color="auto"/>
        <w:left w:val="none" w:sz="0" w:space="0" w:color="auto"/>
        <w:bottom w:val="none" w:sz="0" w:space="0" w:color="auto"/>
        <w:right w:val="none" w:sz="0" w:space="0" w:color="auto"/>
      </w:divBdr>
    </w:div>
    <w:div w:id="1674453906">
      <w:bodyDiv w:val="1"/>
      <w:marLeft w:val="0"/>
      <w:marRight w:val="0"/>
      <w:marTop w:val="0"/>
      <w:marBottom w:val="0"/>
      <w:divBdr>
        <w:top w:val="none" w:sz="0" w:space="0" w:color="auto"/>
        <w:left w:val="none" w:sz="0" w:space="0" w:color="auto"/>
        <w:bottom w:val="none" w:sz="0" w:space="0" w:color="auto"/>
        <w:right w:val="none" w:sz="0" w:space="0" w:color="auto"/>
      </w:divBdr>
    </w:div>
    <w:div w:id="1812940805">
      <w:bodyDiv w:val="1"/>
      <w:marLeft w:val="0"/>
      <w:marRight w:val="0"/>
      <w:marTop w:val="0"/>
      <w:marBottom w:val="0"/>
      <w:divBdr>
        <w:top w:val="none" w:sz="0" w:space="0" w:color="auto"/>
        <w:left w:val="none" w:sz="0" w:space="0" w:color="auto"/>
        <w:bottom w:val="none" w:sz="0" w:space="0" w:color="auto"/>
        <w:right w:val="none" w:sz="0" w:space="0" w:color="auto"/>
      </w:divBdr>
    </w:div>
    <w:div w:id="2082866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inpractice.org.uk/adults/publications/2024/august/delivering-person-centred-care-for-the-uks-culturally-diverse-communities-frontline-briefing-2024/" TargetMode="External"/><Relationship Id="rId18" Type="http://schemas.openxmlformats.org/officeDocument/2006/relationships/hyperlink" Target="https://www.gov.uk/government/publications/build-back-better-our-plan-for-health-and-social-care/build-back-better-our-plan-for-health-and-social-care" TargetMode="External"/><Relationship Id="rId26" Type="http://schemas.openxmlformats.org/officeDocument/2006/relationships/hyperlink" Target="https://www.ourmidland.com/news/article/mymichigan-health-honored-reducing-readmissions-20416620.php" TargetMode="External"/><Relationship Id="rId39" Type="http://schemas.openxmlformats.org/officeDocument/2006/relationships/hyperlink" Target="https://www.legislation.gov.uk/uksi/2023/1402/made" TargetMode="External"/><Relationship Id="rId21" Type="http://schemas.openxmlformats.org/officeDocument/2006/relationships/hyperlink" Target="https://www.ncbi.nlm.nih.gov/books/NBK526054/" TargetMode="External"/><Relationship Id="rId34" Type="http://schemas.openxmlformats.org/officeDocument/2006/relationships/hyperlink" Target="https://www.reuters.com/world/uk/britain-launches-10-year-plan-save-health-service-crisis-2025-07-02/"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better-care-fund-policy-framework-2023-to-2025" TargetMode="External"/><Relationship Id="rId20" Type="http://schemas.openxmlformats.org/officeDocument/2006/relationships/hyperlink" Target="https://link.springer.com/article/10.1007/s11897-025-00702-3" TargetMode="External"/><Relationship Id="rId29" Type="http://schemas.openxmlformats.org/officeDocument/2006/relationships/hyperlink" Target="https://www.ft.com/content/099ee1e9-c09c-4d5a-84a3-7eec34ef65f6" TargetMode="External"/><Relationship Id="rId41" Type="http://schemas.openxmlformats.org/officeDocument/2006/relationships/hyperlink" Target="https://doi.org/10.3389/fpubh.2023.114827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s.org/for-medical-professionals/news-publications/news-and-articles/bulletin/2023/february-2023-volume-108-issue-2/ethical-concerns-grow-as-ai-takes-on-greater-decision-making-role/" TargetMode="External"/><Relationship Id="rId24" Type="http://schemas.openxmlformats.org/officeDocument/2006/relationships/hyperlink" Target="https://www.researchgate.net/publication/371360818_An_observational_study_of_uptake_and_adoption_of_the_NHS_App_in_England" TargetMode="External"/><Relationship Id="rId32" Type="http://schemas.openxmlformats.org/officeDocument/2006/relationships/hyperlink" Target="https://arxiv.org/abs/2411.04339" TargetMode="External"/><Relationship Id="rId37" Type="http://schemas.openxmlformats.org/officeDocument/2006/relationships/hyperlink" Target="https://www.scie.org.uk/mca/practice/care-planning/person-centred-care/" TargetMode="External"/><Relationship Id="rId40" Type="http://schemas.openxmlformats.org/officeDocument/2006/relationships/hyperlink" Target="https://doi.org/10.48550/arXiv.2412.03576" TargetMode="External"/><Relationship Id="rId5" Type="http://schemas.openxmlformats.org/officeDocument/2006/relationships/webSettings" Target="webSettings.xml"/><Relationship Id="rId15" Type="http://schemas.openxmlformats.org/officeDocument/2006/relationships/hyperlink" Target="https://www.gov.uk/government/publications/evaluation-of-the-better-care-fund-support-programme-2023-to-2025" TargetMode="External"/><Relationship Id="rId23" Type="http://schemas.openxmlformats.org/officeDocument/2006/relationships/hyperlink" Target="https://htn.co.uk/2022/07/18/25million-digital-social-care-fund-for-icss/" TargetMode="External"/><Relationship Id="rId28" Type="http://schemas.openxmlformats.org/officeDocument/2006/relationships/hyperlink" Target="https://www.cureus.com/articles/203939-global-ethical-principles-in-healthcare-networks-including-debates-on-euthanasia-and-abortion" TargetMode="External"/><Relationship Id="rId36" Type="http://schemas.openxmlformats.org/officeDocument/2006/relationships/hyperlink" Target="https://www.kingsfund.org.uk/insight-and-analysis/reports/place-based-partnerships-challenges-opportunities" TargetMode="External"/><Relationship Id="rId10" Type="http://schemas.openxmlformats.org/officeDocument/2006/relationships/hyperlink" Target="https://doi.org/10.1371/journal.pone.0282802" TargetMode="External"/><Relationship Id="rId19" Type="http://schemas.openxmlformats.org/officeDocument/2006/relationships/hyperlink" Target="https://www.wired.com/story/virtual-wards-home-health-care/" TargetMode="External"/><Relationship Id="rId31" Type="http://schemas.openxmlformats.org/officeDocument/2006/relationships/hyperlink" Target="https://www.england.nhs.uk/long-read/working-in-partnership-with-people-and-communities-statutory-guidance/"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qc.org.uk/guidance-regulation/providers/regulations-service-providers-and-managers/health-social-care-act/regulation-9" TargetMode="External"/><Relationship Id="rId22" Type="http://schemas.openxmlformats.org/officeDocument/2006/relationships/hyperlink" Target="https://www.theguardian.com/society/2025/jun/29/britain-in-2025-sick-man-of-europe-battling-untreated-illness-crisis" TargetMode="External"/><Relationship Id="rId27" Type="http://schemas.openxmlformats.org/officeDocument/2006/relationships/hyperlink" Target="https://bmcmededuc.biomedcentral.com/articles/10.1186/s12909-023-04730-2" TargetMode="External"/><Relationship Id="rId30" Type="http://schemas.openxmlformats.org/officeDocument/2006/relationships/hyperlink" Target="https://www.ft.com/content/73345cdb-a77d-46a7-8ded-fa15b44b74a6" TargetMode="External"/><Relationship Id="rId35" Type="http://schemas.openxmlformats.org/officeDocument/2006/relationships/hyperlink" Target="https://link.springer.com/chapter/10.1007/978-3-030-79353-1_3"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bmcpublichealth.biomedcentral.com/articles/10.1186/s12889-021-10630-1" TargetMode="External"/><Relationship Id="rId17" Type="http://schemas.openxmlformats.org/officeDocument/2006/relationships/hyperlink" Target="https://www.gov.uk/government/publications/better-care-fund-policy-framework-2023-to-2025" TargetMode="External"/><Relationship Id="rId25" Type="http://schemas.openxmlformats.org/officeDocument/2006/relationships/hyperlink" Target="https://doi.org/10.1177/17449871241281428" TargetMode="External"/><Relationship Id="rId33" Type="http://schemas.openxmlformats.org/officeDocument/2006/relationships/hyperlink" Target="https://post.parliament.uk/integrating-health-and-social-care-a-path-to-better-services-and-outcomes/" TargetMode="External"/><Relationship Id="rId38" Type="http://schemas.openxmlformats.org/officeDocument/2006/relationships/hyperlink" Target="https://www.ncbi.nlm.nih.gov/pmc/articles/PMC113513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7E02E4-58CE-4EF4-B2EB-2D17796E8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4780</Words>
  <Characters>27251</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Majida Waseem (2321115)</cp:lastModifiedBy>
  <cp:revision>2</cp:revision>
  <dcterms:created xsi:type="dcterms:W3CDTF">2025-11-27T18:01:00Z</dcterms:created>
  <dcterms:modified xsi:type="dcterms:W3CDTF">2025-11-27T18:01:00Z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bd8b8d9b06ca5b52894bf9ae222de2a114543961b04b3cc76a602e17a0c3ee00</vt:lpwstr>
  </property>
</Properties>
</file>