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0869289"/>
        <w:docPartObj>
          <w:docPartGallery w:val="Cover Pages"/>
          <w:docPartUnique/>
        </w:docPartObj>
      </w:sdtPr>
      <w:sdtContent>
        <w:p w14:paraId="559FFC4E" w14:textId="20A9B273" w:rsidR="001E4990" w:rsidRDefault="001E4990" w:rsidP="00340142">
          <w:pPr>
            <w:pStyle w:val="doublespace"/>
          </w:pPr>
        </w:p>
        <w:p w14:paraId="03AF42D1" w14:textId="77777777" w:rsidR="00340142" w:rsidRDefault="001E4990" w:rsidP="00340142">
          <w:r>
            <w:rPr>
              <w:noProof/>
            </w:rPr>
            <mc:AlternateContent>
              <mc:Choice Requires="wps">
                <w:drawing>
                  <wp:anchor distT="0" distB="0" distL="114300" distR="114300" simplePos="0" relativeHeight="251659264" behindDoc="1" locked="0" layoutInCell="1" allowOverlap="1" wp14:anchorId="759F1858" wp14:editId="39B617D7">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337560"/>
                    <wp:effectExtent l="0" t="0" r="8255" b="1524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337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1E4990" w14:paraId="39D17F45" w14:textId="77777777" w:rsidTr="001E4990">
                                  <w:trPr>
                                    <w:trHeight w:val="4111"/>
                                  </w:trPr>
                                  <w:tc>
                                    <w:tcPr>
                                      <w:tcW w:w="370" w:type="pct"/>
                                      <w:shd w:val="clear" w:color="auto" w:fill="4472C4" w:themeFill="accent1"/>
                                    </w:tcPr>
                                    <w:p w14:paraId="2BFE7099" w14:textId="77777777" w:rsidR="001E4990" w:rsidRDefault="001E4990"/>
                                  </w:tc>
                                  <w:sdt>
                                    <w:sdtPr>
                                      <w:rPr>
                                        <w:rFonts w:ascii="Arial Black" w:hAnsi="Arial Black"/>
                                        <w:color w:val="FFFFFF" w:themeColor="background1"/>
                                        <w:sz w:val="96"/>
                                        <w:szCs w:val="96"/>
                                      </w:rPr>
                                      <w:alias w:val="Title"/>
                                      <w:tag w:val=""/>
                                      <w:id w:val="739824258"/>
                                      <w:placeholder>
                                        <w:docPart w:val="DA9344C4F07F4A15B82954FC1CF5C64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B327579" w14:textId="57ADEACC" w:rsidR="001E4990" w:rsidRDefault="001E4990">
                                          <w:pPr>
                                            <w:pStyle w:val="NoSpacing"/>
                                            <w:spacing w:before="240" w:line="216" w:lineRule="auto"/>
                                            <w:ind w:left="360" w:right="360"/>
                                            <w:contextualSpacing/>
                                            <w:rPr>
                                              <w:rFonts w:asciiTheme="majorHAnsi" w:hAnsiTheme="majorHAnsi"/>
                                              <w:color w:val="FFFFFF" w:themeColor="background1"/>
                                              <w:sz w:val="96"/>
                                              <w:szCs w:val="96"/>
                                            </w:rPr>
                                          </w:pPr>
                                          <w:r>
                                            <w:rPr>
                                              <w:rFonts w:ascii="Arial Black" w:hAnsi="Arial Black"/>
                                              <w:color w:val="FFFFFF" w:themeColor="background1"/>
                                              <w:sz w:val="96"/>
                                              <w:szCs w:val="96"/>
                                            </w:rPr>
                                            <w:t>I</w:t>
                                          </w:r>
                                          <w:r w:rsidRPr="001E4990">
                                            <w:rPr>
                                              <w:rFonts w:ascii="Arial Black" w:hAnsi="Arial Black"/>
                                              <w:color w:val="FFFFFF" w:themeColor="background1"/>
                                              <w:sz w:val="96"/>
                                              <w:szCs w:val="96"/>
                                            </w:rPr>
                                            <w:t>ntention to create legal relations</w:t>
                                          </w:r>
                                        </w:p>
                                      </w:tc>
                                    </w:sdtContent>
                                  </w:sdt>
                                </w:tr>
                                <w:tr w:rsidR="001E4990" w14:paraId="79BE6246" w14:textId="77777777">
                                  <w:trPr>
                                    <w:trHeight w:hRule="exact" w:val="648"/>
                                  </w:trPr>
                                  <w:tc>
                                    <w:tcPr>
                                      <w:tcW w:w="370" w:type="pct"/>
                                      <w:shd w:val="clear" w:color="auto" w:fill="4472C4" w:themeFill="accent1"/>
                                    </w:tcPr>
                                    <w:p w14:paraId="350C4B84" w14:textId="77777777" w:rsidR="001E4990" w:rsidRDefault="001E4990"/>
                                  </w:tc>
                                  <w:tc>
                                    <w:tcPr>
                                      <w:tcW w:w="4630" w:type="pct"/>
                                      <w:shd w:val="clear" w:color="auto" w:fill="404040" w:themeFill="text1" w:themeFillTint="BF"/>
                                      <w:vAlign w:val="bottom"/>
                                    </w:tcPr>
                                    <w:p w14:paraId="33B9CB70" w14:textId="77777777" w:rsidR="001E4990" w:rsidRDefault="001E4990">
                                      <w:pPr>
                                        <w:ind w:left="360" w:right="360"/>
                                        <w:rPr>
                                          <w:color w:val="FFFFFF" w:themeColor="background1"/>
                                          <w:sz w:val="28"/>
                                          <w:szCs w:val="28"/>
                                        </w:rPr>
                                      </w:pPr>
                                    </w:p>
                                  </w:tc>
                                </w:tr>
                                <w:tr w:rsidR="001E4990" w14:paraId="46FC000D" w14:textId="77777777">
                                  <w:tc>
                                    <w:tcPr>
                                      <w:tcW w:w="370" w:type="pct"/>
                                      <w:shd w:val="clear" w:color="auto" w:fill="4472C4" w:themeFill="accent1"/>
                                    </w:tcPr>
                                    <w:p w14:paraId="17CD086D" w14:textId="77777777" w:rsidR="001E4990" w:rsidRDefault="001E4990"/>
                                  </w:tc>
                                  <w:tc>
                                    <w:tcPr>
                                      <w:tcW w:w="4630" w:type="pct"/>
                                      <w:shd w:val="clear" w:color="auto" w:fill="404040" w:themeFill="text1" w:themeFillTint="BF"/>
                                      <w:vAlign w:val="bottom"/>
                                    </w:tcPr>
                                    <w:p w14:paraId="7CA7A899" w14:textId="5DDAAA99" w:rsidR="001E4990" w:rsidRDefault="001E4990" w:rsidP="001E4990">
                                      <w:pPr>
                                        <w:pStyle w:val="NoSpacing"/>
                                        <w:spacing w:line="288" w:lineRule="auto"/>
                                        <w:ind w:left="360" w:right="360"/>
                                        <w:rPr>
                                          <w:color w:val="FFFFFF" w:themeColor="background1"/>
                                          <w:sz w:val="28"/>
                                          <w:szCs w:val="28"/>
                                        </w:rPr>
                                      </w:pPr>
                                    </w:p>
                                  </w:tc>
                                </w:tr>
                              </w:tbl>
                              <w:p w14:paraId="4C9ABFF9" w14:textId="77777777" w:rsidR="001E4990" w:rsidRDefault="001E499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759F1858"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62.8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1E4990" w14:paraId="39D17F45" w14:textId="77777777" w:rsidTr="001E4990">
                            <w:trPr>
                              <w:trHeight w:val="4111"/>
                            </w:trPr>
                            <w:tc>
                              <w:tcPr>
                                <w:tcW w:w="370" w:type="pct"/>
                                <w:shd w:val="clear" w:color="auto" w:fill="4472C4" w:themeFill="accent1"/>
                              </w:tcPr>
                              <w:p w14:paraId="2BFE7099" w14:textId="77777777" w:rsidR="001E4990" w:rsidRDefault="001E4990"/>
                            </w:tc>
                            <w:sdt>
                              <w:sdtPr>
                                <w:rPr>
                                  <w:rFonts w:ascii="Arial Black" w:hAnsi="Arial Black"/>
                                  <w:color w:val="FFFFFF" w:themeColor="background1"/>
                                  <w:sz w:val="96"/>
                                  <w:szCs w:val="96"/>
                                </w:rPr>
                                <w:alias w:val="Title"/>
                                <w:tag w:val=""/>
                                <w:id w:val="739824258"/>
                                <w:placeholder>
                                  <w:docPart w:val="DA9344C4F07F4A15B82954FC1CF5C64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B327579" w14:textId="57ADEACC" w:rsidR="001E4990" w:rsidRDefault="001E4990">
                                    <w:pPr>
                                      <w:pStyle w:val="NoSpacing"/>
                                      <w:spacing w:before="240" w:line="216" w:lineRule="auto"/>
                                      <w:ind w:left="360" w:right="360"/>
                                      <w:contextualSpacing/>
                                      <w:rPr>
                                        <w:rFonts w:asciiTheme="majorHAnsi" w:hAnsiTheme="majorHAnsi"/>
                                        <w:color w:val="FFFFFF" w:themeColor="background1"/>
                                        <w:sz w:val="96"/>
                                        <w:szCs w:val="96"/>
                                      </w:rPr>
                                    </w:pPr>
                                    <w:r>
                                      <w:rPr>
                                        <w:rFonts w:ascii="Arial Black" w:hAnsi="Arial Black"/>
                                        <w:color w:val="FFFFFF" w:themeColor="background1"/>
                                        <w:sz w:val="96"/>
                                        <w:szCs w:val="96"/>
                                      </w:rPr>
                                      <w:t>I</w:t>
                                    </w:r>
                                    <w:r w:rsidRPr="001E4990">
                                      <w:rPr>
                                        <w:rFonts w:ascii="Arial Black" w:hAnsi="Arial Black"/>
                                        <w:color w:val="FFFFFF" w:themeColor="background1"/>
                                        <w:sz w:val="96"/>
                                        <w:szCs w:val="96"/>
                                      </w:rPr>
                                      <w:t>ntention to create legal relations</w:t>
                                    </w:r>
                                  </w:p>
                                </w:tc>
                              </w:sdtContent>
                            </w:sdt>
                          </w:tr>
                          <w:tr w:rsidR="001E4990" w14:paraId="79BE6246" w14:textId="77777777">
                            <w:trPr>
                              <w:trHeight w:hRule="exact" w:val="648"/>
                            </w:trPr>
                            <w:tc>
                              <w:tcPr>
                                <w:tcW w:w="370" w:type="pct"/>
                                <w:shd w:val="clear" w:color="auto" w:fill="4472C4" w:themeFill="accent1"/>
                              </w:tcPr>
                              <w:p w14:paraId="350C4B84" w14:textId="77777777" w:rsidR="001E4990" w:rsidRDefault="001E4990"/>
                            </w:tc>
                            <w:tc>
                              <w:tcPr>
                                <w:tcW w:w="4630" w:type="pct"/>
                                <w:shd w:val="clear" w:color="auto" w:fill="404040" w:themeFill="text1" w:themeFillTint="BF"/>
                                <w:vAlign w:val="bottom"/>
                              </w:tcPr>
                              <w:p w14:paraId="33B9CB70" w14:textId="77777777" w:rsidR="001E4990" w:rsidRDefault="001E4990">
                                <w:pPr>
                                  <w:ind w:left="360" w:right="360"/>
                                  <w:rPr>
                                    <w:color w:val="FFFFFF" w:themeColor="background1"/>
                                    <w:sz w:val="28"/>
                                    <w:szCs w:val="28"/>
                                  </w:rPr>
                                </w:pPr>
                              </w:p>
                            </w:tc>
                          </w:tr>
                          <w:tr w:rsidR="001E4990" w14:paraId="46FC000D" w14:textId="77777777">
                            <w:tc>
                              <w:tcPr>
                                <w:tcW w:w="370" w:type="pct"/>
                                <w:shd w:val="clear" w:color="auto" w:fill="4472C4" w:themeFill="accent1"/>
                              </w:tcPr>
                              <w:p w14:paraId="17CD086D" w14:textId="77777777" w:rsidR="001E4990" w:rsidRDefault="001E4990"/>
                            </w:tc>
                            <w:tc>
                              <w:tcPr>
                                <w:tcW w:w="4630" w:type="pct"/>
                                <w:shd w:val="clear" w:color="auto" w:fill="404040" w:themeFill="text1" w:themeFillTint="BF"/>
                                <w:vAlign w:val="bottom"/>
                              </w:tcPr>
                              <w:p w14:paraId="7CA7A899" w14:textId="5DDAAA99" w:rsidR="001E4990" w:rsidRDefault="001E4990" w:rsidP="001E4990">
                                <w:pPr>
                                  <w:pStyle w:val="NoSpacing"/>
                                  <w:spacing w:line="288" w:lineRule="auto"/>
                                  <w:ind w:left="360" w:right="360"/>
                                  <w:rPr>
                                    <w:color w:val="FFFFFF" w:themeColor="background1"/>
                                    <w:sz w:val="28"/>
                                    <w:szCs w:val="28"/>
                                  </w:rPr>
                                </w:pPr>
                              </w:p>
                            </w:tc>
                          </w:tr>
                        </w:tbl>
                        <w:p w14:paraId="4C9ABFF9" w14:textId="77777777" w:rsidR="001E4990" w:rsidRDefault="001E4990"/>
                      </w:txbxContent>
                    </v:textbox>
                    <w10:wrap anchorx="page" anchory="page"/>
                  </v:shape>
                </w:pict>
              </mc:Fallback>
            </mc:AlternateContent>
          </w:r>
          <w:r w:rsidRPr="00340142">
            <w:rPr>
              <w:rFonts w:ascii="Arial" w:hAnsi="Arial" w:cs="Arial"/>
              <w:sz w:val="28"/>
              <w:szCs w:val="28"/>
            </w:rPr>
            <w:br w:type="page"/>
          </w:r>
        </w:p>
      </w:sdtContent>
    </w:sdt>
    <w:p w14:paraId="64F32517" w14:textId="424C249D" w:rsidR="00697C45" w:rsidRPr="00340142" w:rsidRDefault="000203B5" w:rsidP="00340142">
      <w:pPr>
        <w:spacing w:line="360" w:lineRule="auto"/>
        <w:rPr>
          <w:rFonts w:ascii="Arial" w:hAnsi="Arial" w:cs="Arial"/>
          <w:sz w:val="28"/>
          <w:szCs w:val="28"/>
        </w:rPr>
      </w:pPr>
      <w:r>
        <w:rPr>
          <w:rFonts w:ascii="Arial" w:hAnsi="Arial" w:cs="Arial"/>
          <w:sz w:val="28"/>
          <w:szCs w:val="28"/>
        </w:rPr>
        <w:lastRenderedPageBreak/>
        <w:t xml:space="preserve">          </w:t>
      </w:r>
      <w:r w:rsidR="00BF3E93" w:rsidRPr="00340142">
        <w:rPr>
          <w:rFonts w:ascii="Arial" w:hAnsi="Arial" w:cs="Arial"/>
          <w:sz w:val="28"/>
          <w:szCs w:val="28"/>
        </w:rPr>
        <w:t>Whether a particular agreement is legally binding depends on a fundamental premise of contract law</w:t>
      </w:r>
      <w:r w:rsidR="00340142" w:rsidRPr="00340142">
        <w:rPr>
          <w:rFonts w:ascii="Arial" w:hAnsi="Arial" w:cs="Arial"/>
          <w:sz w:val="28"/>
          <w:szCs w:val="28"/>
        </w:rPr>
        <w:t>: the</w:t>
      </w:r>
      <w:r w:rsidR="00BF3E93" w:rsidRPr="00340142">
        <w:rPr>
          <w:rFonts w:ascii="Arial" w:hAnsi="Arial" w:cs="Arial"/>
          <w:sz w:val="28"/>
          <w:szCs w:val="28"/>
        </w:rPr>
        <w:t xml:space="preserve"> intention to create legal relations. In the construction and interpretation of contracts, it refers to the parties' purpose to establish a legal relationship</w:t>
      </w:r>
      <w:r w:rsidR="00271800" w:rsidRPr="00340142">
        <w:rPr>
          <w:rFonts w:ascii="Arial" w:hAnsi="Arial" w:cs="Arial"/>
          <w:sz w:val="28"/>
          <w:szCs w:val="28"/>
        </w:rPr>
        <w:t>.</w:t>
      </w:r>
      <w:r w:rsidR="00271800" w:rsidRPr="00271800">
        <w:t xml:space="preserve"> </w:t>
      </w:r>
      <w:r w:rsidR="00271800" w:rsidRPr="00340142">
        <w:rPr>
          <w:rFonts w:ascii="Arial" w:hAnsi="Arial" w:cs="Arial"/>
          <w:sz w:val="28"/>
          <w:szCs w:val="28"/>
        </w:rPr>
        <w:t xml:space="preserve">Courts utilise a variety of methods depending on the circumstances to decide whether or not there was an intention to create a legal relationship when the agreement was signed. There is a presumption that persons engaging </w:t>
      </w:r>
      <w:r w:rsidR="00340142" w:rsidRPr="00340142">
        <w:rPr>
          <w:rFonts w:ascii="Arial" w:hAnsi="Arial" w:cs="Arial"/>
          <w:sz w:val="28"/>
          <w:szCs w:val="28"/>
        </w:rPr>
        <w:t>in</w:t>
      </w:r>
      <w:r w:rsidR="00271800" w:rsidRPr="00340142">
        <w:rPr>
          <w:rFonts w:ascii="Arial" w:hAnsi="Arial" w:cs="Arial"/>
          <w:sz w:val="28"/>
          <w:szCs w:val="28"/>
        </w:rPr>
        <w:t xml:space="preserve"> social or domestic contracts do not aim to establish legal relations, as established in the context of Balfour v. Balfour </w:t>
      </w:r>
      <w:r w:rsidR="00E00777">
        <w:rPr>
          <w:rFonts w:ascii="Arial" w:hAnsi="Arial" w:cs="Arial"/>
          <w:sz w:val="28"/>
          <w:szCs w:val="28"/>
        </w:rPr>
        <w:t>(</w:t>
      </w:r>
      <w:r w:rsidR="00271800" w:rsidRPr="00340142">
        <w:rPr>
          <w:rFonts w:ascii="Arial" w:hAnsi="Arial" w:cs="Arial"/>
          <w:sz w:val="28"/>
          <w:szCs w:val="28"/>
        </w:rPr>
        <w:t>1919</w:t>
      </w:r>
      <w:r w:rsidR="00E00777">
        <w:rPr>
          <w:rFonts w:ascii="Arial" w:hAnsi="Arial" w:cs="Arial"/>
          <w:sz w:val="28"/>
          <w:szCs w:val="28"/>
        </w:rPr>
        <w:t>)</w:t>
      </w:r>
      <w:r w:rsidR="00271800" w:rsidRPr="00340142">
        <w:rPr>
          <w:rFonts w:ascii="Arial" w:hAnsi="Arial" w:cs="Arial"/>
          <w:sz w:val="28"/>
          <w:szCs w:val="28"/>
        </w:rPr>
        <w:t xml:space="preserve">. This premise can be contested if </w:t>
      </w:r>
      <w:r w:rsidR="00340142" w:rsidRPr="00340142">
        <w:rPr>
          <w:rFonts w:ascii="Arial" w:hAnsi="Arial" w:cs="Arial"/>
          <w:sz w:val="28"/>
          <w:szCs w:val="28"/>
        </w:rPr>
        <w:t>proof demonstrates that the parties</w:t>
      </w:r>
      <w:r w:rsidR="00271800" w:rsidRPr="00340142">
        <w:rPr>
          <w:rFonts w:ascii="Arial" w:hAnsi="Arial" w:cs="Arial"/>
          <w:sz w:val="28"/>
          <w:szCs w:val="28"/>
        </w:rPr>
        <w:t xml:space="preserve"> intended to create a legal relationship. When parties enter into commercial or business agreements, it is presumed that they do so with the intent to create legal connections, as was noted in the matter of Esso Petroleum Co Ltd v Commissioners of Customs and Excise</w:t>
      </w:r>
      <w:r w:rsidR="00E00777">
        <w:rPr>
          <w:rFonts w:ascii="Arial" w:hAnsi="Arial" w:cs="Arial"/>
          <w:sz w:val="28"/>
          <w:szCs w:val="28"/>
        </w:rPr>
        <w:t xml:space="preserve"> (</w:t>
      </w:r>
      <w:r w:rsidR="00271800" w:rsidRPr="00340142">
        <w:rPr>
          <w:rFonts w:ascii="Arial" w:hAnsi="Arial" w:cs="Arial"/>
          <w:sz w:val="28"/>
          <w:szCs w:val="28"/>
        </w:rPr>
        <w:t>1976</w:t>
      </w:r>
      <w:r w:rsidR="00E00777">
        <w:rPr>
          <w:rFonts w:ascii="Arial" w:hAnsi="Arial" w:cs="Arial"/>
          <w:sz w:val="28"/>
          <w:szCs w:val="28"/>
        </w:rPr>
        <w:t>)</w:t>
      </w:r>
      <w:r w:rsidR="00271800" w:rsidRPr="00340142">
        <w:rPr>
          <w:rFonts w:ascii="Arial" w:hAnsi="Arial" w:cs="Arial"/>
          <w:sz w:val="28"/>
          <w:szCs w:val="28"/>
        </w:rPr>
        <w:t xml:space="preserve">. </w:t>
      </w:r>
      <w:r w:rsidR="00BF3E93" w:rsidRPr="00340142">
        <w:rPr>
          <w:rFonts w:ascii="Arial" w:hAnsi="Arial" w:cs="Arial"/>
          <w:sz w:val="28"/>
          <w:szCs w:val="28"/>
        </w:rPr>
        <w:t xml:space="preserve">This assumption is based on the observation that business contracts are typically created with the goal of forging legally binding ties. The approach of the courts is more complicated when it comes to agreements with public organisations. As in the </w:t>
      </w:r>
      <w:r w:rsidR="00271800" w:rsidRPr="00340142">
        <w:rPr>
          <w:rFonts w:ascii="Arial" w:hAnsi="Arial" w:cs="Arial"/>
          <w:sz w:val="28"/>
          <w:szCs w:val="28"/>
        </w:rPr>
        <w:t>matter</w:t>
      </w:r>
      <w:r w:rsidR="00BF3E93" w:rsidRPr="00340142">
        <w:rPr>
          <w:rFonts w:ascii="Arial" w:hAnsi="Arial" w:cs="Arial"/>
          <w:sz w:val="28"/>
          <w:szCs w:val="28"/>
        </w:rPr>
        <w:t xml:space="preserve"> of R v. Inland Revenue Commissioners, ex p. Unilever </w:t>
      </w:r>
      <w:r w:rsidR="00E00777">
        <w:rPr>
          <w:rFonts w:ascii="Arial" w:hAnsi="Arial" w:cs="Arial"/>
          <w:sz w:val="28"/>
          <w:szCs w:val="28"/>
        </w:rPr>
        <w:t>(</w:t>
      </w:r>
      <w:r w:rsidR="00BF3E93" w:rsidRPr="00340142">
        <w:rPr>
          <w:rFonts w:ascii="Arial" w:hAnsi="Arial" w:cs="Arial"/>
          <w:sz w:val="28"/>
          <w:szCs w:val="28"/>
        </w:rPr>
        <w:t>1996</w:t>
      </w:r>
      <w:r w:rsidR="00E00777">
        <w:rPr>
          <w:rFonts w:ascii="Arial" w:hAnsi="Arial" w:cs="Arial"/>
          <w:sz w:val="28"/>
          <w:szCs w:val="28"/>
        </w:rPr>
        <w:t>)</w:t>
      </w:r>
      <w:r w:rsidR="00BF3E93" w:rsidRPr="00340142">
        <w:rPr>
          <w:rFonts w:ascii="Arial" w:hAnsi="Arial" w:cs="Arial"/>
          <w:sz w:val="28"/>
          <w:szCs w:val="28"/>
        </w:rPr>
        <w:t xml:space="preserve">, the courts have in some instances determined that there is a presumption that governmental organisations do not intend to establish legal connections. The courts have, however, determined in other instances that public entities can and do seek to establish legal relations, particularly in contractual or business relationships. In general, the circumstances in which an agreement was formed </w:t>
      </w:r>
      <w:r w:rsidR="00340142" w:rsidRPr="00340142">
        <w:rPr>
          <w:rFonts w:ascii="Arial" w:hAnsi="Arial" w:cs="Arial"/>
          <w:sz w:val="28"/>
          <w:szCs w:val="28"/>
        </w:rPr>
        <w:t>affect</w:t>
      </w:r>
      <w:r w:rsidR="00BF3E93" w:rsidRPr="00340142">
        <w:rPr>
          <w:rFonts w:ascii="Arial" w:hAnsi="Arial" w:cs="Arial"/>
          <w:sz w:val="28"/>
          <w:szCs w:val="28"/>
        </w:rPr>
        <w:t xml:space="preserve"> how the courts approach determining an intention to establish a legal relationship. This essay will critically examine the approach </w:t>
      </w:r>
      <w:r w:rsidR="00340142" w:rsidRPr="00340142">
        <w:rPr>
          <w:rFonts w:ascii="Arial" w:hAnsi="Arial" w:cs="Arial"/>
          <w:sz w:val="28"/>
          <w:szCs w:val="28"/>
        </w:rPr>
        <w:t>the courts take in determining an intention to establish legal relations in various</w:t>
      </w:r>
      <w:r w:rsidR="00BF3E93" w:rsidRPr="00340142">
        <w:rPr>
          <w:rFonts w:ascii="Arial" w:hAnsi="Arial" w:cs="Arial"/>
          <w:sz w:val="28"/>
          <w:szCs w:val="28"/>
        </w:rPr>
        <w:t xml:space="preserve"> contexts, including social or domestic, commercial or business, and </w:t>
      </w:r>
      <w:r w:rsidR="00BF3E93" w:rsidRPr="00340142">
        <w:rPr>
          <w:rFonts w:ascii="Arial" w:hAnsi="Arial" w:cs="Arial"/>
          <w:sz w:val="28"/>
          <w:szCs w:val="28"/>
        </w:rPr>
        <w:lastRenderedPageBreak/>
        <w:t>agreements with public bodies. It will do this by reviewing pertinent case law and legal principles.</w:t>
      </w:r>
    </w:p>
    <w:p w14:paraId="2CD6D023" w14:textId="30E0D140" w:rsidR="00D01D57" w:rsidRDefault="00340142" w:rsidP="0073461A">
      <w:pPr>
        <w:spacing w:line="360" w:lineRule="auto"/>
        <w:rPr>
          <w:rFonts w:ascii="Arial" w:hAnsi="Arial" w:cs="Arial"/>
          <w:sz w:val="28"/>
          <w:szCs w:val="28"/>
        </w:rPr>
      </w:pPr>
      <w:r>
        <w:rPr>
          <w:rFonts w:ascii="Arial" w:hAnsi="Arial" w:cs="Arial"/>
          <w:sz w:val="28"/>
          <w:szCs w:val="28"/>
        </w:rPr>
        <w:t xml:space="preserve">            </w:t>
      </w:r>
      <w:r w:rsidR="0073461A" w:rsidRPr="0073461A">
        <w:rPr>
          <w:rFonts w:ascii="Arial" w:hAnsi="Arial" w:cs="Arial"/>
          <w:sz w:val="28"/>
          <w:szCs w:val="28"/>
        </w:rPr>
        <w:t>An essential component in the development of a legally binding contract is the intent to establish legal relations. It refers to the purpose of the parties to be bound by the terms of their agreement. As stated by Lord Wilberforce in the case of Jones v. Padavatton, "</w:t>
      </w:r>
      <w:r w:rsidR="0073461A">
        <w:rPr>
          <w:rFonts w:ascii="Arial" w:hAnsi="Arial" w:cs="Arial"/>
          <w:sz w:val="28"/>
          <w:szCs w:val="28"/>
        </w:rPr>
        <w:t>t</w:t>
      </w:r>
      <w:r w:rsidR="0073461A" w:rsidRPr="0073461A">
        <w:rPr>
          <w:rFonts w:ascii="Arial" w:hAnsi="Arial" w:cs="Arial"/>
          <w:sz w:val="28"/>
          <w:szCs w:val="28"/>
        </w:rPr>
        <w:t xml:space="preserve">he intention of the parties to create legal relations is a question of construction to be inferred from the terms of the agreement, considered in the light of the surrounding circumstances" Jones v. Padavatton </w:t>
      </w:r>
      <w:r w:rsidR="0073461A">
        <w:rPr>
          <w:rFonts w:ascii="Arial" w:hAnsi="Arial" w:cs="Arial"/>
          <w:sz w:val="28"/>
          <w:szCs w:val="28"/>
        </w:rPr>
        <w:t>(</w:t>
      </w:r>
      <w:r w:rsidR="0073461A" w:rsidRPr="0073461A">
        <w:rPr>
          <w:rFonts w:ascii="Arial" w:hAnsi="Arial" w:cs="Arial"/>
          <w:sz w:val="28"/>
          <w:szCs w:val="28"/>
        </w:rPr>
        <w:t>1969</w:t>
      </w:r>
      <w:r w:rsidR="0073461A">
        <w:rPr>
          <w:rFonts w:ascii="Arial" w:hAnsi="Arial" w:cs="Arial"/>
          <w:sz w:val="28"/>
          <w:szCs w:val="28"/>
        </w:rPr>
        <w:t>).</w:t>
      </w:r>
      <w:r w:rsidR="0073461A" w:rsidRPr="0073461A">
        <w:t xml:space="preserve"> </w:t>
      </w:r>
      <w:r w:rsidR="0073461A" w:rsidRPr="0073461A">
        <w:rPr>
          <w:rFonts w:ascii="Arial" w:hAnsi="Arial" w:cs="Arial"/>
          <w:sz w:val="28"/>
          <w:szCs w:val="28"/>
        </w:rPr>
        <w:t>To put it another way, it means that in order for an agreement to be enforceable, both parties must have known that it would bind them legally.</w:t>
      </w:r>
      <w:r w:rsidR="00DF1BE2" w:rsidRPr="00DF1BE2">
        <w:t xml:space="preserve"> </w:t>
      </w:r>
      <w:r w:rsidR="00DF1BE2" w:rsidRPr="00DF1BE2">
        <w:rPr>
          <w:rFonts w:ascii="Arial" w:hAnsi="Arial" w:cs="Arial"/>
          <w:sz w:val="28"/>
          <w:szCs w:val="28"/>
        </w:rPr>
        <w:t>A written contract, for instance, signed by both parties in a business setting, would typically signify an intent to be legally bound. Similarly, in a social setting, an agreement between friends to take a vacation together would typically not be enforceable because the parties did not intend to enter into a formal partnership.</w:t>
      </w:r>
      <w:r w:rsidR="0073461A" w:rsidRPr="0073461A">
        <w:rPr>
          <w:rFonts w:ascii="Arial" w:hAnsi="Arial" w:cs="Arial"/>
          <w:sz w:val="28"/>
          <w:szCs w:val="28"/>
        </w:rPr>
        <w:t xml:space="preserve"> The wording used in the agreement, the actions of the parties, and the context all suggest that this aim was intended.</w:t>
      </w:r>
      <w:r w:rsidR="0073461A">
        <w:rPr>
          <w:rFonts w:ascii="Arial" w:hAnsi="Arial" w:cs="Arial"/>
          <w:sz w:val="28"/>
          <w:szCs w:val="28"/>
        </w:rPr>
        <w:t xml:space="preserve">  </w:t>
      </w:r>
      <w:r w:rsidR="005C4F90" w:rsidRPr="00340142">
        <w:rPr>
          <w:rFonts w:ascii="Arial" w:hAnsi="Arial" w:cs="Arial"/>
          <w:sz w:val="28"/>
          <w:szCs w:val="28"/>
        </w:rPr>
        <w:t xml:space="preserve">Whenever a court wants to know whether a contract has been created, they must determine whether there was an intent to establish legal </w:t>
      </w:r>
      <w:r w:rsidR="0073461A">
        <w:rPr>
          <w:rFonts w:ascii="Arial" w:hAnsi="Arial" w:cs="Arial"/>
          <w:sz w:val="28"/>
          <w:szCs w:val="28"/>
        </w:rPr>
        <w:t>relations</w:t>
      </w:r>
      <w:r w:rsidR="005C4F90" w:rsidRPr="00340142">
        <w:rPr>
          <w:rFonts w:ascii="Arial" w:hAnsi="Arial" w:cs="Arial"/>
          <w:sz w:val="28"/>
          <w:szCs w:val="28"/>
        </w:rPr>
        <w:t>.</w:t>
      </w:r>
      <w:r w:rsidR="00BF3E93" w:rsidRPr="00340142">
        <w:rPr>
          <w:rFonts w:ascii="Arial" w:hAnsi="Arial" w:cs="Arial"/>
          <w:sz w:val="28"/>
          <w:szCs w:val="28"/>
        </w:rPr>
        <w:t xml:space="preserve"> </w:t>
      </w:r>
      <w:r w:rsidR="005C4F90" w:rsidRPr="00340142">
        <w:rPr>
          <w:rFonts w:ascii="Arial" w:hAnsi="Arial" w:cs="Arial"/>
          <w:sz w:val="28"/>
          <w:szCs w:val="28"/>
        </w:rPr>
        <w:t xml:space="preserve">A legally enforceable agreement involving two or more parties is referred to as a contract, and it necessitates an offer, acceptance, and consideration. There can be no contract if the parties did not intend to establish legal relations. To establish that there is a legitimate contract that can be executed, the courts must ascertain the parties' intentions. The existence of an intention is a crucial prerequisite for the establishment of a legally enforceable contract, as stated by Stone and Devenney (2017), hence the courts must ascertain an intention to establish legal connections. In the case of a breach, the </w:t>
      </w:r>
      <w:r w:rsidR="005C4F90" w:rsidRPr="00340142">
        <w:rPr>
          <w:rFonts w:ascii="Arial" w:hAnsi="Arial" w:cs="Arial"/>
          <w:sz w:val="28"/>
          <w:szCs w:val="28"/>
        </w:rPr>
        <w:lastRenderedPageBreak/>
        <w:t>parties must have intended to be held to certain legal responsibilities.</w:t>
      </w:r>
      <w:r w:rsidR="00E03DEB" w:rsidRPr="00340142">
        <w:rPr>
          <w:rFonts w:ascii="Arial" w:hAnsi="Arial" w:cs="Arial"/>
          <w:sz w:val="28"/>
          <w:szCs w:val="28"/>
        </w:rPr>
        <w:t xml:space="preserve"> </w:t>
      </w:r>
      <w:r w:rsidR="005C4F90" w:rsidRPr="00340142">
        <w:rPr>
          <w:rFonts w:ascii="Arial" w:hAnsi="Arial" w:cs="Arial"/>
          <w:sz w:val="28"/>
          <w:szCs w:val="28"/>
        </w:rPr>
        <w:t>According to Parker and Box's (2018) interpretation, it is the party seeking to enforce the contract's terms who has the burden of proving that a party intended to enter into legal relations. According to Poole, the courts evaluate a number of elements when assessing whether an intention exists, such as the nature of the relationship between the parties, the language used in the agreement, and the circumstances surrounding the agreement's formation</w:t>
      </w:r>
      <w:r w:rsidR="0073461A">
        <w:rPr>
          <w:rFonts w:ascii="Arial" w:hAnsi="Arial" w:cs="Arial"/>
          <w:sz w:val="28"/>
          <w:szCs w:val="28"/>
        </w:rPr>
        <w:t xml:space="preserve"> P</w:t>
      </w:r>
      <w:r w:rsidR="00DF1BE2">
        <w:rPr>
          <w:rFonts w:ascii="Arial" w:hAnsi="Arial" w:cs="Arial"/>
          <w:sz w:val="28"/>
          <w:szCs w:val="28"/>
        </w:rPr>
        <w:t>oole</w:t>
      </w:r>
      <w:r w:rsidR="005C4F90" w:rsidRPr="00340142">
        <w:rPr>
          <w:rFonts w:ascii="Arial" w:hAnsi="Arial" w:cs="Arial"/>
          <w:sz w:val="28"/>
          <w:szCs w:val="28"/>
        </w:rPr>
        <w:t xml:space="preserve"> (2016). As it distinguishes between social agreements and legal contracts, Chen-Wishart points out that finding a desire to establish legal ties is crucial. This distinction is crucial since social agreements are not meant to be legally binding and cannot, therefore, be upheld by the law. Legal agreements, on the other hand, impose duties that can be enforced in a court of law. As a result, particularly in circumstances when the intention is not expressly stated, the courts are crucial in deciding whether the parties </w:t>
      </w:r>
      <w:r w:rsidR="0073461A">
        <w:rPr>
          <w:rFonts w:ascii="Arial" w:hAnsi="Arial" w:cs="Arial"/>
          <w:sz w:val="28"/>
          <w:szCs w:val="28"/>
        </w:rPr>
        <w:t xml:space="preserve">are </w:t>
      </w:r>
      <w:r w:rsidR="005C4F90" w:rsidRPr="00340142">
        <w:rPr>
          <w:rFonts w:ascii="Arial" w:hAnsi="Arial" w:cs="Arial"/>
          <w:sz w:val="28"/>
          <w:szCs w:val="28"/>
        </w:rPr>
        <w:t>meant to establish legal relations. Where there is not enough evidence to discern the parties' intentions, the courts must make legal assumptions. The domestic and social assumption and the commercial presumption are two pertinent presumptions in contract law, according to Stone and Devenney (2017). According to Burrows</w:t>
      </w:r>
      <w:r w:rsidR="00DF1BE2">
        <w:rPr>
          <w:rFonts w:ascii="Arial" w:hAnsi="Arial" w:cs="Arial"/>
          <w:sz w:val="28"/>
          <w:szCs w:val="28"/>
        </w:rPr>
        <w:t>(1998)</w:t>
      </w:r>
      <w:r w:rsidR="005C4F90" w:rsidRPr="00340142">
        <w:rPr>
          <w:rFonts w:ascii="Arial" w:hAnsi="Arial" w:cs="Arial"/>
          <w:sz w:val="28"/>
          <w:szCs w:val="28"/>
        </w:rPr>
        <w:t xml:space="preserve">, the domestic and social assumption presupposes that absent specific proof to the contrary, social and domestic agreements are not meant to be legally binding. This assumption can be disproved if the parties actually meant to establish a legal relationship, as was the case in Jones v. </w:t>
      </w:r>
      <w:proofErr w:type="spellStart"/>
      <w:r w:rsidR="005C4F90" w:rsidRPr="00340142">
        <w:rPr>
          <w:rFonts w:ascii="Arial" w:hAnsi="Arial" w:cs="Arial"/>
          <w:sz w:val="28"/>
          <w:szCs w:val="28"/>
        </w:rPr>
        <w:t>Padavatton</w:t>
      </w:r>
      <w:proofErr w:type="spellEnd"/>
      <w:r w:rsidR="005C4F90" w:rsidRPr="00340142">
        <w:rPr>
          <w:rFonts w:ascii="Arial" w:hAnsi="Arial" w:cs="Arial"/>
          <w:sz w:val="28"/>
          <w:szCs w:val="28"/>
        </w:rPr>
        <w:t xml:space="preserve"> </w:t>
      </w:r>
      <w:r w:rsidR="00E00777">
        <w:rPr>
          <w:rFonts w:ascii="Arial" w:hAnsi="Arial" w:cs="Arial"/>
          <w:sz w:val="28"/>
          <w:szCs w:val="28"/>
        </w:rPr>
        <w:t>(</w:t>
      </w:r>
      <w:r w:rsidR="005C4F90" w:rsidRPr="00340142">
        <w:rPr>
          <w:rFonts w:ascii="Arial" w:hAnsi="Arial" w:cs="Arial"/>
          <w:sz w:val="28"/>
          <w:szCs w:val="28"/>
        </w:rPr>
        <w:t>1969</w:t>
      </w:r>
      <w:r w:rsidR="00E00777">
        <w:rPr>
          <w:rFonts w:ascii="Arial" w:hAnsi="Arial" w:cs="Arial"/>
          <w:sz w:val="28"/>
          <w:szCs w:val="28"/>
        </w:rPr>
        <w:t>)</w:t>
      </w:r>
      <w:r w:rsidR="005C4F90" w:rsidRPr="00340142">
        <w:rPr>
          <w:rFonts w:ascii="Arial" w:hAnsi="Arial" w:cs="Arial"/>
          <w:sz w:val="28"/>
          <w:szCs w:val="28"/>
        </w:rPr>
        <w:t>. Because the parties meant to be legally bound by their agreement to buy a property, the court determined that the presumption was rebutted in this instance.</w:t>
      </w:r>
      <w:r w:rsidR="00D01D57" w:rsidRPr="00D01D57">
        <w:t xml:space="preserve"> </w:t>
      </w:r>
      <w:r w:rsidR="00D01D57" w:rsidRPr="00D01D57">
        <w:rPr>
          <w:rFonts w:ascii="Arial" w:hAnsi="Arial" w:cs="Arial"/>
          <w:sz w:val="28"/>
          <w:szCs w:val="28"/>
        </w:rPr>
        <w:t xml:space="preserve">The Court of Appeal noted that while the presumption of non-intention to create legal relations is generally applied in social and domestic agreements, it is not a rule of law and can be </w:t>
      </w:r>
      <w:r w:rsidR="00D01D57" w:rsidRPr="00D01D57">
        <w:rPr>
          <w:rFonts w:ascii="Arial" w:hAnsi="Arial" w:cs="Arial"/>
          <w:sz w:val="28"/>
          <w:szCs w:val="28"/>
        </w:rPr>
        <w:lastRenderedPageBreak/>
        <w:t>rebutted by evidence of the parties' actual intention. In this case, the court found that the evidence showed that the parties had intended to be legally bound by their agreement to buy the property.</w:t>
      </w:r>
      <w:r w:rsidR="00D01D57" w:rsidRPr="00D01D57">
        <w:t xml:space="preserve"> </w:t>
      </w:r>
      <w:r w:rsidR="00D01D57" w:rsidRPr="00D01D57">
        <w:rPr>
          <w:rFonts w:ascii="Arial" w:hAnsi="Arial" w:cs="Arial"/>
          <w:sz w:val="28"/>
          <w:szCs w:val="28"/>
        </w:rPr>
        <w:t>In light of this, the case's ultimate conclusion was that the plaintiff was entitled to specific performance of the agreement since the parties had entered into a legally binding contract. The court will weigh all of the available evidence to ascertain the parties' genuine intentions with regard to the establishment of a legally binding agreement. This case serves as an example that the domestic and social assumption is not an inflexible norm.</w:t>
      </w:r>
      <w:r w:rsidR="005C4F90" w:rsidRPr="00340142">
        <w:rPr>
          <w:rFonts w:ascii="Arial" w:hAnsi="Arial" w:cs="Arial"/>
          <w:sz w:val="28"/>
          <w:szCs w:val="28"/>
        </w:rPr>
        <w:t xml:space="preserve"> </w:t>
      </w:r>
    </w:p>
    <w:p w14:paraId="1F1C6A4A" w14:textId="56FA82E2" w:rsidR="00D903A8" w:rsidRPr="00340142" w:rsidRDefault="00D01D57" w:rsidP="0073461A">
      <w:pPr>
        <w:spacing w:line="360" w:lineRule="auto"/>
        <w:rPr>
          <w:rFonts w:ascii="Arial" w:hAnsi="Arial" w:cs="Arial"/>
          <w:sz w:val="28"/>
          <w:szCs w:val="28"/>
        </w:rPr>
      </w:pPr>
      <w:r>
        <w:rPr>
          <w:rFonts w:ascii="Arial" w:hAnsi="Arial" w:cs="Arial"/>
          <w:sz w:val="28"/>
          <w:szCs w:val="28"/>
        </w:rPr>
        <w:t xml:space="preserve">            </w:t>
      </w:r>
      <w:r w:rsidR="005C4F90" w:rsidRPr="00340142">
        <w:rPr>
          <w:rFonts w:ascii="Arial" w:hAnsi="Arial" w:cs="Arial"/>
          <w:sz w:val="28"/>
          <w:szCs w:val="28"/>
        </w:rPr>
        <w:t>Chen-Wishart explains that under the commercial assumption unless there is evidence to the contrary, it is presumed that commercial agreements are intended to be legally enforceable (2018).</w:t>
      </w:r>
      <w:r w:rsidR="00E03DEB" w:rsidRPr="00340142">
        <w:rPr>
          <w:rFonts w:ascii="Arial" w:hAnsi="Arial" w:cs="Arial"/>
          <w:sz w:val="28"/>
          <w:szCs w:val="28"/>
        </w:rPr>
        <w:t xml:space="preserve"> </w:t>
      </w:r>
      <w:r w:rsidR="0088168F" w:rsidRPr="0088168F">
        <w:rPr>
          <w:rFonts w:ascii="Arial" w:hAnsi="Arial" w:cs="Arial"/>
          <w:sz w:val="28"/>
          <w:szCs w:val="28"/>
        </w:rPr>
        <w:t>The commercial assumption is a rebuttable presumption that can be disproved by evidence demonstrating that the parties did not intend to be legally bound by their agreement, according to Chen-Wishart in her book "Contract Law," which was released in 2018.</w:t>
      </w:r>
      <w:r w:rsidR="0088168F" w:rsidRPr="0088168F">
        <w:t xml:space="preserve"> </w:t>
      </w:r>
      <w:r w:rsidR="0088168F" w:rsidRPr="0088168F">
        <w:rPr>
          <w:rFonts w:ascii="Arial" w:hAnsi="Arial" w:cs="Arial"/>
          <w:sz w:val="28"/>
          <w:szCs w:val="28"/>
        </w:rPr>
        <w:t xml:space="preserve">The key case on the commercial assumption is Esso Petroleum Co. Ltd v. Mardon </w:t>
      </w:r>
      <w:r w:rsidR="00E00777">
        <w:rPr>
          <w:rFonts w:ascii="Arial" w:hAnsi="Arial" w:cs="Arial"/>
          <w:sz w:val="28"/>
          <w:szCs w:val="28"/>
        </w:rPr>
        <w:t>(</w:t>
      </w:r>
      <w:r w:rsidR="0088168F" w:rsidRPr="0088168F">
        <w:rPr>
          <w:rFonts w:ascii="Arial" w:hAnsi="Arial" w:cs="Arial"/>
          <w:sz w:val="28"/>
          <w:szCs w:val="28"/>
        </w:rPr>
        <w:t>1976</w:t>
      </w:r>
      <w:r w:rsidR="00E00777">
        <w:rPr>
          <w:rFonts w:ascii="Arial" w:hAnsi="Arial" w:cs="Arial"/>
          <w:sz w:val="28"/>
          <w:szCs w:val="28"/>
        </w:rPr>
        <w:t>)</w:t>
      </w:r>
      <w:r w:rsidR="0088168F" w:rsidRPr="0088168F">
        <w:rPr>
          <w:rFonts w:ascii="Arial" w:hAnsi="Arial" w:cs="Arial"/>
          <w:sz w:val="28"/>
          <w:szCs w:val="28"/>
        </w:rPr>
        <w:t xml:space="preserve">, in which the Court of Appeal determined that commercial agreements are subject to the presumption of intention to establish legal relations. In this instance, the plaintiff relied on the defendant's representations to him about the potential earnings of a gas station while signing a lease. The defendant was held guilty </w:t>
      </w:r>
      <w:r w:rsidR="0088168F">
        <w:rPr>
          <w:rFonts w:ascii="Arial" w:hAnsi="Arial" w:cs="Arial"/>
          <w:sz w:val="28"/>
          <w:szCs w:val="28"/>
        </w:rPr>
        <w:t>of</w:t>
      </w:r>
      <w:r w:rsidR="0088168F" w:rsidRPr="0088168F">
        <w:rPr>
          <w:rFonts w:ascii="Arial" w:hAnsi="Arial" w:cs="Arial"/>
          <w:sz w:val="28"/>
          <w:szCs w:val="28"/>
        </w:rPr>
        <w:t xml:space="preserve"> misrepresentation because the court determined that the parties had expected to be legally bound by their agreement.</w:t>
      </w:r>
      <w:r w:rsidR="0088168F" w:rsidRPr="0088168F">
        <w:t xml:space="preserve"> </w:t>
      </w:r>
      <w:r w:rsidR="0088168F" w:rsidRPr="0088168F">
        <w:rPr>
          <w:rFonts w:ascii="Arial" w:hAnsi="Arial" w:cs="Arial"/>
          <w:sz w:val="28"/>
          <w:szCs w:val="28"/>
        </w:rPr>
        <w:t xml:space="preserve">Another crucial case is Edwards v. Skyways Ltd </w:t>
      </w:r>
      <w:r w:rsidR="00E00777">
        <w:rPr>
          <w:rFonts w:ascii="Arial" w:hAnsi="Arial" w:cs="Arial"/>
          <w:sz w:val="28"/>
          <w:szCs w:val="28"/>
        </w:rPr>
        <w:t>(</w:t>
      </w:r>
      <w:r w:rsidR="0088168F" w:rsidRPr="0088168F">
        <w:rPr>
          <w:rFonts w:ascii="Arial" w:hAnsi="Arial" w:cs="Arial"/>
          <w:sz w:val="28"/>
          <w:szCs w:val="28"/>
        </w:rPr>
        <w:t>1964</w:t>
      </w:r>
      <w:r w:rsidR="00E00777">
        <w:rPr>
          <w:rFonts w:ascii="Arial" w:hAnsi="Arial" w:cs="Arial"/>
          <w:sz w:val="28"/>
          <w:szCs w:val="28"/>
        </w:rPr>
        <w:t>)</w:t>
      </w:r>
      <w:r w:rsidR="0088168F" w:rsidRPr="0088168F">
        <w:rPr>
          <w:rFonts w:ascii="Arial" w:hAnsi="Arial" w:cs="Arial"/>
          <w:sz w:val="28"/>
          <w:szCs w:val="28"/>
        </w:rPr>
        <w:t xml:space="preserve">, where the House of Lords determined that employment contracts are subject to the presumption of intention to establish legal relations. In this situation, the plaintiff had been sent a letter offering him a position as a </w:t>
      </w:r>
      <w:r w:rsidR="0088168F" w:rsidRPr="0088168F">
        <w:rPr>
          <w:rFonts w:ascii="Arial" w:hAnsi="Arial" w:cs="Arial"/>
          <w:sz w:val="28"/>
          <w:szCs w:val="28"/>
        </w:rPr>
        <w:lastRenderedPageBreak/>
        <w:t>pilot, but the offer had now been withdrawn. The plaintiff was qualified for damages for breach of contract, according to the court, which found that the parties meant to make a contract that was legally binding.</w:t>
      </w:r>
      <w:r w:rsidR="0088168F" w:rsidRPr="0088168F">
        <w:t xml:space="preserve"> </w:t>
      </w:r>
      <w:r w:rsidR="0088168F" w:rsidRPr="0088168F">
        <w:rPr>
          <w:rFonts w:ascii="Arial" w:hAnsi="Arial" w:cs="Arial"/>
          <w:sz w:val="28"/>
          <w:szCs w:val="28"/>
        </w:rPr>
        <w:t>These examples highlight the significance of the commercial assumption in contract law and how it can be applied to ascertain the parties' intentions with regard to the validity of their agreement</w:t>
      </w:r>
      <w:r w:rsidR="005C4F90" w:rsidRPr="00340142">
        <w:rPr>
          <w:rFonts w:ascii="Arial" w:hAnsi="Arial" w:cs="Arial"/>
          <w:sz w:val="28"/>
          <w:szCs w:val="28"/>
        </w:rPr>
        <w:t>. According to Poole (2016), when determining the parties' intentions, the courts will consider all the relevant factors. Presumptions are therefore not conclusive and must be weighed against all available data, even though they may offer insight</w:t>
      </w:r>
      <w:r w:rsidR="0088168F">
        <w:rPr>
          <w:rFonts w:ascii="Arial" w:hAnsi="Arial" w:cs="Arial"/>
          <w:sz w:val="28"/>
          <w:szCs w:val="28"/>
        </w:rPr>
        <w:t xml:space="preserve">. </w:t>
      </w:r>
      <w:r w:rsidR="00887A69" w:rsidRPr="00887A69">
        <w:rPr>
          <w:rFonts w:ascii="Arial" w:hAnsi="Arial" w:cs="Arial"/>
          <w:sz w:val="28"/>
          <w:szCs w:val="28"/>
        </w:rPr>
        <w:t xml:space="preserve">Agreements made with public bodies or those which affect public interest are subject to a presumption that they are not intended to create legal relations unless there is clear evidence to the contrary. This presumption is based on the notion that public bodies often have statutory duties and operate in the public interest, and their activities are subject to public scrutiny and accountability. However, this presumption can be rebutted by clear evidence to the contrary, as illustrated in the cases of Willmore v South-eastern Electricity Board </w:t>
      </w:r>
      <w:r w:rsidR="00E00777">
        <w:rPr>
          <w:rFonts w:ascii="Arial" w:hAnsi="Arial" w:cs="Arial"/>
          <w:sz w:val="28"/>
          <w:szCs w:val="28"/>
        </w:rPr>
        <w:t>(</w:t>
      </w:r>
      <w:r w:rsidR="00887A69" w:rsidRPr="00887A69">
        <w:rPr>
          <w:rFonts w:ascii="Arial" w:hAnsi="Arial" w:cs="Arial"/>
          <w:sz w:val="28"/>
          <w:szCs w:val="28"/>
        </w:rPr>
        <w:t>1957</w:t>
      </w:r>
      <w:r w:rsidR="00E00777">
        <w:rPr>
          <w:rFonts w:ascii="Arial" w:hAnsi="Arial" w:cs="Arial"/>
          <w:sz w:val="28"/>
          <w:szCs w:val="28"/>
        </w:rPr>
        <w:t>)</w:t>
      </w:r>
      <w:r w:rsidR="00887A69" w:rsidRPr="00887A69">
        <w:rPr>
          <w:rFonts w:ascii="Arial" w:hAnsi="Arial" w:cs="Arial"/>
          <w:sz w:val="28"/>
          <w:szCs w:val="28"/>
        </w:rPr>
        <w:t xml:space="preserve">, Triefus v Post Office </w:t>
      </w:r>
      <w:r w:rsidR="00E00777">
        <w:rPr>
          <w:rFonts w:ascii="Arial" w:hAnsi="Arial" w:cs="Arial"/>
          <w:sz w:val="28"/>
          <w:szCs w:val="28"/>
        </w:rPr>
        <w:t>(</w:t>
      </w:r>
      <w:r w:rsidR="00887A69" w:rsidRPr="00887A69">
        <w:rPr>
          <w:rFonts w:ascii="Arial" w:hAnsi="Arial" w:cs="Arial"/>
          <w:sz w:val="28"/>
          <w:szCs w:val="28"/>
        </w:rPr>
        <w:t>1957</w:t>
      </w:r>
      <w:r w:rsidR="00E00777">
        <w:rPr>
          <w:rFonts w:ascii="Arial" w:hAnsi="Arial" w:cs="Arial"/>
          <w:sz w:val="28"/>
          <w:szCs w:val="28"/>
        </w:rPr>
        <w:t>)</w:t>
      </w:r>
      <w:r w:rsidR="00887A69" w:rsidRPr="00887A69">
        <w:rPr>
          <w:rFonts w:ascii="Arial" w:hAnsi="Arial" w:cs="Arial"/>
          <w:sz w:val="28"/>
          <w:szCs w:val="28"/>
        </w:rPr>
        <w:t xml:space="preserve">, and Robinson v HM Customs &amp; Excise </w:t>
      </w:r>
      <w:r w:rsidR="00E00777">
        <w:rPr>
          <w:rFonts w:ascii="Arial" w:hAnsi="Arial" w:cs="Arial"/>
          <w:sz w:val="28"/>
          <w:szCs w:val="28"/>
        </w:rPr>
        <w:t>(</w:t>
      </w:r>
      <w:r w:rsidR="00887A69" w:rsidRPr="00887A69">
        <w:rPr>
          <w:rFonts w:ascii="Arial" w:hAnsi="Arial" w:cs="Arial"/>
          <w:sz w:val="28"/>
          <w:szCs w:val="28"/>
        </w:rPr>
        <w:t>2000</w:t>
      </w:r>
      <w:r w:rsidR="00E00777">
        <w:rPr>
          <w:rFonts w:ascii="Arial" w:hAnsi="Arial" w:cs="Arial"/>
          <w:sz w:val="28"/>
          <w:szCs w:val="28"/>
        </w:rPr>
        <w:t>)</w:t>
      </w:r>
      <w:r w:rsidR="00887A69" w:rsidRPr="00887A69">
        <w:rPr>
          <w:rFonts w:ascii="Arial" w:hAnsi="Arial" w:cs="Arial"/>
          <w:sz w:val="28"/>
          <w:szCs w:val="28"/>
        </w:rPr>
        <w:t>.</w:t>
      </w:r>
      <w:r w:rsidR="00887A69" w:rsidRPr="00887A69">
        <w:t xml:space="preserve"> </w:t>
      </w:r>
      <w:r w:rsidR="00887A69" w:rsidRPr="00887A69">
        <w:rPr>
          <w:rFonts w:ascii="Arial" w:hAnsi="Arial" w:cs="Arial"/>
          <w:sz w:val="28"/>
          <w:szCs w:val="28"/>
        </w:rPr>
        <w:t xml:space="preserve">In the case of Willmore v. </w:t>
      </w:r>
      <w:r w:rsidR="00E00777" w:rsidRPr="00887A69">
        <w:rPr>
          <w:rFonts w:ascii="Arial" w:hAnsi="Arial" w:cs="Arial"/>
          <w:sz w:val="28"/>
          <w:szCs w:val="28"/>
        </w:rPr>
        <w:t>South-eastern</w:t>
      </w:r>
      <w:r w:rsidR="00887A69" w:rsidRPr="00887A69">
        <w:rPr>
          <w:rFonts w:ascii="Arial" w:hAnsi="Arial" w:cs="Arial"/>
          <w:sz w:val="28"/>
          <w:szCs w:val="28"/>
        </w:rPr>
        <w:t xml:space="preserve"> Electricity Board (1957), the plaintiff claimed damages on account of property damage caused by a power surge. The plaintiff was not entitled to compensation because the court determined that there was no intent to establish a legally enforceable agreement between him and the power board. This instance illustrates how the presumption that contracts with public bodies are not meant to be legally binding might be applied.</w:t>
      </w:r>
      <w:r w:rsidR="0058798D" w:rsidRPr="0058798D">
        <w:t xml:space="preserve"> </w:t>
      </w:r>
      <w:r w:rsidR="00E00777">
        <w:rPr>
          <w:rFonts w:ascii="Arial" w:hAnsi="Arial" w:cs="Arial"/>
          <w:sz w:val="28"/>
          <w:szCs w:val="28"/>
        </w:rPr>
        <w:t>Similarly,</w:t>
      </w:r>
      <w:r w:rsidR="0058798D" w:rsidRPr="0058798D">
        <w:rPr>
          <w:rFonts w:ascii="Arial" w:hAnsi="Arial" w:cs="Arial"/>
          <w:sz w:val="28"/>
          <w:szCs w:val="28"/>
        </w:rPr>
        <w:t xml:space="preserve"> to this, the plaintiff in Triefus v. Post Office </w:t>
      </w:r>
      <w:r w:rsidR="00E00777">
        <w:rPr>
          <w:rFonts w:ascii="Arial" w:hAnsi="Arial" w:cs="Arial"/>
          <w:sz w:val="28"/>
          <w:szCs w:val="28"/>
        </w:rPr>
        <w:t>(</w:t>
      </w:r>
      <w:r w:rsidR="0058798D" w:rsidRPr="0058798D">
        <w:rPr>
          <w:rFonts w:ascii="Arial" w:hAnsi="Arial" w:cs="Arial"/>
          <w:sz w:val="28"/>
          <w:szCs w:val="28"/>
        </w:rPr>
        <w:t>1957</w:t>
      </w:r>
      <w:r w:rsidR="00E00777">
        <w:rPr>
          <w:rFonts w:ascii="Arial" w:hAnsi="Arial" w:cs="Arial"/>
          <w:sz w:val="28"/>
          <w:szCs w:val="28"/>
        </w:rPr>
        <w:t xml:space="preserve">) </w:t>
      </w:r>
      <w:r w:rsidR="0058798D" w:rsidRPr="0058798D">
        <w:rPr>
          <w:rFonts w:ascii="Arial" w:hAnsi="Arial" w:cs="Arial"/>
          <w:sz w:val="28"/>
          <w:szCs w:val="28"/>
        </w:rPr>
        <w:t xml:space="preserve">agreed to offer a telephone service with the Post Office, but the service was not delivered. The plaintiff was not entitled to damages since, according to the court, there was no purpose to establish an enforceable contract between him and the Post Office. </w:t>
      </w:r>
      <w:r w:rsidR="0058798D" w:rsidRPr="0058798D">
        <w:rPr>
          <w:rFonts w:ascii="Arial" w:hAnsi="Arial" w:cs="Arial"/>
          <w:sz w:val="28"/>
          <w:szCs w:val="28"/>
        </w:rPr>
        <w:lastRenderedPageBreak/>
        <w:t>This instance once more demonstrates the general rule that legal relationships with public entities are improper.</w:t>
      </w:r>
      <w:r w:rsidR="006C50C8" w:rsidRPr="006C50C8">
        <w:t xml:space="preserve"> </w:t>
      </w:r>
      <w:r w:rsidR="006C50C8" w:rsidRPr="006C50C8">
        <w:rPr>
          <w:rFonts w:ascii="Arial" w:hAnsi="Arial" w:cs="Arial"/>
          <w:sz w:val="28"/>
          <w:szCs w:val="28"/>
        </w:rPr>
        <w:t xml:space="preserve">In Robinson v. HM Customs &amp; Excise </w:t>
      </w:r>
      <w:r w:rsidR="00E00777">
        <w:rPr>
          <w:rFonts w:ascii="Arial" w:hAnsi="Arial" w:cs="Arial"/>
          <w:sz w:val="28"/>
          <w:szCs w:val="28"/>
        </w:rPr>
        <w:t>(</w:t>
      </w:r>
      <w:r w:rsidR="006C50C8" w:rsidRPr="006C50C8">
        <w:rPr>
          <w:rFonts w:ascii="Arial" w:hAnsi="Arial" w:cs="Arial"/>
          <w:sz w:val="28"/>
          <w:szCs w:val="28"/>
        </w:rPr>
        <w:t>2000</w:t>
      </w:r>
      <w:r w:rsidR="00E00777">
        <w:rPr>
          <w:rFonts w:ascii="Arial" w:hAnsi="Arial" w:cs="Arial"/>
          <w:sz w:val="28"/>
          <w:szCs w:val="28"/>
        </w:rPr>
        <w:t>),</w:t>
      </w:r>
      <w:r w:rsidR="006C50C8" w:rsidRPr="006C50C8">
        <w:rPr>
          <w:rFonts w:ascii="Arial" w:hAnsi="Arial" w:cs="Arial"/>
          <w:sz w:val="28"/>
          <w:szCs w:val="28"/>
        </w:rPr>
        <w:t xml:space="preserve"> it was shown that the presumption might be overcome by unmistakable proof to the contrary. In this case, the plaintiff and HM Customs &amp; Excise established a contract stating that she would take part in a plan to lower the amount of duty that would be due on imported products. The plaintiff was entitled to damages for breach of contract because the court determined that there was a clear intention Finally, convincing proof to the contrary can overcome the presumption that agreements with public organisations are not meant to be legally binding. When determining the purpose to establish legal contacts with public agencies or those affecting public interest, it is critical to evaluate the individual circumstances of each instance. Willmore v South Eastern Electricity Board, Triefus v Post Office, and Robinson v HM Customs &amp; Excise all indicate that the desire to establish legal connections with public agencies is dependent on the facts of each case</w:t>
      </w:r>
      <w:r w:rsidR="0017044C">
        <w:rPr>
          <w:rFonts w:ascii="Arial" w:hAnsi="Arial" w:cs="Arial"/>
          <w:sz w:val="28"/>
          <w:szCs w:val="28"/>
        </w:rPr>
        <w:t xml:space="preserve"> </w:t>
      </w:r>
      <w:r w:rsidR="006C50C8">
        <w:rPr>
          <w:rFonts w:ascii="Arial" w:hAnsi="Arial" w:cs="Arial"/>
          <w:sz w:val="28"/>
          <w:szCs w:val="28"/>
        </w:rPr>
        <w:t>b</w:t>
      </w:r>
      <w:r w:rsidR="006C50C8" w:rsidRPr="006C50C8">
        <w:rPr>
          <w:rFonts w:ascii="Arial" w:hAnsi="Arial" w:cs="Arial"/>
          <w:sz w:val="28"/>
          <w:szCs w:val="28"/>
        </w:rPr>
        <w:t>etween them to establish a contract that would be legally binding.</w:t>
      </w:r>
    </w:p>
    <w:p w14:paraId="12904DBF" w14:textId="77777777" w:rsidR="007D702D" w:rsidRPr="00D430E6" w:rsidRDefault="007D702D" w:rsidP="00234E38">
      <w:pPr>
        <w:pStyle w:val="ListParagraph"/>
        <w:spacing w:line="360" w:lineRule="auto"/>
        <w:rPr>
          <w:rFonts w:ascii="Arial" w:hAnsi="Arial" w:cs="Arial"/>
          <w:sz w:val="28"/>
          <w:szCs w:val="28"/>
        </w:rPr>
      </w:pPr>
    </w:p>
    <w:p w14:paraId="069EB24E" w14:textId="02985750" w:rsidR="00564660" w:rsidRPr="00234E38" w:rsidRDefault="00234E38" w:rsidP="00234E38">
      <w:pPr>
        <w:spacing w:line="360" w:lineRule="auto"/>
        <w:rPr>
          <w:rFonts w:ascii="Arial" w:hAnsi="Arial" w:cs="Arial"/>
          <w:sz w:val="28"/>
          <w:szCs w:val="28"/>
        </w:rPr>
      </w:pPr>
      <w:r>
        <w:rPr>
          <w:rFonts w:ascii="Arial" w:hAnsi="Arial" w:cs="Arial"/>
          <w:sz w:val="28"/>
          <w:szCs w:val="28"/>
        </w:rPr>
        <w:t xml:space="preserve">          </w:t>
      </w:r>
      <w:r w:rsidR="00D903A8" w:rsidRPr="00234E38">
        <w:rPr>
          <w:rFonts w:ascii="Arial" w:hAnsi="Arial" w:cs="Arial"/>
          <w:sz w:val="28"/>
          <w:szCs w:val="28"/>
        </w:rPr>
        <w:t xml:space="preserve"> </w:t>
      </w:r>
      <w:r w:rsidR="007D702D" w:rsidRPr="00234E38">
        <w:rPr>
          <w:rFonts w:ascii="Arial" w:hAnsi="Arial" w:cs="Arial"/>
          <w:sz w:val="28"/>
          <w:szCs w:val="28"/>
        </w:rPr>
        <w:t xml:space="preserve">In conclusion, the idea of intending to establish a legal relationship is crucial to contract law. It establishes whether a contract is enforceable in court or not. The intent of the parties is ascertained by the courts using presumptions. In social or domestic circumstances, there is a presumption against an intention to establish legal ties; nevertheless, this presumption may be disproven by providing proof of an opposing intention. In corporate and commercial environments, there is a presumption in favour of an intention to establish legal ties; nevertheless, this can be refuted if there is proof of a different </w:t>
      </w:r>
      <w:r w:rsidR="00D430E6" w:rsidRPr="00234E38">
        <w:rPr>
          <w:rFonts w:ascii="Arial" w:hAnsi="Arial" w:cs="Arial"/>
          <w:sz w:val="28"/>
          <w:szCs w:val="28"/>
        </w:rPr>
        <w:t>intention</w:t>
      </w:r>
      <w:r w:rsidR="00D903A8" w:rsidRPr="00234E38">
        <w:rPr>
          <w:rFonts w:ascii="Arial" w:hAnsi="Arial" w:cs="Arial"/>
          <w:sz w:val="28"/>
          <w:szCs w:val="28"/>
        </w:rPr>
        <w:t xml:space="preserve">. </w:t>
      </w:r>
      <w:r w:rsidR="00D430E6" w:rsidRPr="00234E38">
        <w:rPr>
          <w:rFonts w:ascii="Arial" w:hAnsi="Arial" w:cs="Arial"/>
          <w:sz w:val="28"/>
          <w:szCs w:val="28"/>
        </w:rPr>
        <w:t xml:space="preserve">Additionally, contracts with public entities or those that have an impact </w:t>
      </w:r>
      <w:r w:rsidR="00D430E6" w:rsidRPr="00234E38">
        <w:rPr>
          <w:rFonts w:ascii="Arial" w:hAnsi="Arial" w:cs="Arial"/>
          <w:sz w:val="28"/>
          <w:szCs w:val="28"/>
        </w:rPr>
        <w:lastRenderedPageBreak/>
        <w:t xml:space="preserve">on the public interest are believed to be legally binding, and the burden of evidence rests with the party attempting to disprove the assumption. The pertinent instances mentioned in this essay show how the courts have used these presumptions in diverse situations. The presumption against a desire to establish legal ties was upheld and refuted, respectively, in the cases of Balfour v. Balfour and Jones v. </w:t>
      </w:r>
      <w:proofErr w:type="spellStart"/>
      <w:r w:rsidR="00D430E6" w:rsidRPr="00234E38">
        <w:rPr>
          <w:rFonts w:ascii="Arial" w:hAnsi="Arial" w:cs="Arial"/>
          <w:sz w:val="28"/>
          <w:szCs w:val="28"/>
        </w:rPr>
        <w:t>Padavatton</w:t>
      </w:r>
      <w:proofErr w:type="spellEnd"/>
      <w:r w:rsidR="00D430E6" w:rsidRPr="00234E38">
        <w:rPr>
          <w:rFonts w:ascii="Arial" w:hAnsi="Arial" w:cs="Arial"/>
          <w:sz w:val="28"/>
          <w:szCs w:val="28"/>
        </w:rPr>
        <w:t>, which occurred in social or domestic contexts. In commercial and business situations, the presumption in favour of a desire to establish legal connections has been refuted in cases like Esso v. Commissioners of Customs and Excise and Rose &amp; Frank v. Crompton Bros. Finally, agreements established with public entities or those that affect the public interest are examples of Willmore v. South-eastern Electricity Board and Robinson v. HM Customs &amp; Excise. Generally, presumptions have been a helpful tool for the courts in evaluating the purpose to establish legal connections. It's crucial to remember that the presumptions are not universal and that each case must be judged on its own merits.</w:t>
      </w:r>
      <w:r w:rsidR="00D903A8" w:rsidRPr="00234E38">
        <w:rPr>
          <w:rFonts w:ascii="Arial" w:hAnsi="Arial" w:cs="Arial"/>
          <w:sz w:val="28"/>
          <w:szCs w:val="28"/>
        </w:rPr>
        <w:t xml:space="preserve"> Therefore, it is essential to have a clear understanding of the relevant presumptions and when they can be rebutted to determine whether an agreement is legally binding or not.</w:t>
      </w:r>
    </w:p>
    <w:p w14:paraId="1187BE9C" w14:textId="1FA8264A" w:rsidR="006E06CF" w:rsidRPr="00D430E6" w:rsidRDefault="006E06CF" w:rsidP="00234E38">
      <w:pPr>
        <w:pStyle w:val="ListParagraph"/>
        <w:spacing w:line="360" w:lineRule="auto"/>
        <w:rPr>
          <w:rFonts w:ascii="Arial" w:hAnsi="Arial" w:cs="Arial"/>
          <w:sz w:val="28"/>
          <w:szCs w:val="28"/>
        </w:rPr>
      </w:pPr>
    </w:p>
    <w:p w14:paraId="10D1A087" w14:textId="550824FF" w:rsidR="006E06CF" w:rsidRPr="00D430E6" w:rsidRDefault="006E06CF" w:rsidP="00234E38">
      <w:pPr>
        <w:pStyle w:val="ListParagraph"/>
        <w:spacing w:line="360" w:lineRule="auto"/>
        <w:rPr>
          <w:rFonts w:ascii="Arial" w:hAnsi="Arial" w:cs="Arial"/>
          <w:sz w:val="28"/>
          <w:szCs w:val="28"/>
        </w:rPr>
      </w:pPr>
    </w:p>
    <w:p w14:paraId="34802F31" w14:textId="349F3B80" w:rsidR="006E06CF" w:rsidRPr="00D430E6" w:rsidRDefault="006E06CF" w:rsidP="00234E38">
      <w:pPr>
        <w:pStyle w:val="ListParagraph"/>
        <w:spacing w:line="360" w:lineRule="auto"/>
        <w:rPr>
          <w:rFonts w:ascii="Arial" w:hAnsi="Arial" w:cs="Arial"/>
          <w:sz w:val="28"/>
          <w:szCs w:val="28"/>
        </w:rPr>
      </w:pPr>
    </w:p>
    <w:p w14:paraId="5BBA6907" w14:textId="195C0EFB" w:rsidR="006E06CF" w:rsidRPr="00D430E6" w:rsidRDefault="006E06CF" w:rsidP="00234E38">
      <w:pPr>
        <w:pStyle w:val="ListParagraph"/>
        <w:spacing w:line="360" w:lineRule="auto"/>
        <w:rPr>
          <w:rFonts w:ascii="Arial" w:hAnsi="Arial" w:cs="Arial"/>
          <w:sz w:val="28"/>
          <w:szCs w:val="28"/>
        </w:rPr>
      </w:pPr>
    </w:p>
    <w:p w14:paraId="7BB77A10" w14:textId="48D2B192" w:rsidR="006E06CF" w:rsidRPr="00D430E6" w:rsidRDefault="006E06CF" w:rsidP="00234E38">
      <w:pPr>
        <w:pStyle w:val="ListParagraph"/>
        <w:spacing w:line="360" w:lineRule="auto"/>
        <w:rPr>
          <w:rFonts w:ascii="Arial" w:hAnsi="Arial" w:cs="Arial"/>
          <w:sz w:val="28"/>
          <w:szCs w:val="28"/>
        </w:rPr>
      </w:pPr>
    </w:p>
    <w:p w14:paraId="55F30E52" w14:textId="68794949" w:rsidR="006E06CF" w:rsidRPr="00D430E6" w:rsidRDefault="006E06CF" w:rsidP="00234E38">
      <w:pPr>
        <w:pStyle w:val="ListParagraph"/>
        <w:spacing w:line="360" w:lineRule="auto"/>
        <w:rPr>
          <w:rFonts w:ascii="Arial" w:hAnsi="Arial" w:cs="Arial"/>
          <w:sz w:val="28"/>
          <w:szCs w:val="28"/>
        </w:rPr>
      </w:pPr>
    </w:p>
    <w:p w14:paraId="0FFD6C22" w14:textId="5F662CCD" w:rsidR="006E06CF" w:rsidRPr="00D430E6" w:rsidRDefault="006E06CF" w:rsidP="00234E38">
      <w:pPr>
        <w:pStyle w:val="ListParagraph"/>
        <w:spacing w:line="360" w:lineRule="auto"/>
        <w:rPr>
          <w:rFonts w:ascii="Arial" w:hAnsi="Arial" w:cs="Arial"/>
          <w:sz w:val="28"/>
          <w:szCs w:val="28"/>
        </w:rPr>
      </w:pPr>
    </w:p>
    <w:p w14:paraId="6DD198B9" w14:textId="1CDCF2C3" w:rsidR="006E06CF" w:rsidRPr="00D430E6" w:rsidRDefault="006E06CF" w:rsidP="00234E38">
      <w:pPr>
        <w:pStyle w:val="ListParagraph"/>
        <w:spacing w:line="360" w:lineRule="auto"/>
        <w:rPr>
          <w:rFonts w:ascii="Arial" w:hAnsi="Arial" w:cs="Arial"/>
          <w:sz w:val="28"/>
          <w:szCs w:val="28"/>
        </w:rPr>
      </w:pPr>
    </w:p>
    <w:p w14:paraId="6359D890" w14:textId="08D5EF39" w:rsidR="006E06CF" w:rsidRPr="00D430E6" w:rsidRDefault="006E06CF" w:rsidP="00234E38">
      <w:pPr>
        <w:pStyle w:val="ListParagraph"/>
        <w:spacing w:line="360" w:lineRule="auto"/>
        <w:rPr>
          <w:rFonts w:ascii="Arial" w:hAnsi="Arial" w:cs="Arial"/>
          <w:sz w:val="28"/>
          <w:szCs w:val="28"/>
        </w:rPr>
      </w:pPr>
    </w:p>
    <w:p w14:paraId="12470832" w14:textId="4A121944" w:rsidR="006E06CF" w:rsidRPr="00D430E6" w:rsidRDefault="006E06CF" w:rsidP="00234E38">
      <w:pPr>
        <w:pStyle w:val="ListParagraph"/>
        <w:spacing w:line="360" w:lineRule="auto"/>
        <w:rPr>
          <w:rFonts w:ascii="Arial" w:hAnsi="Arial" w:cs="Arial"/>
          <w:sz w:val="28"/>
          <w:szCs w:val="28"/>
        </w:rPr>
      </w:pPr>
    </w:p>
    <w:p w14:paraId="33601AE6" w14:textId="08F4B131" w:rsidR="006E06CF" w:rsidRPr="00D430E6" w:rsidRDefault="006E06CF" w:rsidP="00234E38">
      <w:pPr>
        <w:pStyle w:val="ListParagraph"/>
        <w:spacing w:line="360" w:lineRule="auto"/>
        <w:rPr>
          <w:rFonts w:ascii="Arial" w:hAnsi="Arial" w:cs="Arial"/>
          <w:sz w:val="28"/>
          <w:szCs w:val="28"/>
        </w:rPr>
      </w:pPr>
    </w:p>
    <w:p w14:paraId="2E3E4ACA" w14:textId="26C804BF" w:rsidR="006E06CF" w:rsidRPr="00D430E6" w:rsidRDefault="006E06CF" w:rsidP="00234E38">
      <w:pPr>
        <w:pStyle w:val="ListParagraph"/>
        <w:spacing w:line="360" w:lineRule="auto"/>
        <w:rPr>
          <w:rFonts w:ascii="Arial" w:hAnsi="Arial" w:cs="Arial"/>
          <w:sz w:val="28"/>
          <w:szCs w:val="28"/>
        </w:rPr>
      </w:pPr>
    </w:p>
    <w:p w14:paraId="626AD34C" w14:textId="3739087D" w:rsidR="006E06CF" w:rsidRPr="00D430E6" w:rsidRDefault="006E06CF" w:rsidP="00234E38">
      <w:pPr>
        <w:pStyle w:val="ListParagraph"/>
        <w:spacing w:line="360" w:lineRule="auto"/>
        <w:rPr>
          <w:rFonts w:ascii="Arial" w:hAnsi="Arial" w:cs="Arial"/>
          <w:sz w:val="28"/>
          <w:szCs w:val="28"/>
        </w:rPr>
      </w:pPr>
    </w:p>
    <w:p w14:paraId="2207833F" w14:textId="1542C794" w:rsidR="006E06CF" w:rsidRPr="00D430E6" w:rsidRDefault="006E06CF" w:rsidP="00340142">
      <w:pPr>
        <w:pStyle w:val="ListParagraph"/>
        <w:rPr>
          <w:rFonts w:ascii="Arial" w:hAnsi="Arial" w:cs="Arial"/>
          <w:sz w:val="28"/>
          <w:szCs w:val="28"/>
        </w:rPr>
      </w:pPr>
    </w:p>
    <w:p w14:paraId="3DEF3B61" w14:textId="1DC5BE13" w:rsidR="006E06CF" w:rsidRPr="00D430E6" w:rsidRDefault="006E06CF" w:rsidP="00340142">
      <w:pPr>
        <w:pStyle w:val="ListParagraph"/>
        <w:rPr>
          <w:rFonts w:ascii="Arial" w:hAnsi="Arial" w:cs="Arial"/>
          <w:sz w:val="28"/>
          <w:szCs w:val="28"/>
        </w:rPr>
      </w:pPr>
    </w:p>
    <w:p w14:paraId="46199D78" w14:textId="5FBAD1C5" w:rsidR="006E06CF" w:rsidRDefault="006E06CF" w:rsidP="00340142">
      <w:pPr>
        <w:pStyle w:val="ListParagraph"/>
        <w:rPr>
          <w:rFonts w:ascii="Arial" w:hAnsi="Arial" w:cs="Arial"/>
          <w:sz w:val="28"/>
          <w:szCs w:val="28"/>
        </w:rPr>
      </w:pPr>
    </w:p>
    <w:p w14:paraId="1D0E4FDB" w14:textId="491A3D81" w:rsidR="006E06CF" w:rsidRDefault="006E06CF" w:rsidP="00340142">
      <w:pPr>
        <w:pStyle w:val="ListParagraph"/>
        <w:rPr>
          <w:rFonts w:ascii="Arial" w:hAnsi="Arial" w:cs="Arial"/>
          <w:sz w:val="28"/>
          <w:szCs w:val="28"/>
        </w:rPr>
      </w:pPr>
    </w:p>
    <w:p w14:paraId="0EB65981" w14:textId="049462F6" w:rsidR="006E06CF" w:rsidRDefault="006E06CF" w:rsidP="00340142">
      <w:pPr>
        <w:pStyle w:val="ListParagraph"/>
        <w:rPr>
          <w:rFonts w:ascii="Arial" w:hAnsi="Arial" w:cs="Arial"/>
          <w:sz w:val="28"/>
          <w:szCs w:val="28"/>
        </w:rPr>
      </w:pPr>
    </w:p>
    <w:p w14:paraId="4BA53A94" w14:textId="1CC516FC" w:rsidR="006E06CF" w:rsidRDefault="006E06CF" w:rsidP="00340142">
      <w:pPr>
        <w:pStyle w:val="ListParagraph"/>
        <w:rPr>
          <w:rFonts w:ascii="Arial" w:hAnsi="Arial" w:cs="Arial"/>
          <w:sz w:val="28"/>
          <w:szCs w:val="28"/>
        </w:rPr>
      </w:pPr>
    </w:p>
    <w:p w14:paraId="500F8582" w14:textId="7E819C65" w:rsidR="006E06CF" w:rsidRDefault="006E06CF" w:rsidP="00340142">
      <w:pPr>
        <w:pStyle w:val="ListParagraph"/>
        <w:rPr>
          <w:rFonts w:ascii="Arial" w:hAnsi="Arial" w:cs="Arial"/>
          <w:sz w:val="28"/>
          <w:szCs w:val="28"/>
        </w:rPr>
      </w:pPr>
    </w:p>
    <w:p w14:paraId="4D59DC88" w14:textId="0B6E2168" w:rsidR="006E06CF" w:rsidRDefault="006E06CF" w:rsidP="00340142">
      <w:pPr>
        <w:pStyle w:val="ListParagraph"/>
        <w:rPr>
          <w:rFonts w:ascii="Arial" w:hAnsi="Arial" w:cs="Arial"/>
          <w:sz w:val="28"/>
          <w:szCs w:val="28"/>
        </w:rPr>
      </w:pPr>
    </w:p>
    <w:p w14:paraId="1B0437A6" w14:textId="0BD79CDF" w:rsidR="006E06CF" w:rsidRDefault="006E06CF" w:rsidP="00340142">
      <w:pPr>
        <w:pStyle w:val="ListParagraph"/>
        <w:rPr>
          <w:rFonts w:ascii="Arial" w:hAnsi="Arial" w:cs="Arial"/>
          <w:sz w:val="28"/>
          <w:szCs w:val="28"/>
        </w:rPr>
      </w:pPr>
    </w:p>
    <w:p w14:paraId="69A9C803" w14:textId="316B135A" w:rsidR="006E06CF" w:rsidRDefault="006E06CF" w:rsidP="00340142">
      <w:pPr>
        <w:pStyle w:val="ListParagraph"/>
        <w:rPr>
          <w:rFonts w:ascii="Arial" w:hAnsi="Arial" w:cs="Arial"/>
          <w:sz w:val="28"/>
          <w:szCs w:val="28"/>
        </w:rPr>
      </w:pPr>
    </w:p>
    <w:p w14:paraId="0FC8CD15" w14:textId="257052EE" w:rsidR="006E06CF" w:rsidRDefault="006E06CF" w:rsidP="00340142">
      <w:pPr>
        <w:pStyle w:val="ListParagraph"/>
        <w:rPr>
          <w:rFonts w:ascii="Arial" w:hAnsi="Arial" w:cs="Arial"/>
          <w:sz w:val="28"/>
          <w:szCs w:val="28"/>
        </w:rPr>
      </w:pPr>
    </w:p>
    <w:p w14:paraId="612A460E" w14:textId="77777777" w:rsidR="006E06CF" w:rsidRDefault="006E06CF" w:rsidP="00340142">
      <w:pPr>
        <w:pStyle w:val="ListParagraph"/>
        <w:rPr>
          <w:rFonts w:ascii="Arial" w:hAnsi="Arial" w:cs="Arial"/>
          <w:sz w:val="28"/>
          <w:szCs w:val="28"/>
        </w:rPr>
      </w:pPr>
    </w:p>
    <w:p w14:paraId="52919E1F" w14:textId="77624796" w:rsidR="006E06CF" w:rsidRPr="006E06CF" w:rsidRDefault="006E06CF" w:rsidP="00340142">
      <w:pPr>
        <w:pStyle w:val="ListParagraph"/>
        <w:rPr>
          <w:rFonts w:ascii="Arial" w:hAnsi="Arial" w:cs="Arial"/>
          <w:b/>
          <w:bCs/>
          <w:sz w:val="28"/>
          <w:szCs w:val="28"/>
        </w:rPr>
      </w:pPr>
      <w:r w:rsidRPr="006E06CF">
        <w:rPr>
          <w:rFonts w:ascii="Arial" w:hAnsi="Arial" w:cs="Arial"/>
          <w:b/>
          <w:bCs/>
          <w:sz w:val="28"/>
          <w:szCs w:val="28"/>
        </w:rPr>
        <w:t xml:space="preserve">References </w:t>
      </w:r>
    </w:p>
    <w:p w14:paraId="106143D3" w14:textId="7E73B2B7" w:rsidR="006E06CF" w:rsidRDefault="006E06CF" w:rsidP="00340142">
      <w:pPr>
        <w:pStyle w:val="ListParagraph"/>
        <w:rPr>
          <w:rFonts w:ascii="Arial" w:hAnsi="Arial" w:cs="Arial"/>
          <w:sz w:val="28"/>
          <w:szCs w:val="28"/>
        </w:rPr>
      </w:pPr>
    </w:p>
    <w:p w14:paraId="379C181B" w14:textId="7A55A6EF" w:rsidR="006E06CF" w:rsidRDefault="006E06CF" w:rsidP="00340142">
      <w:pPr>
        <w:pStyle w:val="ListParagraph"/>
        <w:rPr>
          <w:rFonts w:ascii="Arial" w:hAnsi="Arial" w:cs="Arial"/>
          <w:sz w:val="28"/>
          <w:szCs w:val="28"/>
        </w:rPr>
      </w:pPr>
    </w:p>
    <w:p w14:paraId="42F22AF1" w14:textId="77777777" w:rsidR="006E06CF" w:rsidRDefault="006E06CF" w:rsidP="00340142">
      <w:pPr>
        <w:pStyle w:val="ListParagraph"/>
        <w:rPr>
          <w:rFonts w:ascii="Arial" w:hAnsi="Arial" w:cs="Arial"/>
          <w:sz w:val="28"/>
          <w:szCs w:val="28"/>
        </w:rPr>
      </w:pPr>
    </w:p>
    <w:p w14:paraId="0804B7A9" w14:textId="11B0E38E"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Pr>
          <w:rFonts w:ascii="Arial" w:hAnsi="Arial" w:cs="Arial"/>
          <w:sz w:val="28"/>
          <w:szCs w:val="28"/>
        </w:rPr>
        <w:t xml:space="preserve">        </w:t>
      </w:r>
      <w:r w:rsidRPr="006E06CF">
        <w:rPr>
          <w:rFonts w:ascii="Arial" w:hAnsi="Arial" w:cs="Arial"/>
          <w:sz w:val="28"/>
          <w:szCs w:val="28"/>
        </w:rPr>
        <w:t xml:space="preserve">Atiyah, P. (1971) 'Contracts, Promises and the Law of </w:t>
      </w:r>
      <w:r w:rsidR="00AB65B0">
        <w:rPr>
          <w:rFonts w:ascii="Arial" w:hAnsi="Arial" w:cs="Arial"/>
          <w:sz w:val="28"/>
          <w:szCs w:val="28"/>
        </w:rPr>
        <w:t>Obligations</w:t>
      </w:r>
      <w:r w:rsidRPr="006E06CF">
        <w:rPr>
          <w:rFonts w:ascii="Arial" w:hAnsi="Arial" w:cs="Arial"/>
          <w:sz w:val="28"/>
          <w:szCs w:val="28"/>
        </w:rPr>
        <w:t xml:space="preserve">, </w:t>
      </w:r>
      <w:r>
        <w:rPr>
          <w:rFonts w:ascii="Arial" w:hAnsi="Arial" w:cs="Arial"/>
          <w:sz w:val="28"/>
          <w:szCs w:val="28"/>
        </w:rPr>
        <w:t xml:space="preserve">  </w:t>
      </w:r>
      <w:r w:rsidRPr="006E06CF">
        <w:rPr>
          <w:rFonts w:ascii="Arial" w:hAnsi="Arial" w:cs="Arial"/>
          <w:sz w:val="28"/>
          <w:szCs w:val="28"/>
        </w:rPr>
        <w:t>The University of Chicago Law Review, 37(3), pp. 297-324.</w:t>
      </w:r>
    </w:p>
    <w:p w14:paraId="38067A01"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Burrows, A. (2009). A Case of Contractual Mistake. The Cambridge Law Journal, 68(3), 642-645. Doi: 10.1017/S0008197309990152</w:t>
      </w:r>
    </w:p>
    <w:p w14:paraId="6B834743"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Collins, H. (2014). The Relationship Between Estoppel and Contract. The Cambridge Law Journal, 73(1), 1-4. Doi: 10.1017/S0008197313000834</w:t>
      </w:r>
    </w:p>
    <w:p w14:paraId="2651B972"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Smith, J. C. (2015). Contract Law: A Comparative Introduction (3rd ed.). Hart Publishing.</w:t>
      </w:r>
    </w:p>
    <w:p w14:paraId="284417AB"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Chen-Wishart, M. (2006) 'Contract Formation and Mistake in Australian Contract Law: Theory and Evidence', Journal of Contract Law, 22(1), pp. 1-27.</w:t>
      </w:r>
    </w:p>
    <w:p w14:paraId="574CB903"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McKendrick, E. (2003) 'Intention to Create Legal Relations: A Contractual Necessity', The Cambridge Law Journal, 62(3), pp. 641-664.</w:t>
      </w:r>
    </w:p>
    <w:p w14:paraId="35628347"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lastRenderedPageBreak/>
        <w:t>•</w:t>
      </w:r>
      <w:r w:rsidRPr="006E06CF">
        <w:rPr>
          <w:rFonts w:ascii="Arial" w:hAnsi="Arial" w:cs="Arial"/>
          <w:sz w:val="28"/>
          <w:szCs w:val="28"/>
        </w:rPr>
        <w:tab/>
        <w:t>Chen-Wishart, M. (2015) Contract law, 5th edn. Oxford University Press.</w:t>
      </w:r>
    </w:p>
    <w:p w14:paraId="1F5316CF"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Poole, J. (2016) Textbook on contract law, 13th edn. Oxford University Press.</w:t>
      </w:r>
    </w:p>
    <w:p w14:paraId="519EB8C6"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 xml:space="preserve">Stone, R. (2016) The modern law of contract, 11th edn. Routledge. </w:t>
      </w:r>
    </w:p>
    <w:p w14:paraId="512358E6"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Trade Union and Labour Relations (Consolidation) Act 1992, c.52, s.179.</w:t>
      </w:r>
    </w:p>
    <w:p w14:paraId="541648A5"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Treitel, G. H. (2011). The law of contract. Sweet &amp; Maxwell.</w:t>
      </w:r>
    </w:p>
    <w:p w14:paraId="75EDBAA7"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Balfour v Balfour [1919] 2 KB 571</w:t>
      </w:r>
    </w:p>
    <w:p w14:paraId="3C1E9B45"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Jones v Padavatton [1969] 1 WLR 328</w:t>
      </w:r>
    </w:p>
    <w:p w14:paraId="7D37709E"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Merritt v Merritt [1970] 2 All ER 760</w:t>
      </w:r>
    </w:p>
    <w:p w14:paraId="52E85356"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Simpkins v Pays [1955] 1 WLR 975</w:t>
      </w:r>
    </w:p>
    <w:p w14:paraId="35D1E07C"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Esso v Commissioners of Customs and Excise [1975] AC 154</w:t>
      </w:r>
    </w:p>
    <w:p w14:paraId="4F9DD182"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Edwards v Skyways [1964] 1 QB 394</w:t>
      </w:r>
    </w:p>
    <w:p w14:paraId="747B479B"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Rose &amp; Frank v Crompton Bros [1925] AC 445</w:t>
      </w:r>
    </w:p>
    <w:p w14:paraId="38770E47"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Kleinwort Benson v Malaysian Mining Corp [1989] 1 WLR 379</w:t>
      </w:r>
    </w:p>
    <w:p w14:paraId="4A6B9521"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ERDC Group Ltd v Brunel University [2006] EWHC 687 (Ch)</w:t>
      </w:r>
    </w:p>
    <w:p w14:paraId="1C44FCF0"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Willmore v South-eastern Electricity Board [1957] 1 QB 277</w:t>
      </w:r>
    </w:p>
    <w:p w14:paraId="1DA856E3"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Triefus v Post Office [1957] 1 WLR 183</w:t>
      </w:r>
    </w:p>
    <w:p w14:paraId="5E19F1D1" w14:textId="77777777" w:rsidR="006E06CF" w:rsidRPr="006E06CF" w:rsidRDefault="006E06CF" w:rsidP="00340142">
      <w:pPr>
        <w:pStyle w:val="ListParagraph"/>
        <w:rPr>
          <w:rFonts w:ascii="Arial" w:hAnsi="Arial" w:cs="Arial"/>
          <w:sz w:val="28"/>
          <w:szCs w:val="28"/>
        </w:rPr>
      </w:pPr>
      <w:r w:rsidRPr="006E06CF">
        <w:rPr>
          <w:rFonts w:ascii="Arial" w:hAnsi="Arial" w:cs="Arial"/>
          <w:sz w:val="28"/>
          <w:szCs w:val="28"/>
        </w:rPr>
        <w:t>•</w:t>
      </w:r>
      <w:r w:rsidRPr="006E06CF">
        <w:rPr>
          <w:rFonts w:ascii="Arial" w:hAnsi="Arial" w:cs="Arial"/>
          <w:sz w:val="28"/>
          <w:szCs w:val="28"/>
        </w:rPr>
        <w:tab/>
        <w:t>Robinson v HM Customs &amp; Excise [2000] 1 WLR 853</w:t>
      </w:r>
    </w:p>
    <w:p w14:paraId="245ED756" w14:textId="77777777" w:rsidR="006E06CF" w:rsidRPr="006E06CF" w:rsidRDefault="006E06CF" w:rsidP="00340142">
      <w:pPr>
        <w:pStyle w:val="ListParagraph"/>
        <w:rPr>
          <w:rFonts w:ascii="Arial" w:hAnsi="Arial" w:cs="Arial"/>
          <w:sz w:val="28"/>
          <w:szCs w:val="28"/>
        </w:rPr>
      </w:pPr>
    </w:p>
    <w:p w14:paraId="5727C6BC" w14:textId="77777777" w:rsidR="006E06CF" w:rsidRDefault="006E06CF" w:rsidP="00340142">
      <w:pPr>
        <w:pStyle w:val="ListParagraph"/>
        <w:rPr>
          <w:rFonts w:ascii="Arial" w:hAnsi="Arial" w:cs="Arial"/>
          <w:sz w:val="28"/>
          <w:szCs w:val="28"/>
        </w:rPr>
      </w:pPr>
    </w:p>
    <w:p w14:paraId="3355B158" w14:textId="79813FA7" w:rsidR="00D903A8" w:rsidRDefault="00D903A8" w:rsidP="00340142">
      <w:pPr>
        <w:pStyle w:val="ListParagraph"/>
        <w:rPr>
          <w:rFonts w:ascii="Arial" w:hAnsi="Arial" w:cs="Arial"/>
          <w:sz w:val="28"/>
          <w:szCs w:val="28"/>
        </w:rPr>
      </w:pPr>
    </w:p>
    <w:p w14:paraId="6E73DCD5" w14:textId="77777777" w:rsidR="00D903A8" w:rsidRPr="00303362" w:rsidRDefault="00D903A8" w:rsidP="00340142">
      <w:pPr>
        <w:pStyle w:val="ListParagraph"/>
        <w:rPr>
          <w:rFonts w:ascii="Arial" w:hAnsi="Arial" w:cs="Arial"/>
          <w:sz w:val="28"/>
          <w:szCs w:val="28"/>
        </w:rPr>
      </w:pPr>
    </w:p>
    <w:p w14:paraId="0926BC0D" w14:textId="77777777" w:rsidR="00564660" w:rsidRPr="00564660" w:rsidRDefault="00564660" w:rsidP="00340142">
      <w:pPr>
        <w:pStyle w:val="ListParagraph"/>
        <w:rPr>
          <w:rFonts w:ascii="Arial" w:hAnsi="Arial" w:cs="Arial"/>
          <w:sz w:val="28"/>
          <w:szCs w:val="28"/>
        </w:rPr>
      </w:pPr>
    </w:p>
    <w:p w14:paraId="4FE86CBB" w14:textId="77777777" w:rsidR="00303362" w:rsidRPr="00561372" w:rsidRDefault="00303362" w:rsidP="00340142">
      <w:pPr>
        <w:pStyle w:val="ListParagraph"/>
        <w:rPr>
          <w:rFonts w:ascii="Arial" w:hAnsi="Arial" w:cs="Arial"/>
          <w:sz w:val="28"/>
          <w:szCs w:val="28"/>
        </w:rPr>
      </w:pPr>
    </w:p>
    <w:sectPr w:rsidR="00303362" w:rsidRPr="00561372" w:rsidSect="001E49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C45"/>
    <w:rsid w:val="000203B5"/>
    <w:rsid w:val="00043D8E"/>
    <w:rsid w:val="0005199C"/>
    <w:rsid w:val="0017044C"/>
    <w:rsid w:val="001E4990"/>
    <w:rsid w:val="00234E38"/>
    <w:rsid w:val="00271800"/>
    <w:rsid w:val="00303362"/>
    <w:rsid w:val="00340142"/>
    <w:rsid w:val="003B7477"/>
    <w:rsid w:val="00561372"/>
    <w:rsid w:val="00564660"/>
    <w:rsid w:val="0058798D"/>
    <w:rsid w:val="005C4F90"/>
    <w:rsid w:val="00697C45"/>
    <w:rsid w:val="006C50C8"/>
    <w:rsid w:val="006E06CF"/>
    <w:rsid w:val="006E7F73"/>
    <w:rsid w:val="0073461A"/>
    <w:rsid w:val="007D702D"/>
    <w:rsid w:val="0088168F"/>
    <w:rsid w:val="00887A69"/>
    <w:rsid w:val="008C4E9E"/>
    <w:rsid w:val="0092695F"/>
    <w:rsid w:val="00AB65B0"/>
    <w:rsid w:val="00BF3E93"/>
    <w:rsid w:val="00D01D57"/>
    <w:rsid w:val="00D430E6"/>
    <w:rsid w:val="00D903A8"/>
    <w:rsid w:val="00DF1BE2"/>
    <w:rsid w:val="00E00777"/>
    <w:rsid w:val="00E03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D4F92"/>
  <w15:chartTrackingRefBased/>
  <w15:docId w15:val="{F50A262F-7908-4E8A-B678-FF5CF7F82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1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E4990"/>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34014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link w:val="ListParagraphChar"/>
    <w:uiPriority w:val="34"/>
    <w:qFormat/>
    <w:rsid w:val="00340142"/>
    <w:pPr>
      <w:ind w:left="720"/>
      <w:contextualSpacing/>
    </w:pPr>
  </w:style>
  <w:style w:type="paragraph" w:customStyle="1" w:styleId="doublespace">
    <w:name w:val="double space"/>
    <w:basedOn w:val="ListParagraph"/>
    <w:link w:val="doublespaceChar"/>
    <w:qFormat/>
    <w:rsid w:val="00340142"/>
  </w:style>
  <w:style w:type="character" w:customStyle="1" w:styleId="ListParagraphChar">
    <w:name w:val="List Paragraph Char"/>
    <w:basedOn w:val="DefaultParagraphFont"/>
    <w:link w:val="ListParagraph"/>
    <w:uiPriority w:val="34"/>
    <w:rsid w:val="00340142"/>
  </w:style>
  <w:style w:type="character" w:customStyle="1" w:styleId="doublespaceChar">
    <w:name w:val="double space Char"/>
    <w:basedOn w:val="ListParagraphChar"/>
    <w:link w:val="doublespace"/>
    <w:rsid w:val="003401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9344C4F07F4A15B82954FC1CF5C64E"/>
        <w:category>
          <w:name w:val="General"/>
          <w:gallery w:val="placeholder"/>
        </w:category>
        <w:types>
          <w:type w:val="bbPlcHdr"/>
        </w:types>
        <w:behaviors>
          <w:behavior w:val="content"/>
        </w:behaviors>
        <w:guid w:val="{6CA21F4C-A3C1-40E9-8EB6-F6A92E1BA7B3}"/>
      </w:docPartPr>
      <w:docPartBody>
        <w:p w:rsidR="005B6F98" w:rsidRDefault="00253EB9" w:rsidP="00253EB9">
          <w:pPr>
            <w:pStyle w:val="DA9344C4F07F4A15B82954FC1CF5C64E"/>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B9"/>
    <w:rsid w:val="00181E96"/>
    <w:rsid w:val="00253EB9"/>
    <w:rsid w:val="003E0B27"/>
    <w:rsid w:val="005112A1"/>
    <w:rsid w:val="005B6F98"/>
    <w:rsid w:val="00761174"/>
    <w:rsid w:val="009A444F"/>
    <w:rsid w:val="00AF6467"/>
    <w:rsid w:val="00FF3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9344C4F07F4A15B82954FC1CF5C64E">
    <w:name w:val="DA9344C4F07F4A15B82954FC1CF5C64E"/>
    <w:rsid w:val="00253E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2372</Words>
  <Characters>12529</Characters>
  <Application>Microsoft Office Word</Application>
  <DocSecurity>0</DocSecurity>
  <Lines>261</Lines>
  <Paragraphs>30</Paragraphs>
  <ScaleCrop>false</ScaleCrop>
  <HeadingPairs>
    <vt:vector size="2" baseType="variant">
      <vt:variant>
        <vt:lpstr>Title</vt:lpstr>
      </vt:variant>
      <vt:variant>
        <vt:i4>1</vt:i4>
      </vt:variant>
    </vt:vector>
  </HeadingPairs>
  <TitlesOfParts>
    <vt:vector size="1" baseType="lpstr">
      <vt:lpstr>Intention to create legal relations</vt:lpstr>
    </vt:vector>
  </TitlesOfParts>
  <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Intention to create legal relations</dc:title>
  <dc:subject/>
  <dc:creator>Mirabela Voican (1907947)</dc:creator>
  <cp:keywords/>
  <dc:description/>
  <cp:lastModifiedBy>Mirabela Voican (1907947)</cp:lastModifiedBy>
  <cp:revision>2</cp:revision>
  <dcterms:created xsi:type="dcterms:W3CDTF">2023-03-09T17:44:00Z</dcterms:created>
  <dcterms:modified xsi:type="dcterms:W3CDTF">2023-03-09T17:44:00Z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12759cf3775a0a4eafca08472829613b88fc8ca4d835f1b80ab38702a37ab675</vt:lpwstr>
  </property>
</Properties>
</file>