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BCEF4A" w14:textId="77777777" w:rsidR="00F3035D" w:rsidRPr="00CA3C50" w:rsidRDefault="00B03E03" w:rsidP="001F3851">
      <w:pPr>
        <w:pStyle w:val="Title"/>
        <w:spacing w:before="120" w:after="120"/>
        <w:contextualSpacing w:val="0"/>
        <w:jc w:val="center"/>
        <w:rPr>
          <w:rFonts w:ascii="Arial" w:hAnsi="Arial" w:cs="Arial"/>
          <w:sz w:val="32"/>
          <w:szCs w:val="22"/>
        </w:rPr>
      </w:pPr>
      <w:r w:rsidRPr="00CA3C50">
        <w:rPr>
          <w:rFonts w:ascii="Arial" w:hAnsi="Arial" w:cs="Arial"/>
          <w:sz w:val="32"/>
          <w:szCs w:val="22"/>
        </w:rPr>
        <w:t>Introduction to Health and Social Care</w:t>
      </w:r>
    </w:p>
    <w:p w14:paraId="3D34D901" w14:textId="77777777" w:rsidR="000D47F6" w:rsidRPr="003F362B" w:rsidRDefault="000D47F6" w:rsidP="001F3851">
      <w:pPr>
        <w:spacing w:before="120" w:after="120"/>
        <w:jc w:val="center"/>
      </w:pPr>
      <w:r w:rsidRPr="003F362B">
        <w:rPr>
          <w:noProof/>
        </w:rPr>
        <w:drawing>
          <wp:inline distT="0" distB="0" distL="0" distR="0" wp14:anchorId="66761AAA" wp14:editId="5BE9D6FB">
            <wp:extent cx="2428135" cy="781050"/>
            <wp:effectExtent l="0" t="0" r="0" b="0"/>
            <wp:docPr id="1" name="Picture 1" descr="Prifysgol Cymru Y Drindod Dewi Sant | University of Wales Trinity Saint  David - NP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 University of Wales Trinity Saint  David - NPLD"/>
                    <pic:cNvPicPr>
                      <a:picLocks noChangeAspect="1" noChangeArrowheads="1"/>
                    </pic:cNvPicPr>
                  </pic:nvPicPr>
                  <pic:blipFill rotWithShape="1">
                    <a:blip r:embed="rId8">
                      <a:extLst>
                        <a:ext uri="{28A0092B-C50C-407E-A947-70E740481C1C}">
                          <a14:useLocalDpi xmlns:a14="http://schemas.microsoft.com/office/drawing/2010/main" val="0"/>
                        </a:ext>
                      </a:extLst>
                    </a:blip>
                    <a:srcRect t="17334" b="18334"/>
                    <a:stretch/>
                  </pic:blipFill>
                  <pic:spPr bwMode="auto">
                    <a:xfrm>
                      <a:off x="0" y="0"/>
                      <a:ext cx="2428135" cy="781050"/>
                    </a:xfrm>
                    <a:prstGeom prst="rect">
                      <a:avLst/>
                    </a:prstGeom>
                    <a:noFill/>
                    <a:ln>
                      <a:noFill/>
                    </a:ln>
                    <a:extLst>
                      <a:ext uri="{53640926-AAD7-44D8-BBD7-CCE9431645EC}">
                        <a14:shadowObscured xmlns:a14="http://schemas.microsoft.com/office/drawing/2010/main"/>
                      </a:ext>
                    </a:extLst>
                  </pic:spPr>
                </pic:pic>
              </a:graphicData>
            </a:graphic>
          </wp:inline>
        </w:drawing>
      </w:r>
    </w:p>
    <w:p w14:paraId="2F75BD3A" w14:textId="77777777" w:rsidR="00F3035D" w:rsidRPr="00BF602F" w:rsidRDefault="00BF602F" w:rsidP="001F3851">
      <w:pPr>
        <w:spacing w:before="120" w:after="120"/>
        <w:jc w:val="center"/>
        <w:rPr>
          <w:b/>
          <w:sz w:val="40"/>
        </w:rPr>
      </w:pPr>
      <w:r w:rsidRPr="00BF602F">
        <w:rPr>
          <w:b/>
          <w:sz w:val="40"/>
        </w:rPr>
        <w:t>Component 1 Portfolio</w:t>
      </w:r>
    </w:p>
    <w:p w14:paraId="52E926F2" w14:textId="77777777" w:rsidR="00F3035D" w:rsidRPr="00CA3C50" w:rsidRDefault="00BF602F" w:rsidP="00CA3C50">
      <w:pPr>
        <w:spacing w:before="120" w:after="120"/>
        <w:jc w:val="center"/>
        <w:rPr>
          <w:b/>
          <w:sz w:val="40"/>
        </w:rPr>
      </w:pPr>
      <w:r w:rsidRPr="00BF602F">
        <w:rPr>
          <w:b/>
          <w:sz w:val="40"/>
        </w:rPr>
        <w:t>Community Disability Services and Ambulance Services</w:t>
      </w:r>
    </w:p>
    <w:tbl>
      <w:tblPr>
        <w:tblStyle w:val="TableGrid"/>
        <w:tblW w:w="0" w:type="auto"/>
        <w:tblBorders>
          <w:top w:val="triple" w:sz="4" w:space="0" w:color="auto"/>
          <w:left w:val="triple" w:sz="4" w:space="0" w:color="auto"/>
          <w:bottom w:val="triple" w:sz="4" w:space="0" w:color="auto"/>
          <w:right w:val="triple" w:sz="4" w:space="0" w:color="auto"/>
        </w:tblBorders>
        <w:shd w:val="clear" w:color="auto" w:fill="D9D9D9" w:themeFill="background1" w:themeFillShade="D9"/>
        <w:tblLook w:val="04A0" w:firstRow="1" w:lastRow="0" w:firstColumn="1" w:lastColumn="0" w:noHBand="0" w:noVBand="1"/>
      </w:tblPr>
      <w:tblGrid>
        <w:gridCol w:w="1892"/>
        <w:gridCol w:w="7418"/>
      </w:tblGrid>
      <w:tr w:rsidR="001A389E" w:rsidRPr="001A389E" w14:paraId="1FC21413" w14:textId="77777777" w:rsidTr="00A07A20">
        <w:tc>
          <w:tcPr>
            <w:tcW w:w="0" w:type="auto"/>
            <w:shd w:val="clear" w:color="auto" w:fill="D9D9D9" w:themeFill="background1" w:themeFillShade="D9"/>
            <w:hideMark/>
          </w:tcPr>
          <w:p w14:paraId="5587F9B0" w14:textId="77777777" w:rsidR="001A389E" w:rsidRPr="001A389E" w:rsidRDefault="001A389E" w:rsidP="001F3851">
            <w:pPr>
              <w:spacing w:before="120" w:after="120"/>
              <w:jc w:val="center"/>
              <w:rPr>
                <w:rFonts w:ascii="Times New Roman" w:eastAsia="Times New Roman" w:hAnsi="Times New Roman" w:cs="Times New Roman"/>
                <w:b/>
                <w:bCs/>
                <w:color w:val="auto"/>
                <w:sz w:val="24"/>
                <w:szCs w:val="24"/>
              </w:rPr>
            </w:pPr>
            <w:r w:rsidRPr="001A389E">
              <w:rPr>
                <w:rFonts w:ascii="Times New Roman" w:eastAsia="Times New Roman" w:hAnsi="Times New Roman" w:cs="Times New Roman"/>
                <w:b/>
                <w:bCs/>
                <w:color w:val="auto"/>
                <w:sz w:val="24"/>
                <w:szCs w:val="24"/>
              </w:rPr>
              <w:t>Field</w:t>
            </w:r>
          </w:p>
        </w:tc>
        <w:tc>
          <w:tcPr>
            <w:tcW w:w="0" w:type="auto"/>
            <w:shd w:val="clear" w:color="auto" w:fill="D9D9D9" w:themeFill="background1" w:themeFillShade="D9"/>
            <w:hideMark/>
          </w:tcPr>
          <w:p w14:paraId="5C82C4BB" w14:textId="77777777" w:rsidR="001A389E" w:rsidRPr="001A389E" w:rsidRDefault="001A389E" w:rsidP="001F3851">
            <w:pPr>
              <w:spacing w:before="120" w:after="120"/>
              <w:jc w:val="center"/>
              <w:rPr>
                <w:rFonts w:ascii="Times New Roman" w:eastAsia="Times New Roman" w:hAnsi="Times New Roman" w:cs="Times New Roman"/>
                <w:b/>
                <w:bCs/>
                <w:color w:val="auto"/>
                <w:sz w:val="24"/>
                <w:szCs w:val="24"/>
              </w:rPr>
            </w:pPr>
            <w:r w:rsidRPr="001A389E">
              <w:rPr>
                <w:rFonts w:ascii="Times New Roman" w:eastAsia="Times New Roman" w:hAnsi="Times New Roman" w:cs="Times New Roman"/>
                <w:b/>
                <w:bCs/>
                <w:color w:val="auto"/>
                <w:sz w:val="24"/>
                <w:szCs w:val="24"/>
              </w:rPr>
              <w:t>Details</w:t>
            </w:r>
          </w:p>
        </w:tc>
      </w:tr>
      <w:tr w:rsidR="001A389E" w:rsidRPr="001A389E" w14:paraId="35CD8F5B" w14:textId="77777777" w:rsidTr="00A07A20">
        <w:tc>
          <w:tcPr>
            <w:tcW w:w="0" w:type="auto"/>
            <w:shd w:val="clear" w:color="auto" w:fill="D9D9D9" w:themeFill="background1" w:themeFillShade="D9"/>
            <w:hideMark/>
          </w:tcPr>
          <w:p w14:paraId="7388E415" w14:textId="77777777" w:rsidR="001A389E" w:rsidRPr="001A389E" w:rsidRDefault="001A389E" w:rsidP="001F3851">
            <w:pPr>
              <w:spacing w:before="120" w:after="120"/>
              <w:rPr>
                <w:rFonts w:ascii="Times New Roman" w:eastAsia="Times New Roman" w:hAnsi="Times New Roman" w:cs="Times New Roman"/>
                <w:color w:val="auto"/>
                <w:sz w:val="24"/>
                <w:szCs w:val="24"/>
              </w:rPr>
            </w:pPr>
            <w:r w:rsidRPr="001A389E">
              <w:rPr>
                <w:rFonts w:ascii="Times New Roman" w:eastAsia="Times New Roman" w:hAnsi="Times New Roman" w:cs="Times New Roman"/>
                <w:b/>
                <w:bCs/>
                <w:color w:val="auto"/>
                <w:sz w:val="24"/>
                <w:szCs w:val="24"/>
              </w:rPr>
              <w:t>Student name</w:t>
            </w:r>
          </w:p>
        </w:tc>
        <w:tc>
          <w:tcPr>
            <w:tcW w:w="0" w:type="auto"/>
            <w:shd w:val="clear" w:color="auto" w:fill="D9D9D9" w:themeFill="background1" w:themeFillShade="D9"/>
            <w:hideMark/>
          </w:tcPr>
          <w:p w14:paraId="65A2E8E5" w14:textId="61EC060A" w:rsidR="001A389E" w:rsidRPr="001A389E" w:rsidRDefault="00A2127C" w:rsidP="001F3851">
            <w:pPr>
              <w:spacing w:before="120" w:after="120"/>
              <w:rPr>
                <w:rFonts w:ascii="Times New Roman" w:eastAsia="Times New Roman" w:hAnsi="Times New Roman" w:cs="Times New Roman"/>
                <w:color w:val="auto"/>
                <w:sz w:val="24"/>
                <w:szCs w:val="24"/>
              </w:rPr>
            </w:pPr>
            <w:r>
              <w:rPr>
                <w:rFonts w:ascii="Times New Roman" w:eastAsia="Times New Roman" w:hAnsi="Times New Roman" w:cs="Times New Roman"/>
                <w:color w:val="auto"/>
                <w:sz w:val="24"/>
                <w:szCs w:val="24"/>
              </w:rPr>
              <w:t>Wasim Sattar</w:t>
            </w:r>
          </w:p>
        </w:tc>
      </w:tr>
      <w:tr w:rsidR="001A389E" w:rsidRPr="001A389E" w14:paraId="73552766" w14:textId="77777777" w:rsidTr="00A07A20">
        <w:tc>
          <w:tcPr>
            <w:tcW w:w="0" w:type="auto"/>
            <w:shd w:val="clear" w:color="auto" w:fill="D9D9D9" w:themeFill="background1" w:themeFillShade="D9"/>
            <w:hideMark/>
          </w:tcPr>
          <w:p w14:paraId="2A015AB2" w14:textId="77777777" w:rsidR="001A389E" w:rsidRPr="001A389E" w:rsidRDefault="001A389E" w:rsidP="001F3851">
            <w:pPr>
              <w:spacing w:before="120" w:after="120"/>
              <w:rPr>
                <w:rFonts w:ascii="Times New Roman" w:eastAsia="Times New Roman" w:hAnsi="Times New Roman" w:cs="Times New Roman"/>
                <w:color w:val="auto"/>
                <w:sz w:val="24"/>
                <w:szCs w:val="24"/>
              </w:rPr>
            </w:pPr>
            <w:r w:rsidRPr="001A389E">
              <w:rPr>
                <w:rFonts w:ascii="Times New Roman" w:eastAsia="Times New Roman" w:hAnsi="Times New Roman" w:cs="Times New Roman"/>
                <w:b/>
                <w:bCs/>
                <w:color w:val="auto"/>
                <w:sz w:val="24"/>
                <w:szCs w:val="24"/>
              </w:rPr>
              <w:t>Student number</w:t>
            </w:r>
          </w:p>
        </w:tc>
        <w:tc>
          <w:tcPr>
            <w:tcW w:w="0" w:type="auto"/>
            <w:shd w:val="clear" w:color="auto" w:fill="D9D9D9" w:themeFill="background1" w:themeFillShade="D9"/>
            <w:hideMark/>
          </w:tcPr>
          <w:p w14:paraId="110120D4" w14:textId="62136A13" w:rsidR="001A389E" w:rsidRPr="001A389E" w:rsidRDefault="00A2127C" w:rsidP="001F3851">
            <w:pPr>
              <w:spacing w:before="120" w:after="120"/>
              <w:rPr>
                <w:rFonts w:ascii="Times New Roman" w:eastAsia="Times New Roman" w:hAnsi="Times New Roman" w:cs="Times New Roman"/>
                <w:color w:val="auto"/>
                <w:sz w:val="24"/>
                <w:szCs w:val="24"/>
              </w:rPr>
            </w:pPr>
            <w:r>
              <w:rPr>
                <w:rFonts w:ascii="Times New Roman" w:eastAsia="Times New Roman" w:hAnsi="Times New Roman" w:cs="Times New Roman"/>
                <w:color w:val="auto"/>
                <w:sz w:val="24"/>
                <w:szCs w:val="24"/>
              </w:rPr>
              <w:t>2540523</w:t>
            </w:r>
          </w:p>
        </w:tc>
      </w:tr>
      <w:tr w:rsidR="001A389E" w:rsidRPr="001A389E" w14:paraId="3A285E48" w14:textId="77777777" w:rsidTr="00A07A20">
        <w:tc>
          <w:tcPr>
            <w:tcW w:w="0" w:type="auto"/>
            <w:shd w:val="clear" w:color="auto" w:fill="D9D9D9" w:themeFill="background1" w:themeFillShade="D9"/>
            <w:hideMark/>
          </w:tcPr>
          <w:p w14:paraId="24D571B6" w14:textId="77777777" w:rsidR="001A389E" w:rsidRPr="001A389E" w:rsidRDefault="001A389E" w:rsidP="001F3851">
            <w:pPr>
              <w:spacing w:before="120" w:after="120"/>
              <w:rPr>
                <w:rFonts w:ascii="Times New Roman" w:eastAsia="Times New Roman" w:hAnsi="Times New Roman" w:cs="Times New Roman"/>
                <w:color w:val="auto"/>
                <w:sz w:val="24"/>
                <w:szCs w:val="24"/>
              </w:rPr>
            </w:pPr>
            <w:r w:rsidRPr="001A389E">
              <w:rPr>
                <w:rFonts w:ascii="Times New Roman" w:eastAsia="Times New Roman" w:hAnsi="Times New Roman" w:cs="Times New Roman"/>
                <w:b/>
                <w:bCs/>
                <w:color w:val="auto"/>
                <w:sz w:val="24"/>
                <w:szCs w:val="24"/>
              </w:rPr>
              <w:t>Programme</w:t>
            </w:r>
          </w:p>
        </w:tc>
        <w:tc>
          <w:tcPr>
            <w:tcW w:w="0" w:type="auto"/>
            <w:shd w:val="clear" w:color="auto" w:fill="D9D9D9" w:themeFill="background1" w:themeFillShade="D9"/>
            <w:hideMark/>
          </w:tcPr>
          <w:p w14:paraId="2B781E1F" w14:textId="77777777" w:rsidR="001A389E" w:rsidRPr="001A389E" w:rsidRDefault="001A389E" w:rsidP="001F3851">
            <w:pPr>
              <w:spacing w:before="120" w:after="120"/>
              <w:rPr>
                <w:rFonts w:ascii="Times New Roman" w:eastAsia="Times New Roman" w:hAnsi="Times New Roman" w:cs="Times New Roman"/>
                <w:color w:val="auto"/>
                <w:sz w:val="24"/>
                <w:szCs w:val="24"/>
              </w:rPr>
            </w:pPr>
            <w:r w:rsidRPr="001A389E">
              <w:rPr>
                <w:rFonts w:ascii="Times New Roman" w:eastAsia="Times New Roman" w:hAnsi="Times New Roman" w:cs="Times New Roman"/>
                <w:color w:val="auto"/>
                <w:sz w:val="24"/>
                <w:szCs w:val="24"/>
              </w:rPr>
              <w:t>Certificate of Higher Education Skills for the Workplace (Health and Social Care)</w:t>
            </w:r>
          </w:p>
        </w:tc>
      </w:tr>
      <w:tr w:rsidR="001A389E" w:rsidRPr="001A389E" w14:paraId="684102A7" w14:textId="77777777" w:rsidTr="00A07A20">
        <w:tc>
          <w:tcPr>
            <w:tcW w:w="0" w:type="auto"/>
            <w:shd w:val="clear" w:color="auto" w:fill="D9D9D9" w:themeFill="background1" w:themeFillShade="D9"/>
            <w:hideMark/>
          </w:tcPr>
          <w:p w14:paraId="39B5D3E3" w14:textId="77777777" w:rsidR="001A389E" w:rsidRPr="001A389E" w:rsidRDefault="001A389E" w:rsidP="001F3851">
            <w:pPr>
              <w:spacing w:before="120" w:after="120"/>
              <w:rPr>
                <w:rFonts w:ascii="Times New Roman" w:eastAsia="Times New Roman" w:hAnsi="Times New Roman" w:cs="Times New Roman"/>
                <w:color w:val="auto"/>
                <w:sz w:val="24"/>
                <w:szCs w:val="24"/>
              </w:rPr>
            </w:pPr>
            <w:r w:rsidRPr="001A389E">
              <w:rPr>
                <w:rFonts w:ascii="Times New Roman" w:eastAsia="Times New Roman" w:hAnsi="Times New Roman" w:cs="Times New Roman"/>
                <w:b/>
                <w:bCs/>
                <w:color w:val="auto"/>
                <w:sz w:val="24"/>
                <w:szCs w:val="24"/>
              </w:rPr>
              <w:t>Module code</w:t>
            </w:r>
          </w:p>
        </w:tc>
        <w:tc>
          <w:tcPr>
            <w:tcW w:w="0" w:type="auto"/>
            <w:shd w:val="clear" w:color="auto" w:fill="D9D9D9" w:themeFill="background1" w:themeFillShade="D9"/>
            <w:hideMark/>
          </w:tcPr>
          <w:p w14:paraId="0F8E7C3E" w14:textId="77777777" w:rsidR="001A389E" w:rsidRPr="001A389E" w:rsidRDefault="001A389E" w:rsidP="001F3851">
            <w:pPr>
              <w:spacing w:before="120" w:after="120"/>
              <w:rPr>
                <w:rFonts w:ascii="Times New Roman" w:eastAsia="Times New Roman" w:hAnsi="Times New Roman" w:cs="Times New Roman"/>
                <w:color w:val="auto"/>
                <w:sz w:val="24"/>
                <w:szCs w:val="24"/>
              </w:rPr>
            </w:pPr>
            <w:r w:rsidRPr="001A389E">
              <w:rPr>
                <w:rFonts w:ascii="Times New Roman" w:eastAsia="Times New Roman" w:hAnsi="Times New Roman" w:cs="Times New Roman"/>
                <w:color w:val="auto"/>
                <w:sz w:val="24"/>
                <w:szCs w:val="24"/>
              </w:rPr>
              <w:t>LCHS4003</w:t>
            </w:r>
          </w:p>
        </w:tc>
      </w:tr>
      <w:tr w:rsidR="001A389E" w:rsidRPr="001A389E" w14:paraId="2A0BB9BB" w14:textId="77777777" w:rsidTr="00A07A20">
        <w:tc>
          <w:tcPr>
            <w:tcW w:w="0" w:type="auto"/>
            <w:shd w:val="clear" w:color="auto" w:fill="D9D9D9" w:themeFill="background1" w:themeFillShade="D9"/>
            <w:hideMark/>
          </w:tcPr>
          <w:p w14:paraId="210FC059" w14:textId="77777777" w:rsidR="001A389E" w:rsidRPr="001A389E" w:rsidRDefault="001A389E" w:rsidP="001F3851">
            <w:pPr>
              <w:spacing w:before="120" w:after="120"/>
              <w:rPr>
                <w:rFonts w:ascii="Times New Roman" w:eastAsia="Times New Roman" w:hAnsi="Times New Roman" w:cs="Times New Roman"/>
                <w:color w:val="auto"/>
                <w:sz w:val="24"/>
                <w:szCs w:val="24"/>
              </w:rPr>
            </w:pPr>
            <w:r w:rsidRPr="001A389E">
              <w:rPr>
                <w:rFonts w:ascii="Times New Roman" w:eastAsia="Times New Roman" w:hAnsi="Times New Roman" w:cs="Times New Roman"/>
                <w:b/>
                <w:bCs/>
                <w:color w:val="auto"/>
                <w:sz w:val="24"/>
                <w:szCs w:val="24"/>
              </w:rPr>
              <w:t>Module title</w:t>
            </w:r>
          </w:p>
        </w:tc>
        <w:tc>
          <w:tcPr>
            <w:tcW w:w="0" w:type="auto"/>
            <w:shd w:val="clear" w:color="auto" w:fill="D9D9D9" w:themeFill="background1" w:themeFillShade="D9"/>
            <w:hideMark/>
          </w:tcPr>
          <w:p w14:paraId="7452DD96" w14:textId="77777777" w:rsidR="001A389E" w:rsidRPr="001A389E" w:rsidRDefault="001A389E" w:rsidP="001F3851">
            <w:pPr>
              <w:spacing w:before="120" w:after="120"/>
              <w:rPr>
                <w:rFonts w:ascii="Times New Roman" w:eastAsia="Times New Roman" w:hAnsi="Times New Roman" w:cs="Times New Roman"/>
                <w:color w:val="auto"/>
                <w:sz w:val="24"/>
                <w:szCs w:val="24"/>
              </w:rPr>
            </w:pPr>
            <w:r w:rsidRPr="001A389E">
              <w:rPr>
                <w:rFonts w:ascii="Times New Roman" w:eastAsia="Times New Roman" w:hAnsi="Times New Roman" w:cs="Times New Roman"/>
                <w:color w:val="auto"/>
                <w:sz w:val="24"/>
                <w:szCs w:val="24"/>
              </w:rPr>
              <w:t>Introduction to Health and Social Care</w:t>
            </w:r>
          </w:p>
        </w:tc>
      </w:tr>
      <w:tr w:rsidR="001A389E" w:rsidRPr="001A389E" w14:paraId="22E846E4" w14:textId="77777777" w:rsidTr="00A07A20">
        <w:tc>
          <w:tcPr>
            <w:tcW w:w="0" w:type="auto"/>
            <w:shd w:val="clear" w:color="auto" w:fill="D9D9D9" w:themeFill="background1" w:themeFillShade="D9"/>
            <w:hideMark/>
          </w:tcPr>
          <w:p w14:paraId="1EE106B0" w14:textId="77777777" w:rsidR="001A389E" w:rsidRPr="001A389E" w:rsidRDefault="001A389E" w:rsidP="001F3851">
            <w:pPr>
              <w:spacing w:before="120" w:after="120"/>
              <w:rPr>
                <w:rFonts w:ascii="Times New Roman" w:eastAsia="Times New Roman" w:hAnsi="Times New Roman" w:cs="Times New Roman"/>
                <w:color w:val="auto"/>
                <w:sz w:val="24"/>
                <w:szCs w:val="24"/>
              </w:rPr>
            </w:pPr>
            <w:r w:rsidRPr="001A389E">
              <w:rPr>
                <w:rFonts w:ascii="Times New Roman" w:eastAsia="Times New Roman" w:hAnsi="Times New Roman" w:cs="Times New Roman"/>
                <w:b/>
                <w:bCs/>
                <w:color w:val="auto"/>
                <w:sz w:val="24"/>
                <w:szCs w:val="24"/>
              </w:rPr>
              <w:t>Lecturer</w:t>
            </w:r>
          </w:p>
        </w:tc>
        <w:tc>
          <w:tcPr>
            <w:tcW w:w="0" w:type="auto"/>
            <w:shd w:val="clear" w:color="auto" w:fill="D9D9D9" w:themeFill="background1" w:themeFillShade="D9"/>
            <w:hideMark/>
          </w:tcPr>
          <w:p w14:paraId="39CA59EA" w14:textId="243E03C7" w:rsidR="001A389E" w:rsidRPr="001A389E" w:rsidRDefault="001A389E" w:rsidP="001F3851">
            <w:pPr>
              <w:spacing w:before="120" w:after="120"/>
              <w:rPr>
                <w:rFonts w:ascii="Times New Roman" w:eastAsia="Times New Roman" w:hAnsi="Times New Roman" w:cs="Times New Roman"/>
                <w:color w:val="auto"/>
                <w:sz w:val="24"/>
                <w:szCs w:val="24"/>
              </w:rPr>
            </w:pPr>
            <w:r w:rsidRPr="001A389E">
              <w:rPr>
                <w:rFonts w:ascii="Times New Roman" w:eastAsia="Times New Roman" w:hAnsi="Times New Roman" w:cs="Times New Roman"/>
                <w:color w:val="auto"/>
                <w:sz w:val="24"/>
                <w:szCs w:val="24"/>
              </w:rPr>
              <w:t xml:space="preserve">Dr </w:t>
            </w:r>
            <w:r w:rsidR="00A44521">
              <w:rPr>
                <w:rFonts w:ascii="Times New Roman" w:eastAsia="Times New Roman" w:hAnsi="Times New Roman" w:cs="Times New Roman"/>
                <w:color w:val="auto"/>
                <w:sz w:val="24"/>
                <w:szCs w:val="24"/>
              </w:rPr>
              <w:t>Jane Ngrari</w:t>
            </w:r>
          </w:p>
        </w:tc>
      </w:tr>
      <w:tr w:rsidR="001A389E" w:rsidRPr="001A389E" w14:paraId="787875E5" w14:textId="77777777" w:rsidTr="00A07A20">
        <w:tc>
          <w:tcPr>
            <w:tcW w:w="0" w:type="auto"/>
            <w:shd w:val="clear" w:color="auto" w:fill="D9D9D9" w:themeFill="background1" w:themeFillShade="D9"/>
            <w:hideMark/>
          </w:tcPr>
          <w:p w14:paraId="43F46D59" w14:textId="77777777" w:rsidR="001A389E" w:rsidRPr="001A389E" w:rsidRDefault="001A389E" w:rsidP="001F3851">
            <w:pPr>
              <w:spacing w:before="120" w:after="120"/>
              <w:rPr>
                <w:rFonts w:ascii="Times New Roman" w:eastAsia="Times New Roman" w:hAnsi="Times New Roman" w:cs="Times New Roman"/>
                <w:color w:val="auto"/>
                <w:sz w:val="24"/>
                <w:szCs w:val="24"/>
              </w:rPr>
            </w:pPr>
            <w:r w:rsidRPr="001A389E">
              <w:rPr>
                <w:rFonts w:ascii="Times New Roman" w:eastAsia="Times New Roman" w:hAnsi="Times New Roman" w:cs="Times New Roman"/>
                <w:b/>
                <w:bCs/>
                <w:color w:val="auto"/>
                <w:sz w:val="24"/>
                <w:szCs w:val="24"/>
              </w:rPr>
              <w:t>Assignment title</w:t>
            </w:r>
          </w:p>
        </w:tc>
        <w:tc>
          <w:tcPr>
            <w:tcW w:w="0" w:type="auto"/>
            <w:shd w:val="clear" w:color="auto" w:fill="D9D9D9" w:themeFill="background1" w:themeFillShade="D9"/>
            <w:hideMark/>
          </w:tcPr>
          <w:p w14:paraId="1313C4FA" w14:textId="77777777" w:rsidR="001A389E" w:rsidRPr="001A389E" w:rsidRDefault="001A389E" w:rsidP="001F3851">
            <w:pPr>
              <w:spacing w:before="120" w:after="120"/>
              <w:rPr>
                <w:rFonts w:ascii="Times New Roman" w:eastAsia="Times New Roman" w:hAnsi="Times New Roman" w:cs="Times New Roman"/>
                <w:color w:val="auto"/>
                <w:sz w:val="24"/>
                <w:szCs w:val="24"/>
              </w:rPr>
            </w:pPr>
            <w:r w:rsidRPr="001A389E">
              <w:rPr>
                <w:rFonts w:ascii="Times New Roman" w:eastAsia="Times New Roman" w:hAnsi="Times New Roman" w:cs="Times New Roman"/>
                <w:color w:val="auto"/>
                <w:sz w:val="24"/>
                <w:szCs w:val="24"/>
              </w:rPr>
              <w:t>Component 1 Portfolio Mini Report and Essay</w:t>
            </w:r>
          </w:p>
        </w:tc>
      </w:tr>
      <w:tr w:rsidR="001A389E" w:rsidRPr="001A389E" w14:paraId="11C002D4" w14:textId="77777777" w:rsidTr="00A07A20">
        <w:tc>
          <w:tcPr>
            <w:tcW w:w="0" w:type="auto"/>
            <w:shd w:val="clear" w:color="auto" w:fill="D9D9D9" w:themeFill="background1" w:themeFillShade="D9"/>
            <w:hideMark/>
          </w:tcPr>
          <w:p w14:paraId="404FD28B" w14:textId="77777777" w:rsidR="001A389E" w:rsidRPr="001A389E" w:rsidRDefault="001A389E" w:rsidP="001F3851">
            <w:pPr>
              <w:spacing w:before="120" w:after="120"/>
              <w:rPr>
                <w:rFonts w:ascii="Times New Roman" w:eastAsia="Times New Roman" w:hAnsi="Times New Roman" w:cs="Times New Roman"/>
                <w:color w:val="auto"/>
                <w:sz w:val="24"/>
                <w:szCs w:val="24"/>
              </w:rPr>
            </w:pPr>
            <w:r w:rsidRPr="001A389E">
              <w:rPr>
                <w:rFonts w:ascii="Times New Roman" w:eastAsia="Times New Roman" w:hAnsi="Times New Roman" w:cs="Times New Roman"/>
                <w:b/>
                <w:bCs/>
                <w:color w:val="auto"/>
                <w:sz w:val="24"/>
                <w:szCs w:val="24"/>
              </w:rPr>
              <w:t>Assessment brief</w:t>
            </w:r>
          </w:p>
        </w:tc>
        <w:tc>
          <w:tcPr>
            <w:tcW w:w="0" w:type="auto"/>
            <w:shd w:val="clear" w:color="auto" w:fill="D9D9D9" w:themeFill="background1" w:themeFillShade="D9"/>
            <w:hideMark/>
          </w:tcPr>
          <w:p w14:paraId="514CFE2E" w14:textId="77777777" w:rsidR="001A389E" w:rsidRPr="001A389E" w:rsidRDefault="001A389E" w:rsidP="001F3851">
            <w:pPr>
              <w:spacing w:before="120" w:after="120"/>
              <w:rPr>
                <w:rFonts w:ascii="Times New Roman" w:eastAsia="Times New Roman" w:hAnsi="Times New Roman" w:cs="Times New Roman"/>
                <w:color w:val="auto"/>
                <w:sz w:val="24"/>
                <w:szCs w:val="24"/>
              </w:rPr>
            </w:pPr>
            <w:r w:rsidRPr="001A389E">
              <w:rPr>
                <w:rFonts w:ascii="Times New Roman" w:eastAsia="Times New Roman" w:hAnsi="Times New Roman" w:cs="Times New Roman"/>
                <w:color w:val="auto"/>
                <w:sz w:val="24"/>
                <w:szCs w:val="24"/>
              </w:rPr>
              <w:t>September 2026</w:t>
            </w:r>
          </w:p>
        </w:tc>
      </w:tr>
      <w:tr w:rsidR="001A389E" w:rsidRPr="001A389E" w14:paraId="42D745B1" w14:textId="77777777" w:rsidTr="00A07A20">
        <w:tc>
          <w:tcPr>
            <w:tcW w:w="0" w:type="auto"/>
            <w:shd w:val="clear" w:color="auto" w:fill="D9D9D9" w:themeFill="background1" w:themeFillShade="D9"/>
            <w:hideMark/>
          </w:tcPr>
          <w:p w14:paraId="0E3949DF" w14:textId="77777777" w:rsidR="001A389E" w:rsidRPr="001A389E" w:rsidRDefault="001A389E" w:rsidP="001F3851">
            <w:pPr>
              <w:spacing w:before="120" w:after="120"/>
              <w:rPr>
                <w:rFonts w:ascii="Times New Roman" w:eastAsia="Times New Roman" w:hAnsi="Times New Roman" w:cs="Times New Roman"/>
                <w:color w:val="auto"/>
                <w:sz w:val="24"/>
                <w:szCs w:val="24"/>
              </w:rPr>
            </w:pPr>
            <w:r w:rsidRPr="001A389E">
              <w:rPr>
                <w:rFonts w:ascii="Times New Roman" w:eastAsia="Times New Roman" w:hAnsi="Times New Roman" w:cs="Times New Roman"/>
                <w:b/>
                <w:bCs/>
                <w:color w:val="auto"/>
                <w:sz w:val="24"/>
                <w:szCs w:val="24"/>
              </w:rPr>
              <w:t>Date</w:t>
            </w:r>
          </w:p>
        </w:tc>
        <w:tc>
          <w:tcPr>
            <w:tcW w:w="0" w:type="auto"/>
            <w:shd w:val="clear" w:color="auto" w:fill="D9D9D9" w:themeFill="background1" w:themeFillShade="D9"/>
            <w:hideMark/>
          </w:tcPr>
          <w:p w14:paraId="46D3B518" w14:textId="77777777" w:rsidR="001A389E" w:rsidRPr="001A389E" w:rsidRDefault="001A389E" w:rsidP="001F3851">
            <w:pPr>
              <w:spacing w:before="120" w:after="120"/>
              <w:rPr>
                <w:rFonts w:ascii="Times New Roman" w:eastAsia="Times New Roman" w:hAnsi="Times New Roman" w:cs="Times New Roman"/>
                <w:color w:val="auto"/>
                <w:sz w:val="24"/>
                <w:szCs w:val="24"/>
              </w:rPr>
            </w:pPr>
            <w:r w:rsidRPr="001A389E">
              <w:rPr>
                <w:rFonts w:ascii="Times New Roman" w:eastAsia="Times New Roman" w:hAnsi="Times New Roman" w:cs="Times New Roman"/>
                <w:color w:val="auto"/>
                <w:sz w:val="24"/>
                <w:szCs w:val="24"/>
              </w:rPr>
              <w:t>8 October 2026</w:t>
            </w:r>
          </w:p>
        </w:tc>
      </w:tr>
    </w:tbl>
    <w:p w14:paraId="57996753" w14:textId="77777777" w:rsidR="00F3035D" w:rsidRPr="003F362B" w:rsidRDefault="00F3035D" w:rsidP="001F3851">
      <w:pPr>
        <w:spacing w:before="120" w:after="120"/>
        <w:jc w:val="both"/>
      </w:pPr>
    </w:p>
    <w:p w14:paraId="331DB4B1" w14:textId="77777777" w:rsidR="00F3035D" w:rsidRPr="003F362B" w:rsidRDefault="00B03E03" w:rsidP="00D416B7">
      <w:pPr>
        <w:pStyle w:val="Heading1"/>
      </w:pPr>
      <w:r w:rsidRPr="003F362B">
        <w:lastRenderedPageBreak/>
        <w:t>Task 1 Mini report</w:t>
      </w:r>
    </w:p>
    <w:p w14:paraId="15A9C677" w14:textId="77777777" w:rsidR="00F3035D" w:rsidRPr="003F362B" w:rsidRDefault="00B03E03" w:rsidP="001F3851">
      <w:pPr>
        <w:spacing w:before="120" w:after="120"/>
        <w:jc w:val="both"/>
      </w:pPr>
      <w:r w:rsidRPr="003F362B">
        <w:rPr>
          <w:b/>
        </w:rPr>
        <w:t xml:space="preserve">To: </w:t>
      </w:r>
      <w:r w:rsidRPr="003F362B">
        <w:t>Councillor Nosheen Khalid, Alum Rock Ward, Birmingham City Council</w:t>
      </w:r>
    </w:p>
    <w:p w14:paraId="2D2F86BE" w14:textId="77777777" w:rsidR="00F3035D" w:rsidRPr="003F362B" w:rsidRDefault="00B03E03" w:rsidP="001F3851">
      <w:pPr>
        <w:spacing w:before="120" w:after="120"/>
        <w:jc w:val="both"/>
      </w:pPr>
      <w:r w:rsidRPr="003F362B">
        <w:rPr>
          <w:b/>
        </w:rPr>
        <w:t xml:space="preserve">Address: </w:t>
      </w:r>
      <w:r w:rsidRPr="003F362B">
        <w:t>Council House, Victoria Square, Birmingham, B1 1BB</w:t>
      </w:r>
    </w:p>
    <w:p w14:paraId="1350F3C1" w14:textId="77777777" w:rsidR="00F3035D" w:rsidRPr="003F362B" w:rsidRDefault="00B03E03" w:rsidP="001F3851">
      <w:pPr>
        <w:spacing w:before="120" w:after="120"/>
        <w:jc w:val="both"/>
      </w:pPr>
      <w:r w:rsidRPr="003F362B">
        <w:rPr>
          <w:b/>
        </w:rPr>
        <w:t xml:space="preserve">Subject: </w:t>
      </w:r>
      <w:r w:rsidRPr="003F362B">
        <w:t>Addressing the shortage of community disability services in Birmingham</w:t>
      </w:r>
    </w:p>
    <w:p w14:paraId="23A3E697" w14:textId="0B937B22" w:rsidR="00F3035D" w:rsidRPr="003F362B" w:rsidRDefault="00B03E03" w:rsidP="001F3851">
      <w:pPr>
        <w:spacing w:before="120" w:after="120"/>
        <w:jc w:val="both"/>
      </w:pPr>
      <w:r w:rsidRPr="003F362B">
        <w:rPr>
          <w:b/>
        </w:rPr>
        <w:t xml:space="preserve">Prepared by: </w:t>
      </w:r>
      <w:r w:rsidR="00A2127C" w:rsidRPr="00A2127C">
        <w:rPr>
          <w:bCs/>
        </w:rPr>
        <w:t>Wasim Sattar</w:t>
      </w:r>
    </w:p>
    <w:p w14:paraId="61D20087" w14:textId="77777777" w:rsidR="00F3035D" w:rsidRPr="003F362B" w:rsidRDefault="00B03E03" w:rsidP="001F3851">
      <w:pPr>
        <w:spacing w:before="120" w:after="120"/>
        <w:jc w:val="both"/>
      </w:pPr>
      <w:r w:rsidRPr="003F362B">
        <w:rPr>
          <w:b/>
        </w:rPr>
        <w:t xml:space="preserve">Date: </w:t>
      </w:r>
      <w:r w:rsidRPr="003F362B">
        <w:t>8 October 2026</w:t>
      </w:r>
    </w:p>
    <w:p w14:paraId="506B146F" w14:textId="77777777" w:rsidR="00F3035D" w:rsidRPr="003F362B" w:rsidRDefault="00B03E03" w:rsidP="001F3851">
      <w:pPr>
        <w:spacing w:before="120" w:after="120"/>
        <w:jc w:val="both"/>
      </w:pPr>
      <w:r w:rsidRPr="003F362B">
        <w:t>Councillor correspondence details (Birmingham City Council, 2026).</w:t>
      </w:r>
    </w:p>
    <w:p w14:paraId="36FBB48D" w14:textId="77777777" w:rsidR="00F3035D" w:rsidRPr="003F362B" w:rsidRDefault="00D416B7" w:rsidP="001F3851">
      <w:pPr>
        <w:pStyle w:val="Heading2"/>
      </w:pPr>
      <w:r>
        <w:t xml:space="preserve">1.1 </w:t>
      </w:r>
      <w:r w:rsidR="00B03E03" w:rsidRPr="003F362B">
        <w:t>Introduction</w:t>
      </w:r>
    </w:p>
    <w:p w14:paraId="714A50F9" w14:textId="77777777" w:rsidR="004E6F1C" w:rsidRPr="003F362B" w:rsidRDefault="00B03E03" w:rsidP="001F3851">
      <w:pPr>
        <w:spacing w:before="120" w:after="120"/>
        <w:jc w:val="both"/>
      </w:pPr>
      <w:r w:rsidRPr="003F362B">
        <w:t xml:space="preserve">Birmingham City Council should expand community disability services to protect disabled adults' independence and prevent avoidable crises. </w:t>
      </w:r>
      <w:r w:rsidR="00CE143D" w:rsidRPr="003F362B">
        <w:t>For the scenario considered, i</w:t>
      </w:r>
      <w:r w:rsidR="004E6F1C" w:rsidRPr="003F362B">
        <w:t>nadequate provision is in relation to adults with physical, sensory or learning disabilities in need of support to enable them in daily life. Community services may involve practical support, accessible activities, provision of equipment and support for those who are unpaid carers. There is no one-size-fits-all approach to support: support must be based on each individual's wishes and needs, not on the assumption that disability equals dependence (Social Care Institute for Excellence, 2015).</w:t>
      </w:r>
    </w:p>
    <w:p w14:paraId="4B1152CC" w14:textId="77777777" w:rsidR="00F3035D" w:rsidRPr="003F362B" w:rsidRDefault="004E6F1C" w:rsidP="001F3851">
      <w:pPr>
        <w:spacing w:before="120" w:after="120"/>
        <w:jc w:val="both"/>
      </w:pPr>
      <w:r w:rsidRPr="003F362B">
        <w:t>The Care Act 2014 section 1 is the underpinning for action. In section 1, the council must ensure that individual wellbeing, such as dignity, control and participation in work, education and recreation are promoted. Therefore, only spending on personal care is insufficient. Section 2 is where action is needed to prevent the need for care, or minimise or postpone it, and investment in community provision needs to happen before it becomes an emergency</w:t>
      </w:r>
      <w:r w:rsidR="005A7715" w:rsidRPr="003F362B">
        <w:t xml:space="preserve"> </w:t>
      </w:r>
      <w:r w:rsidR="00B03E03" w:rsidRPr="003F362B">
        <w:t>(</w:t>
      </w:r>
      <w:r w:rsidR="00B03E03" w:rsidRPr="003F362B">
        <w:rPr>
          <w:i/>
        </w:rPr>
        <w:t>Care Act 2014</w:t>
      </w:r>
      <w:r w:rsidR="00B03E03" w:rsidRPr="003F362B">
        <w:t>, ss. 1-2).</w:t>
      </w:r>
    </w:p>
    <w:p w14:paraId="72A23D24" w14:textId="77777777" w:rsidR="00F3035D" w:rsidRPr="003F362B" w:rsidRDefault="00D416B7" w:rsidP="001F3851">
      <w:pPr>
        <w:pStyle w:val="Heading2"/>
      </w:pPr>
      <w:r>
        <w:t xml:space="preserve">1.2 </w:t>
      </w:r>
      <w:r w:rsidR="00B03E03" w:rsidRPr="003F362B">
        <w:t>Impact on the community</w:t>
      </w:r>
    </w:p>
    <w:p w14:paraId="55107088" w14:textId="77777777" w:rsidR="00675A33" w:rsidRPr="003F362B" w:rsidRDefault="00B03E03" w:rsidP="001F3851">
      <w:pPr>
        <w:spacing w:before="120" w:after="120"/>
        <w:jc w:val="both"/>
      </w:pPr>
      <w:r w:rsidRPr="003F362B">
        <w:t xml:space="preserve">Inadequate support can restrict access to education, employment and social relationships. </w:t>
      </w:r>
      <w:r w:rsidR="00675A33" w:rsidRPr="003F362B">
        <w:t>If you need help getting around, you may not be able to go out as much or do the same activities as before if your support is unavailable. NICE (2018, recommendation 1.1.2) recommends support to help people to stay independent. Where opportunities are lost, even though personal care is not absent, therefore, a shortage has an impact on wellbeing.</w:t>
      </w:r>
    </w:p>
    <w:p w14:paraId="72BA0551" w14:textId="77777777" w:rsidR="00675A33" w:rsidRPr="003F362B" w:rsidRDefault="00675A33" w:rsidP="001F3851">
      <w:pPr>
        <w:spacing w:before="120" w:after="120"/>
        <w:jc w:val="both"/>
      </w:pPr>
      <w:r w:rsidRPr="003F362B">
        <w:t>Targeted action is supported by local evidence. Birmingham's May 2026 assessment indicated delays in assessments and reviews as well as gaps in specialist provision, including out of hours support for people with learning disabilities and autistic people. The council was rated overall as 'Good', so these findings don't suggest widespread failure, but warrant boosting identified weaknesses (Care Quality Commission, 2026).</w:t>
      </w:r>
    </w:p>
    <w:p w14:paraId="656AF48D" w14:textId="77777777" w:rsidR="00F3035D" w:rsidRPr="003F362B" w:rsidRDefault="00675A33" w:rsidP="001F3851">
      <w:pPr>
        <w:spacing w:before="120" w:after="120"/>
        <w:jc w:val="both"/>
      </w:pPr>
      <w:r w:rsidRPr="003F362B">
        <w:lastRenderedPageBreak/>
        <w:t>Unpaid family members may take on extra duties, which can impact their health and job. Where a carer seems to need support, this must be assessed in Section 10. In a similar way, section 9 involves an evaluation of an adult's apparent care needs that take no account of their financial circumstances. Assessment is not eligibility or free services: eligibility and financial contribution are separate</w:t>
      </w:r>
      <w:r w:rsidR="00A232BA" w:rsidRPr="003F362B">
        <w:t xml:space="preserve"> </w:t>
      </w:r>
      <w:r w:rsidR="00B03E03" w:rsidRPr="003F362B">
        <w:t>(</w:t>
      </w:r>
      <w:r w:rsidR="00B03E03" w:rsidRPr="003F362B">
        <w:rPr>
          <w:i/>
        </w:rPr>
        <w:t>Care Act 2014</w:t>
      </w:r>
      <w:r w:rsidR="00B03E03" w:rsidRPr="003F362B">
        <w:t>, ss. 9-10; Department of Health and Social Care, 2025, chapter 6). National workforce pressures also constrain expansion: England's adult social care vacancy rate was 7% in 2024/25 (Skills for Care, 2025).</w:t>
      </w:r>
    </w:p>
    <w:p w14:paraId="5334B670" w14:textId="77777777" w:rsidR="00F3035D" w:rsidRPr="003F362B" w:rsidRDefault="00D416B7" w:rsidP="001F3851">
      <w:pPr>
        <w:pStyle w:val="Heading2"/>
      </w:pPr>
      <w:r>
        <w:t xml:space="preserve">1.3 </w:t>
      </w:r>
      <w:r w:rsidR="00B03E03" w:rsidRPr="003F362B">
        <w:t>Recommendations</w:t>
      </w:r>
    </w:p>
    <w:p w14:paraId="2847D223" w14:textId="77777777" w:rsidR="00A95D72" w:rsidRPr="003F362B" w:rsidRDefault="00B03E03" w:rsidP="001F3851">
      <w:pPr>
        <w:spacing w:before="120" w:after="120"/>
        <w:jc w:val="both"/>
      </w:pPr>
      <w:r w:rsidRPr="003F362B">
        <w:t xml:space="preserve">Within three months, the council should map waiting lists and specialist capacity by neighbourhood, consulting disabled residents and carers. </w:t>
      </w:r>
      <w:r w:rsidR="00A95D72" w:rsidRPr="003F362B">
        <w:t xml:space="preserve">Assessment teams to focus on immediate risks and provide regular contact and interim support. Timely provision is a statutory duty under Section 18 of the Care Act </w:t>
      </w:r>
      <w:r w:rsidR="0034469A" w:rsidRPr="003F362B">
        <w:t>2014 (</w:t>
      </w:r>
      <w:r w:rsidR="007B2843" w:rsidRPr="003F362B">
        <w:t>Care Act 2014, s. 18).</w:t>
      </w:r>
    </w:p>
    <w:p w14:paraId="66554E52" w14:textId="77777777" w:rsidR="00A95D72" w:rsidRPr="003F362B" w:rsidRDefault="00A95D72" w:rsidP="001F3851">
      <w:pPr>
        <w:spacing w:before="120" w:after="120"/>
        <w:jc w:val="both"/>
      </w:pPr>
      <w:r w:rsidRPr="003F362B">
        <w:t xml:space="preserve">Pilots over 6 months to increase the number of accessible activities and increased flexible support in existing community venues. Accessible communication and transport should be incorporated as without further locations access barriers will not be eliminated. Services to be designed with disabled people's organisations in line with NICE guidance on involvement and equality </w:t>
      </w:r>
      <w:r w:rsidR="000C62D7" w:rsidRPr="003F362B">
        <w:t>(NICE, 2018, sections 1.1-1.2)</w:t>
      </w:r>
      <w:r w:rsidRPr="003F362B">
        <w:t>.</w:t>
      </w:r>
    </w:p>
    <w:p w14:paraId="71AA962C" w14:textId="77777777" w:rsidR="00500BAB" w:rsidRPr="003F362B" w:rsidRDefault="00A95D72" w:rsidP="001F3851">
      <w:pPr>
        <w:spacing w:before="120" w:after="120"/>
        <w:jc w:val="both"/>
      </w:pPr>
      <w:r w:rsidRPr="003F362B">
        <w:t>Commissioners should try out sustainable contract prices and demand plans for recruitment, supervision and disability specific training from providers. This helps to overcome workforce issues and meets the need of section 5 of the Care Act 2014 to encourage provision of diverse, quality provision</w:t>
      </w:r>
      <w:r w:rsidR="00500BAB" w:rsidRPr="003F362B">
        <w:t xml:space="preserve"> (Care Act 2014, s. 5; Skills for Care, 2025).</w:t>
      </w:r>
    </w:p>
    <w:p w14:paraId="385015E3" w14:textId="77777777" w:rsidR="00F3035D" w:rsidRPr="003F362B" w:rsidRDefault="00A95D72" w:rsidP="001F3851">
      <w:pPr>
        <w:spacing w:before="120" w:after="120"/>
        <w:jc w:val="both"/>
      </w:pPr>
      <w:r w:rsidRPr="003F362B">
        <w:t>Care plans should document individual goals and provide for appropriate choice (including direct payments if appropriate). Equipment, rehab and community support to be coordinated through existing NHS/council partnership</w:t>
      </w:r>
      <w:r w:rsidR="00B03E03" w:rsidRPr="003F362B">
        <w:t>. A costed pilot and evaluation would support expansion decisions without assuming unproven savings (Department of Health and Social Care, 2025, chapters 10-12).</w:t>
      </w:r>
    </w:p>
    <w:p w14:paraId="736481B3" w14:textId="77777777" w:rsidR="00F3035D" w:rsidRPr="003F362B" w:rsidRDefault="00D416B7" w:rsidP="001F3851">
      <w:pPr>
        <w:pStyle w:val="Heading2"/>
      </w:pPr>
      <w:r>
        <w:t xml:space="preserve">1.4 </w:t>
      </w:r>
      <w:r w:rsidR="00B03E03" w:rsidRPr="003F362B">
        <w:t>Conclusion</w:t>
      </w:r>
    </w:p>
    <w:p w14:paraId="71D0A0DE" w14:textId="77777777" w:rsidR="00A07685" w:rsidRPr="003F362B" w:rsidRDefault="007E0DDC" w:rsidP="001F3851">
      <w:pPr>
        <w:spacing w:before="120" w:after="120"/>
        <w:jc w:val="both"/>
        <w:rPr>
          <w:b/>
          <w:bCs/>
        </w:rPr>
      </w:pPr>
      <w:r w:rsidRPr="003F362B">
        <w:t xml:space="preserve">The proposed response addresses the Care Act's wellbeing and prevention responsibilities and links to actual change for Birmingham residents. Having more access should help disabled adults to maintain relationships and achieve their own objectives and lessen pressure on unpaid carers. Provision should first be focused on known delays and specialist deficits and residents should be engaged in the process of assessing whether provision enhances their lives. The </w:t>
      </w:r>
      <w:r w:rsidR="003B0E91" w:rsidRPr="003F362B">
        <w:t>councilor</w:t>
      </w:r>
      <w:r w:rsidRPr="003F362B">
        <w:t xml:space="preserve"> should therefore request a costed implementation plan, responsibility for implementation, and regular </w:t>
      </w:r>
      <w:r w:rsidRPr="003F362B">
        <w:lastRenderedPageBreak/>
        <w:t>monitoring of results before granting permission for any further rollout, as well as ensure equitable access to the neighbourhoods.</w:t>
      </w:r>
    </w:p>
    <w:p w14:paraId="6BB853C4" w14:textId="77777777" w:rsidR="00F3035D" w:rsidRPr="00D416B7" w:rsidRDefault="00B03E03" w:rsidP="00D416B7">
      <w:pPr>
        <w:pStyle w:val="Heading1"/>
      </w:pPr>
      <w:r w:rsidRPr="00D416B7">
        <w:lastRenderedPageBreak/>
        <w:t>Task 2 Essay</w:t>
      </w:r>
      <w:r w:rsidR="00FC6623" w:rsidRPr="00D416B7">
        <w:t xml:space="preserve"> - </w:t>
      </w:r>
      <w:r w:rsidRPr="00D416B7">
        <w:t>Ambulance services in England</w:t>
      </w:r>
    </w:p>
    <w:p w14:paraId="19726E6E" w14:textId="77777777" w:rsidR="00F3035D" w:rsidRPr="003F362B" w:rsidRDefault="00D416B7" w:rsidP="001F3851">
      <w:pPr>
        <w:pStyle w:val="Heading2"/>
      </w:pPr>
      <w:r>
        <w:t xml:space="preserve">2.1 </w:t>
      </w:r>
      <w:r w:rsidR="00B03E03" w:rsidRPr="003F362B">
        <w:t>Introduction</w:t>
      </w:r>
    </w:p>
    <w:p w14:paraId="56033EE9" w14:textId="77777777" w:rsidR="007814C2" w:rsidRPr="003F362B" w:rsidRDefault="00B03E03" w:rsidP="001F3851">
      <w:pPr>
        <w:spacing w:before="120" w:after="120"/>
        <w:jc w:val="both"/>
      </w:pPr>
      <w:r w:rsidRPr="003F362B">
        <w:t xml:space="preserve">Ambulance services in England provide assessment, emergency treatment and transport when people experience serious illness or injury. </w:t>
      </w:r>
      <w:r w:rsidR="007814C2" w:rsidRPr="003F362B">
        <w:t xml:space="preserve">Their role in improving quality of life extends to conserving lives and preventing disability, as well as providing adequate care for appropriate patients without the need for unnecessary hospital visits. The NHS (2023) should be used for life-threatening emergencies: call handlers will try to determine what the issue is and may instruct the caller on first aid or arrange a suitable response. </w:t>
      </w:r>
      <w:r w:rsidR="00BB3188" w:rsidRPr="003F362B">
        <w:t>So,</w:t>
      </w:r>
      <w:r w:rsidR="007814C2" w:rsidRPr="003F362B">
        <w:t xml:space="preserve"> an ambulance is one potential solution to a call, rather than a right.</w:t>
      </w:r>
    </w:p>
    <w:p w14:paraId="55915F63" w14:textId="77777777" w:rsidR="00F3035D" w:rsidRPr="003F362B" w:rsidRDefault="007814C2" w:rsidP="001F3851">
      <w:pPr>
        <w:spacing w:before="120" w:after="120"/>
        <w:jc w:val="both"/>
      </w:pPr>
      <w:r w:rsidRPr="003F362B">
        <w:t>These services came from transport and have evolved into the provision of urgent and emergency care. This is a sign of the public's responsibility with respect to access, medical technology, and growing professional competence. They are effective if treatment is good and triage and cooperation with hospitals and community services is correct. Assessing ambulance care therefore should involve consideration of outcomes and access as well as response times, as elsewhere there may be pressure on crews to be unavailable</w:t>
      </w:r>
      <w:r w:rsidR="00B03E03" w:rsidRPr="003F362B">
        <w:t>.</w:t>
      </w:r>
    </w:p>
    <w:p w14:paraId="450544A3" w14:textId="77777777" w:rsidR="00F3035D" w:rsidRPr="003F362B" w:rsidRDefault="00D416B7" w:rsidP="001F3851">
      <w:pPr>
        <w:pStyle w:val="Heading2"/>
      </w:pPr>
      <w:r>
        <w:t xml:space="preserve">2.2 </w:t>
      </w:r>
      <w:r w:rsidR="00B03E03" w:rsidRPr="003F362B">
        <w:t>Historical context and current function</w:t>
      </w:r>
    </w:p>
    <w:p w14:paraId="7626FBBA" w14:textId="77777777" w:rsidR="00073AB3" w:rsidRPr="003F362B" w:rsidRDefault="00B03E03" w:rsidP="001F3851">
      <w:pPr>
        <w:spacing w:before="120" w:after="120"/>
        <w:jc w:val="both"/>
      </w:pPr>
      <w:r w:rsidRPr="003F362B">
        <w:t xml:space="preserve">London illustrates early development. </w:t>
      </w:r>
      <w:r w:rsidR="00073AB3" w:rsidRPr="003F362B">
        <w:t xml:space="preserve">Wheeled stretchers were used by police, firemen and others in the 1890s to take injured people away, and later motorised ambulances increased the mobility. The post war reform in the form of the National Health Service Act 1946 brought with it a need for ambulance services to be made available to those who require them. London services merged in 1965 and in the 1970s, transfer from council control to the NHS took place (London Ambulance Service NHS Trust, </w:t>
      </w:r>
      <w:r w:rsidR="00970A0A" w:rsidRPr="003F362B">
        <w:t>2026</w:t>
      </w:r>
      <w:r w:rsidR="00073AB3" w:rsidRPr="003F362B">
        <w:t>). These changes led to an increase in the organisation and linkage of provision of emergency transport services to the wider health system.</w:t>
      </w:r>
    </w:p>
    <w:p w14:paraId="5093F898" w14:textId="77777777" w:rsidR="00073AB3" w:rsidRPr="003F362B" w:rsidRDefault="00F17AEF" w:rsidP="001F3851">
      <w:pPr>
        <w:spacing w:before="120" w:after="120"/>
        <w:jc w:val="both"/>
      </w:pPr>
      <w:r w:rsidRPr="003F362B">
        <w:t>During the 1980s, defibrillators and computerised control rooms expanded treatment and dispatch capabilities</w:t>
      </w:r>
      <w:r w:rsidR="00073AB3" w:rsidRPr="003F362B">
        <w:t xml:space="preserve">. This allowed for intervention prior to hospital arrival and therefore for ambulance crews to have a larger involvement in preventing deterioration (London Ambulance Service NHS Trust, </w:t>
      </w:r>
      <w:r w:rsidR="00014FF4" w:rsidRPr="003F362B">
        <w:t>2026</w:t>
      </w:r>
      <w:r w:rsidR="00073AB3" w:rsidRPr="003F362B">
        <w:t xml:space="preserve">). Current standards reflect the idea of professionalisation, such as assessment of patients, exercise of professional judgement and working with other health professionals </w:t>
      </w:r>
      <w:r w:rsidR="003D5265" w:rsidRPr="003F362B">
        <w:t>(Health and Care Professions Council, 2023, standards 4 and 12-13</w:t>
      </w:r>
      <w:r w:rsidR="00073AB3" w:rsidRPr="003F362B">
        <w:t>).</w:t>
      </w:r>
    </w:p>
    <w:p w14:paraId="57B4B9F5" w14:textId="77777777" w:rsidR="00F3035D" w:rsidRPr="003F362B" w:rsidRDefault="000B7E32" w:rsidP="001F3851">
      <w:pPr>
        <w:spacing w:before="120" w:after="120"/>
        <w:jc w:val="both"/>
      </w:pPr>
      <w:r w:rsidRPr="003F362B">
        <w:t>Today, NHS ambulance organisations operate control rooms and deploy crews according to clinical urgency</w:t>
      </w:r>
      <w:r w:rsidR="00073AB3" w:rsidRPr="003F362B">
        <w:t xml:space="preserve">. Four response categories have been introduced by the Ambulance Response Programme in 2017, with the most seriously ill being the highest priority (NHS England, </w:t>
      </w:r>
      <w:r w:rsidR="00F2179B">
        <w:t>2026</w:t>
      </w:r>
      <w:r w:rsidR="00073AB3" w:rsidRPr="003F362B">
        <w:t xml:space="preserve">). The patient can be given telephone advice, treated on site, referred or transported to hospital. </w:t>
      </w:r>
      <w:r w:rsidR="00073AB3" w:rsidRPr="003F362B">
        <w:lastRenderedPageBreak/>
        <w:t>This can be a way to match resources to need as long as it is backed up with safe alternatives that have reliable follow up services</w:t>
      </w:r>
      <w:r w:rsidR="00B03E03" w:rsidRPr="003F362B">
        <w:t>.</w:t>
      </w:r>
    </w:p>
    <w:p w14:paraId="4B4EC492" w14:textId="77777777" w:rsidR="00F3035D" w:rsidRPr="003F362B" w:rsidRDefault="00D416B7" w:rsidP="001F3851">
      <w:pPr>
        <w:pStyle w:val="Heading2"/>
      </w:pPr>
      <w:r>
        <w:t xml:space="preserve">2.3 </w:t>
      </w:r>
      <w:r w:rsidR="00B03E03" w:rsidRPr="003F362B">
        <w:t>Critical evaluation and significance for service users</w:t>
      </w:r>
    </w:p>
    <w:p w14:paraId="27D7E357" w14:textId="77777777" w:rsidR="00AC5477" w:rsidRPr="003F362B" w:rsidRDefault="00B03E03" w:rsidP="001F3851">
      <w:pPr>
        <w:spacing w:before="120" w:after="120"/>
        <w:jc w:val="both"/>
      </w:pPr>
      <w:r w:rsidRPr="003F362B">
        <w:t xml:space="preserve">A major strength is bringing skilled care to people who cannot safely reach hospital themselves. </w:t>
      </w:r>
      <w:r w:rsidR="00AC5477" w:rsidRPr="003F362B">
        <w:t>Early evaluation and treatment can minimise deterioration and reassurance and clear explanations can help patients and relatives when distressed. Community treatment can also preserve independence. Mason et al. (2007) reported reduced attendances to the emergency department and hospital admissions, and increased levels of satisfaction among older persons managed by extended-skill paramedic practitioners as compared to those managed with standard paramedic services. The earlier test, however, was of a limited subset of minor ailments in one city; it did not conclude that this would be the case for all emergencies.</w:t>
      </w:r>
    </w:p>
    <w:p w14:paraId="20395354" w14:textId="77777777" w:rsidR="00AC5477" w:rsidRPr="003F362B" w:rsidRDefault="00FC4FEE" w:rsidP="001F3851">
      <w:pPr>
        <w:spacing w:before="120" w:after="120"/>
        <w:jc w:val="both"/>
      </w:pPr>
      <w:r w:rsidRPr="003F362B">
        <w:t>Current capacity limits these benefits</w:t>
      </w:r>
      <w:r w:rsidR="00AC5477" w:rsidRPr="003F362B">
        <w:t>. In 2024/25, Care Quality Commission received reports of 13.376 million ambulance control-room contacts, which is a 2.2% increase from 2023/24. The average for category 1 response time was 8 minutes 19 seconds, as compared to a seven-minute standard, though there was some improvement (Care Quality Commission, 2025). Delays like these cause patients to worry about getting in time for treatment.</w:t>
      </w:r>
    </w:p>
    <w:p w14:paraId="523E855F" w14:textId="77777777" w:rsidR="00F3035D" w:rsidRPr="003F362B" w:rsidRDefault="002A3007" w:rsidP="001F3851">
      <w:pPr>
        <w:spacing w:before="120" w:after="120"/>
        <w:jc w:val="both"/>
      </w:pPr>
      <w:r w:rsidRPr="003F362B">
        <w:t>Hospital congestion also holds crews at emergency departments, restricting availability for subsequent calls</w:t>
      </w:r>
      <w:r w:rsidR="00AC5477" w:rsidRPr="003F362B">
        <w:t>. The introduction of more ambulances will not fix any problem if the hospital is not available. This means that coordinated discharge arrangements and reliable pathways within the community are essential for effective improvement (Care Quality Commission, 2025). Safe decisions require consent, assessment and clear referring arrangements in line with professional standards</w:t>
      </w:r>
      <w:r w:rsidR="000D0ACD" w:rsidRPr="003F362B">
        <w:t>,</w:t>
      </w:r>
      <w:r w:rsidR="00AC5477" w:rsidRPr="003F362B">
        <w:t xml:space="preserve"> non-conveyance also transfers clinical responsibility </w:t>
      </w:r>
      <w:r w:rsidR="00B03E03" w:rsidRPr="003F362B">
        <w:t>(Health and Care Professions Council, 2023).</w:t>
      </w:r>
    </w:p>
    <w:p w14:paraId="438F6EC5" w14:textId="77777777" w:rsidR="00F3035D" w:rsidRPr="003F362B" w:rsidRDefault="00D416B7" w:rsidP="001F3851">
      <w:pPr>
        <w:pStyle w:val="Heading2"/>
      </w:pPr>
      <w:r>
        <w:t xml:space="preserve">2.4 </w:t>
      </w:r>
      <w:r w:rsidR="00B03E03" w:rsidRPr="003F362B">
        <w:t>Conclusion</w:t>
      </w:r>
    </w:p>
    <w:p w14:paraId="70994C90" w14:textId="77777777" w:rsidR="00F60EA1" w:rsidRPr="003F362B" w:rsidRDefault="00695478" w:rsidP="001F3851">
      <w:pPr>
        <w:spacing w:before="120" w:after="120"/>
        <w:jc w:val="both"/>
      </w:pPr>
      <w:r w:rsidRPr="003F362B">
        <w:t>Ambulance services have evolved into providers of urgent clinical care whose decisions influence survival, independence and patient experience</w:t>
      </w:r>
      <w:r w:rsidR="00F60EA1" w:rsidRPr="003F362B">
        <w:t xml:space="preserve">. Strengths are emergency intervention and appropriate community treatment, while there is limited access due to demand and hospital congestion. Why equipment, education and dispatch matter: historical improvements. Improvement should be a balance of workforce capacity and hospital handovers and community follow up. Clinical results, patient satisfaction, and the safety of referral and response time should all be </w:t>
      </w:r>
      <w:r w:rsidR="00944B60" w:rsidRPr="003F362B">
        <w:t>considered</w:t>
      </w:r>
      <w:r w:rsidR="00F60EA1" w:rsidRPr="003F362B">
        <w:t xml:space="preserve"> when assessing performance. The challenge for the wider system is to provide support for patients throughout their care journey.</w:t>
      </w:r>
    </w:p>
    <w:p w14:paraId="441B17B7" w14:textId="77777777" w:rsidR="00F3035D" w:rsidRPr="003F362B" w:rsidRDefault="00B03E03" w:rsidP="00D416B7">
      <w:pPr>
        <w:pStyle w:val="Heading1"/>
      </w:pPr>
      <w:r w:rsidRPr="003F362B">
        <w:lastRenderedPageBreak/>
        <w:t xml:space="preserve">Reference </w:t>
      </w:r>
      <w:r w:rsidR="00DE6451">
        <w:t>L</w:t>
      </w:r>
      <w:r w:rsidRPr="003F362B">
        <w:t>ist</w:t>
      </w:r>
    </w:p>
    <w:p w14:paraId="5E69946E" w14:textId="77777777" w:rsidR="00F3035D" w:rsidRPr="003F362B" w:rsidRDefault="00B03E03" w:rsidP="001F3851">
      <w:pPr>
        <w:keepLines/>
        <w:spacing w:before="120" w:after="120"/>
        <w:ind w:left="576" w:hanging="576"/>
        <w:jc w:val="both"/>
      </w:pPr>
      <w:r w:rsidRPr="003F362B">
        <w:t xml:space="preserve">Birmingham City Council (2026) </w:t>
      </w:r>
      <w:r w:rsidRPr="003F362B">
        <w:rPr>
          <w:i/>
        </w:rPr>
        <w:t>Councillor Nosheen Khalid</w:t>
      </w:r>
      <w:r w:rsidRPr="003F362B">
        <w:t xml:space="preserve">. Available at: </w:t>
      </w:r>
      <w:hyperlink r:id="rId9">
        <w:r w:rsidRPr="00EB492A">
          <w:rPr>
            <w:color w:val="0000FF"/>
          </w:rPr>
          <w:t>https://www.birmingham.gov.uk/councillors/61/nosheen_khalid</w:t>
        </w:r>
      </w:hyperlink>
      <w:r w:rsidR="00EB492A">
        <w:t xml:space="preserve"> </w:t>
      </w:r>
      <w:r w:rsidRPr="003F362B">
        <w:t>(Accessed: 8 October 2026).</w:t>
      </w:r>
    </w:p>
    <w:p w14:paraId="13702EB5" w14:textId="77777777" w:rsidR="00F3035D" w:rsidRPr="003F362B" w:rsidRDefault="00B03E03" w:rsidP="001F3851">
      <w:pPr>
        <w:keepLines/>
        <w:spacing w:before="120" w:after="120"/>
        <w:ind w:left="576" w:hanging="576"/>
        <w:jc w:val="both"/>
      </w:pPr>
      <w:r w:rsidRPr="003F362B">
        <w:rPr>
          <w:i/>
        </w:rPr>
        <w:t>Care Act 2014</w:t>
      </w:r>
      <w:r w:rsidRPr="003F362B">
        <w:t xml:space="preserve">, c. 23, Part 1. Available at: </w:t>
      </w:r>
      <w:hyperlink r:id="rId10">
        <w:r w:rsidRPr="00EB492A">
          <w:rPr>
            <w:color w:val="0000FF"/>
          </w:rPr>
          <w:t>https://www.legislation.gov.uk/ukpga/2014/23/part/1</w:t>
        </w:r>
      </w:hyperlink>
      <w:r w:rsidRPr="00EB492A">
        <w:rPr>
          <w:color w:val="0000FF"/>
        </w:rPr>
        <w:t xml:space="preserve"> </w:t>
      </w:r>
      <w:r w:rsidRPr="003F362B">
        <w:t>(Accessed: 8 October 2026).</w:t>
      </w:r>
    </w:p>
    <w:p w14:paraId="51BC9B10" w14:textId="77777777" w:rsidR="00F3035D" w:rsidRPr="003F362B" w:rsidRDefault="00B03E03" w:rsidP="001F3851">
      <w:pPr>
        <w:keepLines/>
        <w:spacing w:before="120" w:after="120"/>
        <w:ind w:left="576" w:hanging="576"/>
        <w:jc w:val="both"/>
      </w:pPr>
      <w:r w:rsidRPr="003F362B">
        <w:t xml:space="preserve">Care Quality Commission (2025) </w:t>
      </w:r>
      <w:r w:rsidRPr="003F362B">
        <w:rPr>
          <w:i/>
        </w:rPr>
        <w:t>The state of health care and adult social care in England 2024/25</w:t>
      </w:r>
      <w:r w:rsidRPr="003F362B">
        <w:t xml:space="preserve">. Secondary care. Available at: </w:t>
      </w:r>
      <w:hyperlink r:id="rId11">
        <w:r w:rsidRPr="00EB492A">
          <w:rPr>
            <w:color w:val="0000FF"/>
          </w:rPr>
          <w:t>https://www.cqc.org.uk/publications/major-report/state-care/2024-2025/access/secondary</w:t>
        </w:r>
      </w:hyperlink>
      <w:r w:rsidRPr="003F362B">
        <w:t xml:space="preserve"> (Accessed: 8 October 2026).</w:t>
      </w:r>
    </w:p>
    <w:p w14:paraId="4B958F53" w14:textId="77777777" w:rsidR="00F3035D" w:rsidRPr="003F362B" w:rsidRDefault="00B03E03" w:rsidP="001F3851">
      <w:pPr>
        <w:keepLines/>
        <w:spacing w:before="120" w:after="120"/>
        <w:ind w:left="576" w:hanging="576"/>
        <w:jc w:val="both"/>
      </w:pPr>
      <w:r w:rsidRPr="003F362B">
        <w:t xml:space="preserve">Care Quality Commission (2026) </w:t>
      </w:r>
      <w:r w:rsidRPr="003F362B">
        <w:rPr>
          <w:i/>
        </w:rPr>
        <w:t>Birmingham City Council: local authority assessment</w:t>
      </w:r>
      <w:r w:rsidRPr="003F362B">
        <w:t xml:space="preserve">. Overall summary. Available at: </w:t>
      </w:r>
      <w:hyperlink r:id="rId12">
        <w:r w:rsidRPr="00EB492A">
          <w:rPr>
            <w:color w:val="0000FF"/>
          </w:rPr>
          <w:t>https://www.cqc.org.uk/care-services/local-authority-assessment-reports/birmingham-0526/summary</w:t>
        </w:r>
      </w:hyperlink>
      <w:r w:rsidRPr="00EB492A">
        <w:rPr>
          <w:color w:val="0000FF"/>
        </w:rPr>
        <w:t xml:space="preserve"> </w:t>
      </w:r>
      <w:r w:rsidRPr="003F362B">
        <w:t>(Accessed: 8 October 2026).</w:t>
      </w:r>
    </w:p>
    <w:p w14:paraId="43A84D2D" w14:textId="77777777" w:rsidR="00F3035D" w:rsidRPr="003F362B" w:rsidRDefault="00B03E03" w:rsidP="001F3851">
      <w:pPr>
        <w:keepLines/>
        <w:spacing w:before="120" w:after="120"/>
        <w:ind w:left="576" w:hanging="576"/>
        <w:jc w:val="both"/>
      </w:pPr>
      <w:r w:rsidRPr="003F362B">
        <w:t xml:space="preserve">Department of Health and Social Care (2025) </w:t>
      </w:r>
      <w:r w:rsidRPr="003F362B">
        <w:rPr>
          <w:i/>
        </w:rPr>
        <w:t>Care and support statutory guidance</w:t>
      </w:r>
      <w:r w:rsidRPr="003F362B">
        <w:t xml:space="preserve">. Available at: </w:t>
      </w:r>
      <w:hyperlink r:id="rId13">
        <w:r w:rsidRPr="00EB492A">
          <w:rPr>
            <w:color w:val="0000FF"/>
          </w:rPr>
          <w:t>https://www.gov.uk/government/publications/care-act-statutory-guidance/care-and-support-statutory-guidance</w:t>
        </w:r>
      </w:hyperlink>
      <w:r w:rsidRPr="003F362B">
        <w:t xml:space="preserve"> (Accessed: 8 October 2026).</w:t>
      </w:r>
    </w:p>
    <w:p w14:paraId="2AA59203" w14:textId="77777777" w:rsidR="00F3035D" w:rsidRPr="003F362B" w:rsidRDefault="00B03E03" w:rsidP="001F3851">
      <w:pPr>
        <w:keepLines/>
        <w:spacing w:before="120" w:after="120"/>
        <w:ind w:left="576" w:hanging="576"/>
        <w:jc w:val="both"/>
      </w:pPr>
      <w:r w:rsidRPr="003F362B">
        <w:t xml:space="preserve">Health and Care Professions Council (2023) </w:t>
      </w:r>
      <w:r w:rsidRPr="003F362B">
        <w:rPr>
          <w:i/>
        </w:rPr>
        <w:t>Standards of proficiency for paramedics</w:t>
      </w:r>
      <w:r w:rsidRPr="003F362B">
        <w:t xml:space="preserve">. Available at: </w:t>
      </w:r>
      <w:hyperlink r:id="rId14">
        <w:r w:rsidRPr="00EB492A">
          <w:rPr>
            <w:color w:val="0000FF"/>
          </w:rPr>
          <w:t>https://www.hcpc-uk.org/standards/standards-of-proficiency/paramedics/</w:t>
        </w:r>
      </w:hyperlink>
      <w:r w:rsidRPr="003F362B">
        <w:t xml:space="preserve"> (Accessed: 8 October 2026).</w:t>
      </w:r>
    </w:p>
    <w:p w14:paraId="2CDF4EB0" w14:textId="77777777" w:rsidR="00F3035D" w:rsidRPr="003F362B" w:rsidRDefault="00B03E03" w:rsidP="001F3851">
      <w:pPr>
        <w:keepLines/>
        <w:spacing w:before="120" w:after="120"/>
        <w:ind w:left="576" w:hanging="576"/>
        <w:jc w:val="both"/>
      </w:pPr>
      <w:r w:rsidRPr="003F362B">
        <w:t>London Ambulance Service NHS Trust (</w:t>
      </w:r>
      <w:r w:rsidR="00F2179B">
        <w:t>2026</w:t>
      </w:r>
      <w:r w:rsidRPr="003F362B">
        <w:t xml:space="preserve">) </w:t>
      </w:r>
      <w:r w:rsidRPr="003F362B">
        <w:rPr>
          <w:i/>
        </w:rPr>
        <w:t>Our history - a timeline</w:t>
      </w:r>
      <w:r w:rsidRPr="003F362B">
        <w:t xml:space="preserve">. Available at: </w:t>
      </w:r>
      <w:hyperlink r:id="rId15">
        <w:r w:rsidRPr="00EB492A">
          <w:rPr>
            <w:color w:val="0000FF"/>
          </w:rPr>
          <w:t>https://www.londonambulance.nhs.uk/about-us/our-history/our-history-a-timeline/</w:t>
        </w:r>
      </w:hyperlink>
      <w:r w:rsidRPr="00EB492A">
        <w:rPr>
          <w:color w:val="0000FF"/>
        </w:rPr>
        <w:t xml:space="preserve"> </w:t>
      </w:r>
      <w:r w:rsidRPr="003F362B">
        <w:t>(Accessed: 8 October 2026).</w:t>
      </w:r>
    </w:p>
    <w:p w14:paraId="0DDA885D" w14:textId="77777777" w:rsidR="00F3035D" w:rsidRPr="003F362B" w:rsidRDefault="00B03E03" w:rsidP="001F3851">
      <w:pPr>
        <w:keepLines/>
        <w:spacing w:before="120" w:after="120"/>
        <w:ind w:left="576" w:hanging="576"/>
        <w:jc w:val="both"/>
      </w:pPr>
      <w:r w:rsidRPr="003F362B">
        <w:t xml:space="preserve">Mason, S., Knowles, E., Colwell, B., Dixon, S., Wardrope, J., Gorringe, R., Snooks, H., Perrin, J. and Nicholl, J. (2007) 'Effectiveness of paramedic practitioners in attending 999 calls from elderly people in the community: cluster randomised controlled trial', </w:t>
      </w:r>
      <w:r w:rsidRPr="003F362B">
        <w:rPr>
          <w:i/>
        </w:rPr>
        <w:t>BMJ</w:t>
      </w:r>
      <w:r w:rsidRPr="003F362B">
        <w:t xml:space="preserve">, 335(7626), pp. 919-922. Available at: </w:t>
      </w:r>
      <w:hyperlink r:id="rId16">
        <w:r w:rsidRPr="003F362B">
          <w:t>h</w:t>
        </w:r>
        <w:r w:rsidRPr="00EB492A">
          <w:rPr>
            <w:color w:val="0000FF"/>
          </w:rPr>
          <w:t>ttps://doi.org/10.1136/bmj.39343.649097.55</w:t>
        </w:r>
      </w:hyperlink>
    </w:p>
    <w:p w14:paraId="13AE03C5" w14:textId="77777777" w:rsidR="00F3035D" w:rsidRPr="003F362B" w:rsidRDefault="00B03E03" w:rsidP="001F3851">
      <w:pPr>
        <w:keepLines/>
        <w:spacing w:before="120" w:after="120"/>
        <w:ind w:left="576" w:hanging="576"/>
        <w:jc w:val="both"/>
      </w:pPr>
      <w:r w:rsidRPr="003F362B">
        <w:rPr>
          <w:i/>
        </w:rPr>
        <w:t>National Health Service Act 1946</w:t>
      </w:r>
      <w:r w:rsidRPr="003F362B">
        <w:t xml:space="preserve">, c. 81, s. 27. Available at: </w:t>
      </w:r>
      <w:hyperlink r:id="rId17">
        <w:r w:rsidRPr="00EB492A">
          <w:rPr>
            <w:color w:val="0000FF"/>
          </w:rPr>
          <w:t>https://www.legislation.gov.uk/ukpga/1946/81/pdfs/ukpga_19460081_en.pdf</w:t>
        </w:r>
      </w:hyperlink>
      <w:r w:rsidRPr="003F362B">
        <w:t xml:space="preserve"> (Accessed: 8 October 2026).</w:t>
      </w:r>
    </w:p>
    <w:p w14:paraId="15D367F2" w14:textId="77777777" w:rsidR="00F3035D" w:rsidRPr="003F362B" w:rsidRDefault="00B03E03" w:rsidP="001F3851">
      <w:pPr>
        <w:keepLines/>
        <w:spacing w:before="120" w:after="120"/>
        <w:ind w:left="576" w:hanging="576"/>
        <w:jc w:val="both"/>
      </w:pPr>
      <w:r w:rsidRPr="003F362B">
        <w:t xml:space="preserve">National Institute for Health and Care Excellence [NICE] (2018) </w:t>
      </w:r>
      <w:r w:rsidRPr="003F362B">
        <w:rPr>
          <w:i/>
        </w:rPr>
        <w:t>People's experience in adult social care services: improving the experience of care and support for people using adult social care services</w:t>
      </w:r>
      <w:r w:rsidRPr="003F362B">
        <w:t xml:space="preserve">. NICE guideline NG86. Available at: </w:t>
      </w:r>
      <w:hyperlink r:id="rId18">
        <w:r w:rsidRPr="00EB492A">
          <w:rPr>
            <w:color w:val="0000FF"/>
          </w:rPr>
          <w:t>https://www.nice.org.uk/guidance/ng86/chapter/recommendations</w:t>
        </w:r>
      </w:hyperlink>
      <w:r w:rsidRPr="003F362B">
        <w:t xml:space="preserve"> (Accessed: 8 October 2026).</w:t>
      </w:r>
    </w:p>
    <w:p w14:paraId="6A477E69" w14:textId="77777777" w:rsidR="00F3035D" w:rsidRPr="003F362B" w:rsidRDefault="00B03E03" w:rsidP="001F3851">
      <w:pPr>
        <w:keepLines/>
        <w:spacing w:before="120" w:after="120"/>
        <w:ind w:left="576" w:hanging="576"/>
        <w:jc w:val="both"/>
      </w:pPr>
      <w:r w:rsidRPr="003F362B">
        <w:lastRenderedPageBreak/>
        <w:t xml:space="preserve">NHS (2023) </w:t>
      </w:r>
      <w:r w:rsidRPr="003F362B">
        <w:rPr>
          <w:i/>
        </w:rPr>
        <w:t>When to call 999</w:t>
      </w:r>
      <w:r w:rsidRPr="003F362B">
        <w:t xml:space="preserve">. Available at: </w:t>
      </w:r>
      <w:hyperlink r:id="rId19">
        <w:r w:rsidRPr="00EB492A">
          <w:rPr>
            <w:color w:val="0000FF"/>
          </w:rPr>
          <w:t>https://www.nhs.uk/nhs-services/urgent-and-emergency-care-services/when-to-call-999/</w:t>
        </w:r>
      </w:hyperlink>
      <w:r w:rsidRPr="00EB492A">
        <w:rPr>
          <w:color w:val="0000FF"/>
        </w:rPr>
        <w:t xml:space="preserve"> </w:t>
      </w:r>
      <w:r w:rsidRPr="003F362B">
        <w:t>(Accessed: 8 October 2026).</w:t>
      </w:r>
    </w:p>
    <w:p w14:paraId="53C977A2" w14:textId="77777777" w:rsidR="00F3035D" w:rsidRPr="003F362B" w:rsidRDefault="00B03E03" w:rsidP="001F3851">
      <w:pPr>
        <w:keepLines/>
        <w:spacing w:before="120" w:after="120"/>
        <w:ind w:left="576" w:hanging="576"/>
        <w:jc w:val="both"/>
      </w:pPr>
      <w:r w:rsidRPr="003F362B">
        <w:t>NHS England (</w:t>
      </w:r>
      <w:r w:rsidR="00F2179B">
        <w:t>2026</w:t>
      </w:r>
      <w:r w:rsidRPr="003F362B">
        <w:t xml:space="preserve">) </w:t>
      </w:r>
      <w:r w:rsidRPr="003F362B">
        <w:rPr>
          <w:i/>
        </w:rPr>
        <w:t>Ambulance Response Programme</w:t>
      </w:r>
      <w:r w:rsidRPr="003F362B">
        <w:t xml:space="preserve">. Available at: </w:t>
      </w:r>
      <w:hyperlink r:id="rId20">
        <w:r w:rsidRPr="00EB492A">
          <w:rPr>
            <w:color w:val="0000FF"/>
          </w:rPr>
          <w:t>https://www.england.nhs.uk/urgent-emergency-care/improving-ambulance-services/arp/</w:t>
        </w:r>
      </w:hyperlink>
      <w:r w:rsidRPr="00EB492A">
        <w:rPr>
          <w:color w:val="0000FF"/>
        </w:rPr>
        <w:t xml:space="preserve"> </w:t>
      </w:r>
      <w:r w:rsidRPr="003F362B">
        <w:t>(Accessed: 8 October 2026).</w:t>
      </w:r>
    </w:p>
    <w:p w14:paraId="72FF547F" w14:textId="77777777" w:rsidR="00F3035D" w:rsidRPr="003F362B" w:rsidRDefault="00B03E03" w:rsidP="001F3851">
      <w:pPr>
        <w:keepLines/>
        <w:spacing w:before="120" w:after="120"/>
        <w:ind w:left="576" w:hanging="576"/>
        <w:jc w:val="both"/>
      </w:pPr>
      <w:r w:rsidRPr="003F362B">
        <w:t xml:space="preserve">Skills for Care (2025) </w:t>
      </w:r>
      <w:r w:rsidRPr="003F362B">
        <w:rPr>
          <w:i/>
        </w:rPr>
        <w:t>Vacancy rates in social care return to pre-Covid levels</w:t>
      </w:r>
      <w:r w:rsidRPr="003F362B">
        <w:t xml:space="preserve">. Available at: </w:t>
      </w:r>
      <w:hyperlink r:id="rId21">
        <w:r w:rsidRPr="00EB492A">
          <w:rPr>
            <w:color w:val="0000FF"/>
          </w:rPr>
          <w:t>https://www.skillsforcare.org.uk/news-and-events/news/vacancy-rates-in-social-care-return-to-pre-covid-levels</w:t>
        </w:r>
      </w:hyperlink>
      <w:r w:rsidRPr="003F362B">
        <w:t xml:space="preserve"> (Accessed: 8 October 2026).</w:t>
      </w:r>
    </w:p>
    <w:p w14:paraId="48597363" w14:textId="77777777" w:rsidR="00F3035D" w:rsidRPr="003F362B" w:rsidRDefault="00B03E03" w:rsidP="001F3851">
      <w:pPr>
        <w:keepLines/>
        <w:spacing w:before="120" w:after="120"/>
        <w:ind w:left="576" w:hanging="576"/>
        <w:jc w:val="both"/>
      </w:pPr>
      <w:r w:rsidRPr="003F362B">
        <w:t xml:space="preserve">Social Care Institute for Excellence (2015) </w:t>
      </w:r>
      <w:r w:rsidRPr="003F362B">
        <w:rPr>
          <w:i/>
        </w:rPr>
        <w:t>Strengths-based approaches - Care Act guidance</w:t>
      </w:r>
      <w:r w:rsidRPr="003F362B">
        <w:t xml:space="preserve">. Available at: </w:t>
      </w:r>
      <w:hyperlink r:id="rId22">
        <w:r w:rsidRPr="00EB492A">
          <w:rPr>
            <w:color w:val="0000FF"/>
          </w:rPr>
          <w:t>https://www.scie.org.uk/strengths-based-approaches/guidance/</w:t>
        </w:r>
      </w:hyperlink>
      <w:r w:rsidRPr="00EB492A">
        <w:rPr>
          <w:color w:val="0000FF"/>
        </w:rPr>
        <w:t xml:space="preserve"> </w:t>
      </w:r>
      <w:r w:rsidRPr="003F362B">
        <w:t>(Accessed: 8 October 2026).</w:t>
      </w:r>
    </w:p>
    <w:sectPr w:rsidR="00F3035D" w:rsidRPr="003F362B" w:rsidSect="003F7C87">
      <w:footerReference w:type="default" r:id="rId23"/>
      <w:pgSz w:w="12240" w:h="15840"/>
      <w:pgMar w:top="936" w:right="1440" w:bottom="936" w:left="1440" w:header="576" w:footer="576" w:gutter="0"/>
      <w:pgBorders w:offsetFrom="page">
        <w:top w:val="triple" w:sz="4" w:space="24" w:color="auto"/>
        <w:left w:val="triple" w:sz="4" w:space="24" w:color="auto"/>
        <w:bottom w:val="triple" w:sz="4" w:space="24" w:color="auto"/>
        <w:right w:val="trip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AC5AB9" w14:textId="77777777" w:rsidR="00B541DD" w:rsidRDefault="00B541DD">
      <w:pPr>
        <w:spacing w:after="0" w:line="240" w:lineRule="auto"/>
      </w:pPr>
      <w:r>
        <w:separator/>
      </w:r>
    </w:p>
  </w:endnote>
  <w:endnote w:type="continuationSeparator" w:id="0">
    <w:p w14:paraId="49A169A8" w14:textId="77777777" w:rsidR="00B541DD" w:rsidRDefault="00B541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ACFF" w:usb2="00000009" w:usb3="00000000" w:csb0="000001F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49707436"/>
      <w:docPartObj>
        <w:docPartGallery w:val="Page Numbers (Bottom of Page)"/>
        <w:docPartUnique/>
      </w:docPartObj>
    </w:sdtPr>
    <w:sdtEndPr>
      <w:rPr>
        <w:noProof/>
      </w:rPr>
    </w:sdtEndPr>
    <w:sdtContent>
      <w:p w14:paraId="7D9652B2" w14:textId="77777777" w:rsidR="00314F1E" w:rsidRDefault="00314F1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AEF6F14" w14:textId="77777777" w:rsidR="00F3035D" w:rsidRDefault="00F3035D">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805460" w14:textId="77777777" w:rsidR="00B541DD" w:rsidRDefault="00B541DD">
      <w:pPr>
        <w:spacing w:after="0" w:line="240" w:lineRule="auto"/>
      </w:pPr>
      <w:r>
        <w:separator/>
      </w:r>
    </w:p>
  </w:footnote>
  <w:footnote w:type="continuationSeparator" w:id="0">
    <w:p w14:paraId="3177B0A2" w14:textId="77777777" w:rsidR="00B541DD" w:rsidRDefault="00B541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2127658820">
    <w:abstractNumId w:val="8"/>
  </w:num>
  <w:num w:numId="2" w16cid:durableId="1780488058">
    <w:abstractNumId w:val="6"/>
  </w:num>
  <w:num w:numId="3" w16cid:durableId="1189833452">
    <w:abstractNumId w:val="5"/>
  </w:num>
  <w:num w:numId="4" w16cid:durableId="438259455">
    <w:abstractNumId w:val="4"/>
  </w:num>
  <w:num w:numId="5" w16cid:durableId="1261328572">
    <w:abstractNumId w:val="7"/>
  </w:num>
  <w:num w:numId="6" w16cid:durableId="423303264">
    <w:abstractNumId w:val="3"/>
  </w:num>
  <w:num w:numId="7" w16cid:durableId="895553633">
    <w:abstractNumId w:val="2"/>
  </w:num>
  <w:num w:numId="8" w16cid:durableId="1715929431">
    <w:abstractNumId w:val="1"/>
  </w:num>
  <w:num w:numId="9" w16cid:durableId="994481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14FF4"/>
    <w:rsid w:val="00034616"/>
    <w:rsid w:val="000543CC"/>
    <w:rsid w:val="0006063C"/>
    <w:rsid w:val="00073AB3"/>
    <w:rsid w:val="00084139"/>
    <w:rsid w:val="00091B88"/>
    <w:rsid w:val="000B7E32"/>
    <w:rsid w:val="000C62D7"/>
    <w:rsid w:val="000D0ACD"/>
    <w:rsid w:val="000D47F6"/>
    <w:rsid w:val="000E4E86"/>
    <w:rsid w:val="000F6FB1"/>
    <w:rsid w:val="0015074B"/>
    <w:rsid w:val="00157ACB"/>
    <w:rsid w:val="00171436"/>
    <w:rsid w:val="00197610"/>
    <w:rsid w:val="001A389E"/>
    <w:rsid w:val="001C0272"/>
    <w:rsid w:val="001F3851"/>
    <w:rsid w:val="0029639D"/>
    <w:rsid w:val="002A3007"/>
    <w:rsid w:val="002A3407"/>
    <w:rsid w:val="002F3A8D"/>
    <w:rsid w:val="00314F1E"/>
    <w:rsid w:val="00326F90"/>
    <w:rsid w:val="0034469A"/>
    <w:rsid w:val="0036148A"/>
    <w:rsid w:val="00362364"/>
    <w:rsid w:val="0039520C"/>
    <w:rsid w:val="003B0E91"/>
    <w:rsid w:val="003D5265"/>
    <w:rsid w:val="003F362B"/>
    <w:rsid w:val="003F7932"/>
    <w:rsid w:val="003F7C87"/>
    <w:rsid w:val="004217C4"/>
    <w:rsid w:val="004639EB"/>
    <w:rsid w:val="004656BB"/>
    <w:rsid w:val="004E3804"/>
    <w:rsid w:val="004E6F1C"/>
    <w:rsid w:val="00500BAB"/>
    <w:rsid w:val="00501E82"/>
    <w:rsid w:val="00502EE8"/>
    <w:rsid w:val="00542D5E"/>
    <w:rsid w:val="005A7715"/>
    <w:rsid w:val="005B051D"/>
    <w:rsid w:val="005C41EB"/>
    <w:rsid w:val="005C6865"/>
    <w:rsid w:val="00644E16"/>
    <w:rsid w:val="00666EC0"/>
    <w:rsid w:val="00675A33"/>
    <w:rsid w:val="00695478"/>
    <w:rsid w:val="006A2AA7"/>
    <w:rsid w:val="006C63E5"/>
    <w:rsid w:val="00735772"/>
    <w:rsid w:val="007814C2"/>
    <w:rsid w:val="00792BA7"/>
    <w:rsid w:val="007B2843"/>
    <w:rsid w:val="007B2F1E"/>
    <w:rsid w:val="007E0DDC"/>
    <w:rsid w:val="00800703"/>
    <w:rsid w:val="00812070"/>
    <w:rsid w:val="00897D44"/>
    <w:rsid w:val="00910CA0"/>
    <w:rsid w:val="00944B60"/>
    <w:rsid w:val="00970A0A"/>
    <w:rsid w:val="009B2475"/>
    <w:rsid w:val="009B55AF"/>
    <w:rsid w:val="009D73FC"/>
    <w:rsid w:val="00A07685"/>
    <w:rsid w:val="00A07A20"/>
    <w:rsid w:val="00A2127C"/>
    <w:rsid w:val="00A21E9E"/>
    <w:rsid w:val="00A232BA"/>
    <w:rsid w:val="00A3411B"/>
    <w:rsid w:val="00A44521"/>
    <w:rsid w:val="00A50A3D"/>
    <w:rsid w:val="00A76111"/>
    <w:rsid w:val="00A86505"/>
    <w:rsid w:val="00A95D72"/>
    <w:rsid w:val="00AA1D8D"/>
    <w:rsid w:val="00AB30A9"/>
    <w:rsid w:val="00AB4C26"/>
    <w:rsid w:val="00AC1284"/>
    <w:rsid w:val="00AC5477"/>
    <w:rsid w:val="00B03E03"/>
    <w:rsid w:val="00B47730"/>
    <w:rsid w:val="00B541DD"/>
    <w:rsid w:val="00B81F5B"/>
    <w:rsid w:val="00BB3188"/>
    <w:rsid w:val="00BB416D"/>
    <w:rsid w:val="00BC09AE"/>
    <w:rsid w:val="00BE5478"/>
    <w:rsid w:val="00BF602F"/>
    <w:rsid w:val="00C26C22"/>
    <w:rsid w:val="00C55190"/>
    <w:rsid w:val="00CA3C50"/>
    <w:rsid w:val="00CB0664"/>
    <w:rsid w:val="00CE143D"/>
    <w:rsid w:val="00CF1C0C"/>
    <w:rsid w:val="00CF3205"/>
    <w:rsid w:val="00D2105D"/>
    <w:rsid w:val="00D416B7"/>
    <w:rsid w:val="00D565D3"/>
    <w:rsid w:val="00D720F1"/>
    <w:rsid w:val="00DE12ED"/>
    <w:rsid w:val="00DE6451"/>
    <w:rsid w:val="00DF4324"/>
    <w:rsid w:val="00DF6D0A"/>
    <w:rsid w:val="00E3059C"/>
    <w:rsid w:val="00E9032A"/>
    <w:rsid w:val="00EB492A"/>
    <w:rsid w:val="00F17AEF"/>
    <w:rsid w:val="00F2179B"/>
    <w:rsid w:val="00F3035D"/>
    <w:rsid w:val="00F60EA1"/>
    <w:rsid w:val="00F82D14"/>
    <w:rsid w:val="00FC4FEE"/>
    <w:rsid w:val="00FC6623"/>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C8C7CCB"/>
  <w14:defaultImageDpi w14:val="300"/>
  <w15:docId w15:val="{1C4A98C6-1FFB-4BE6-81AE-C3413C2887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60" w:line="360" w:lineRule="auto"/>
    </w:pPr>
    <w:rPr>
      <w:rFonts w:ascii="Arial" w:eastAsia="Arial" w:hAnsi="Arial" w:cs="Arial"/>
      <w:color w:val="000000"/>
    </w:rPr>
  </w:style>
  <w:style w:type="paragraph" w:styleId="Heading1">
    <w:name w:val="heading 1"/>
    <w:basedOn w:val="Normal"/>
    <w:next w:val="Normal"/>
    <w:link w:val="Heading1Char"/>
    <w:autoRedefine/>
    <w:uiPriority w:val="9"/>
    <w:qFormat/>
    <w:rsid w:val="00D416B7"/>
    <w:pPr>
      <w:keepNext/>
      <w:keepLines/>
      <w:pageBreakBefore/>
      <w:spacing w:before="120" w:after="120"/>
      <w:jc w:val="center"/>
      <w:outlineLvl w:val="0"/>
    </w:pPr>
    <w:rPr>
      <w:rFonts w:eastAsiaTheme="majorEastAsia"/>
      <w:b/>
      <w:bCs/>
      <w:sz w:val="32"/>
      <w:szCs w:val="32"/>
    </w:rPr>
  </w:style>
  <w:style w:type="paragraph" w:styleId="Heading2">
    <w:name w:val="heading 2"/>
    <w:basedOn w:val="Normal"/>
    <w:next w:val="Normal"/>
    <w:link w:val="Heading2Char"/>
    <w:autoRedefine/>
    <w:uiPriority w:val="9"/>
    <w:unhideWhenUsed/>
    <w:qFormat/>
    <w:rsid w:val="006C63E5"/>
    <w:pPr>
      <w:keepNext/>
      <w:keepLines/>
      <w:spacing w:before="120" w:after="120"/>
      <w:outlineLvl w:val="1"/>
    </w:pPr>
    <w:rPr>
      <w:rFonts w:eastAsiaTheme="majorEastAsia" w:cstheme="majorBidi"/>
      <w:b/>
      <w:bCs/>
      <w:sz w:val="26"/>
      <w:szCs w:val="26"/>
    </w:rPr>
  </w:style>
  <w:style w:type="paragraph" w:styleId="Heading3">
    <w:name w:val="heading 3"/>
    <w:basedOn w:val="Normal"/>
    <w:next w:val="Normal"/>
    <w:link w:val="Heading3Char"/>
    <w:uiPriority w:val="9"/>
    <w:unhideWhenUsed/>
    <w:qFormat/>
    <w:rsid w:val="00FC693F"/>
    <w:pPr>
      <w:keepNext/>
      <w:keepLines/>
      <w:spacing w:before="80"/>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D416B7"/>
    <w:rPr>
      <w:rFonts w:ascii="Arial" w:eastAsiaTheme="majorEastAsia" w:hAnsi="Arial" w:cs="Arial"/>
      <w:b/>
      <w:bCs/>
      <w:color w:val="000000"/>
      <w:sz w:val="32"/>
      <w:szCs w:val="32"/>
    </w:rPr>
  </w:style>
  <w:style w:type="character" w:customStyle="1" w:styleId="Heading2Char">
    <w:name w:val="Heading 2 Char"/>
    <w:basedOn w:val="DefaultParagraphFont"/>
    <w:link w:val="Heading2"/>
    <w:uiPriority w:val="9"/>
    <w:rsid w:val="006C63E5"/>
    <w:rPr>
      <w:rFonts w:ascii="Arial" w:eastAsiaTheme="majorEastAsia" w:hAnsi="Arial" w:cstheme="majorBidi"/>
      <w:b/>
      <w:bCs/>
      <w:color w:val="000000"/>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keepNext/>
      <w:spacing w:before="80"/>
      <w:contextualSpacing/>
    </w:pPr>
    <w:rPr>
      <w:rFonts w:asciiTheme="majorHAnsi" w:eastAsiaTheme="majorEastAsia" w:hAnsiTheme="majorHAnsi" w:cstheme="majorBidi"/>
      <w:b/>
      <w:spacing w:val="5"/>
      <w:kern w:val="28"/>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07160674">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gov.uk/government/publications/care-act-statutory-guidance/care-and-support-statutory-guidance" TargetMode="External"/><Relationship Id="rId18" Type="http://schemas.openxmlformats.org/officeDocument/2006/relationships/hyperlink" Target="https://www.nice.org.uk/guidance/ng86/chapter/recommendations" TargetMode="External"/><Relationship Id="rId3" Type="http://schemas.openxmlformats.org/officeDocument/2006/relationships/styles" Target="styles.xml"/><Relationship Id="rId21" Type="http://schemas.openxmlformats.org/officeDocument/2006/relationships/hyperlink" Target="https://www.skillsforcare.org.uk/news-and-events/news/vacancy-rates-in-social-care-return-to-pre-covid-levels" TargetMode="External"/><Relationship Id="rId7" Type="http://schemas.openxmlformats.org/officeDocument/2006/relationships/endnotes" Target="endnotes.xml"/><Relationship Id="rId12" Type="http://schemas.openxmlformats.org/officeDocument/2006/relationships/hyperlink" Target="https://www.cqc.org.uk/care-services/local-authority-assessment-reports/birmingham-0526/summary" TargetMode="External"/><Relationship Id="rId17" Type="http://schemas.openxmlformats.org/officeDocument/2006/relationships/hyperlink" Target="https://www.legislation.gov.uk/ukpga/1946/81/pdfs/ukpga_19460081_en.pdf"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136/bmj.39343.649097.55" TargetMode="External"/><Relationship Id="rId20" Type="http://schemas.openxmlformats.org/officeDocument/2006/relationships/hyperlink" Target="https://www.england.nhs.uk/urgent-emergency-care/improving-ambulance-services/ar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qc.org.uk/publications/major-report/state-care/2024-2025/access/secondary"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londonambulance.nhs.uk/about-us/our-history/our-history-a-timeline/" TargetMode="External"/><Relationship Id="rId23" Type="http://schemas.openxmlformats.org/officeDocument/2006/relationships/footer" Target="footer1.xml"/><Relationship Id="rId10" Type="http://schemas.openxmlformats.org/officeDocument/2006/relationships/hyperlink" Target="https://www.legislation.gov.uk/ukpga/2014/23/part/1" TargetMode="External"/><Relationship Id="rId19" Type="http://schemas.openxmlformats.org/officeDocument/2006/relationships/hyperlink" Target="https://www.nhs.uk/nhs-services/urgent-and-emergency-care-services/when-to-call-999/" TargetMode="External"/><Relationship Id="rId4" Type="http://schemas.openxmlformats.org/officeDocument/2006/relationships/settings" Target="settings.xml"/><Relationship Id="rId9" Type="http://schemas.openxmlformats.org/officeDocument/2006/relationships/hyperlink" Target="https://www.birmingham.gov.uk/councillors/61/nosheen_khalid" TargetMode="External"/><Relationship Id="rId14" Type="http://schemas.openxmlformats.org/officeDocument/2006/relationships/hyperlink" Target="https://www.hcpc-uk.org/standards/standards-of-proficiency/paramedics/" TargetMode="External"/><Relationship Id="rId22" Type="http://schemas.openxmlformats.org/officeDocument/2006/relationships/hyperlink" Target="https://www.scie.org.uk/strengths-based-approaches/guid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AAC7E2E-06AF-4850-9244-2D6AFC8D27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2309</Words>
  <Characters>13165</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Community disability services and ambulance services</vt:lpstr>
    </vt:vector>
  </TitlesOfParts>
  <Manager/>
  <Company/>
  <LinksUpToDate>false</LinksUpToDate>
  <CharactersWithSpaces>15444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Sunbal Babar</dc:creator>
  <cp:keywords/>
  <dc:description/>
  <cp:lastModifiedBy>wasim sattar</cp:lastModifiedBy>
  <cp:revision>3</cp:revision>
  <dcterms:created xsi:type="dcterms:W3CDTF">2026-10-19T18:14:00Z</dcterms:created>
  <dcterms:modified xsi:type="dcterms:W3CDTF">2026-10-19T18:15:00Z</dcterms:modified>
  <cp:category/>
</cp:coreProperties>
</file>