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868507" w14:textId="77777777" w:rsidR="009236A0" w:rsidRDefault="009236A0" w:rsidP="007A3EAF">
      <w:r>
        <w:rPr>
          <w:noProof/>
        </w:rPr>
        <w:drawing>
          <wp:inline distT="0" distB="0" distL="0" distR="0" wp14:anchorId="1AE56BBB" wp14:editId="6E62B0E9">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0C91827C" w14:textId="77777777" w:rsidR="009236A0" w:rsidRDefault="009236A0" w:rsidP="007A3EAF"/>
    <w:p w14:paraId="643BD6C8" w14:textId="77777777" w:rsidR="009236A0" w:rsidRDefault="009236A0" w:rsidP="007A3EAF"/>
    <w:p w14:paraId="2A3E139A" w14:textId="77777777" w:rsidR="009236A0" w:rsidRDefault="009236A0" w:rsidP="009236A0"/>
    <w:p w14:paraId="6878F294" w14:textId="77777777" w:rsidR="009236A0" w:rsidRDefault="009236A0" w:rsidP="009236A0"/>
    <w:p w14:paraId="0C72F75C" w14:textId="77777777" w:rsidR="009236A0" w:rsidRDefault="009236A0" w:rsidP="009236A0"/>
    <w:p w14:paraId="2DE9AE41" w14:textId="77777777" w:rsidR="002638B7" w:rsidRDefault="002638B7" w:rsidP="009236A0"/>
    <w:p w14:paraId="522B9757" w14:textId="77777777" w:rsidR="009236A0" w:rsidRDefault="009236A0" w:rsidP="009236A0"/>
    <w:p w14:paraId="2A82CF3E" w14:textId="31883A26" w:rsidR="009236A0" w:rsidRPr="009236A0" w:rsidRDefault="009236A0" w:rsidP="009236A0">
      <w:pPr>
        <w:rPr>
          <w:b/>
          <w:bCs/>
        </w:rPr>
      </w:pPr>
      <w:r>
        <w:t xml:space="preserve">Name: </w:t>
      </w:r>
      <w:r w:rsidRPr="009236A0">
        <w:rPr>
          <w:b/>
          <w:bCs/>
        </w:rPr>
        <w:t xml:space="preserve">WUENDY FABIOLA PAZ RAMIRES </w:t>
      </w:r>
    </w:p>
    <w:p w14:paraId="77553E42" w14:textId="77777777" w:rsidR="009236A0" w:rsidRDefault="009236A0" w:rsidP="009236A0">
      <w:r>
        <w:t>Student Number:</w:t>
      </w:r>
      <w:r w:rsidRPr="009236A0">
        <w:rPr>
          <w:b/>
          <w:bCs/>
        </w:rPr>
        <w:t xml:space="preserve"> 2442409</w:t>
      </w:r>
    </w:p>
    <w:p w14:paraId="1C4267C9" w14:textId="53166397" w:rsidR="009236A0" w:rsidRDefault="009236A0" w:rsidP="009236A0">
      <w:r>
        <w:t xml:space="preserve">Course Code:  </w:t>
      </w:r>
      <w:r w:rsidRPr="009236A0">
        <w:rPr>
          <w:b/>
          <w:bCs/>
        </w:rPr>
        <w:t>LCHS4010</w:t>
      </w:r>
    </w:p>
    <w:p w14:paraId="3A943C99" w14:textId="739365E5" w:rsidR="009236A0" w:rsidRPr="009236A0" w:rsidRDefault="009236A0" w:rsidP="009236A0">
      <w:pPr>
        <w:rPr>
          <w:b/>
          <w:bCs/>
        </w:rPr>
      </w:pPr>
      <w:r>
        <w:t xml:space="preserve">Module: </w:t>
      </w:r>
      <w:r w:rsidRPr="009236A0">
        <w:rPr>
          <w:b/>
          <w:bCs/>
        </w:rPr>
        <w:t>Psychology in Health and Social Care</w:t>
      </w:r>
    </w:p>
    <w:p w14:paraId="65E920BD" w14:textId="77777777" w:rsidR="009236A0" w:rsidRDefault="009236A0" w:rsidP="009236A0">
      <w:pPr>
        <w:rPr>
          <w:b/>
          <w:bCs/>
        </w:rPr>
      </w:pPr>
      <w:r>
        <w:t xml:space="preserve">Tutor: </w:t>
      </w:r>
      <w:r w:rsidRPr="009236A0">
        <w:rPr>
          <w:b/>
          <w:bCs/>
        </w:rPr>
        <w:t>Farah Wiita</w:t>
      </w:r>
    </w:p>
    <w:p w14:paraId="1F4F6DB1" w14:textId="3CBE5861" w:rsidR="009236A0" w:rsidRPr="002638B7" w:rsidRDefault="009236A0" w:rsidP="009236A0">
      <w:r w:rsidRPr="009236A0">
        <w:t>Assignment Title:</w:t>
      </w:r>
      <w:r>
        <w:t xml:space="preserve"> Assessment 2:  </w:t>
      </w:r>
      <w:r w:rsidRPr="009236A0">
        <w:rPr>
          <w:b/>
          <w:bCs/>
        </w:rPr>
        <w:t>Bibliography</w:t>
      </w:r>
      <w:r w:rsidR="002638B7">
        <w:t xml:space="preserve"> </w:t>
      </w:r>
      <w:r w:rsidR="002638B7">
        <w:rPr>
          <w:b/>
          <w:bCs/>
        </w:rPr>
        <w:t>a</w:t>
      </w:r>
      <w:r w:rsidR="00433676">
        <w:rPr>
          <w:b/>
          <w:bCs/>
        </w:rPr>
        <w:t xml:space="preserve">nd </w:t>
      </w:r>
      <w:r w:rsidR="002E4F10">
        <w:rPr>
          <w:b/>
          <w:bCs/>
        </w:rPr>
        <w:t>R</w:t>
      </w:r>
      <w:r w:rsidRPr="009236A0">
        <w:rPr>
          <w:b/>
          <w:bCs/>
        </w:rPr>
        <w:t>eport</w:t>
      </w:r>
    </w:p>
    <w:p w14:paraId="1B0145BA" w14:textId="77777777" w:rsidR="009236A0" w:rsidRDefault="009236A0" w:rsidP="009F4197">
      <w:pPr>
        <w:pStyle w:val="Ttulo1"/>
      </w:pPr>
    </w:p>
    <w:p w14:paraId="21F21F78" w14:textId="77777777" w:rsidR="009236A0" w:rsidRDefault="009236A0" w:rsidP="009F4197">
      <w:pPr>
        <w:pStyle w:val="Ttulo1"/>
      </w:pPr>
    </w:p>
    <w:p w14:paraId="1DC71FAB" w14:textId="77777777" w:rsidR="002638B7" w:rsidRDefault="002638B7" w:rsidP="00D57821">
      <w:pPr>
        <w:jc w:val="center"/>
      </w:pPr>
    </w:p>
    <w:p w14:paraId="0C184F1F" w14:textId="1A82A0D7" w:rsidR="009236A0" w:rsidRDefault="009236A0" w:rsidP="00D57821">
      <w:pPr>
        <w:jc w:val="center"/>
      </w:pPr>
      <w:r w:rsidRPr="009236A0">
        <w:t>Submitted on</w:t>
      </w:r>
      <w:r>
        <w:t xml:space="preserve"> </w:t>
      </w:r>
      <w:r w:rsidR="002638B7">
        <w:t>21 April</w:t>
      </w:r>
      <w:r w:rsidR="00CA045D">
        <w:t xml:space="preserve"> 2026</w:t>
      </w:r>
    </w:p>
    <w:p w14:paraId="6470D488" w14:textId="77777777" w:rsidR="009236A0" w:rsidRDefault="009236A0" w:rsidP="009F4197">
      <w:pPr>
        <w:pStyle w:val="Ttulo1"/>
      </w:pPr>
    </w:p>
    <w:p w14:paraId="3B9A7353" w14:textId="77777777" w:rsidR="009236A0" w:rsidRDefault="009236A0" w:rsidP="009F4197">
      <w:pPr>
        <w:pStyle w:val="Ttulo1"/>
      </w:pPr>
    </w:p>
    <w:p w14:paraId="160D3D79" w14:textId="77777777" w:rsidR="009236A0" w:rsidRDefault="009236A0" w:rsidP="009236A0"/>
    <w:p w14:paraId="5686EE1B" w14:textId="77777777" w:rsidR="009236A0" w:rsidRPr="009236A0" w:rsidRDefault="007A3EAF" w:rsidP="009236A0">
      <w:pPr>
        <w:pStyle w:val="Ttulo1"/>
      </w:pPr>
      <w:r w:rsidRPr="009236A0">
        <w:lastRenderedPageBreak/>
        <w:t xml:space="preserve">Part A: </w:t>
      </w:r>
    </w:p>
    <w:p w14:paraId="1C1478C6" w14:textId="46C03390" w:rsidR="007A3EAF" w:rsidRPr="009236A0" w:rsidRDefault="007A3EAF" w:rsidP="009236A0">
      <w:pPr>
        <w:pStyle w:val="Ttulo1"/>
      </w:pPr>
      <w:r w:rsidRPr="009236A0">
        <w:t>Annotated Bibliography</w:t>
      </w:r>
    </w:p>
    <w:p w14:paraId="586A04BE" w14:textId="0F651099" w:rsidR="007A3EAF" w:rsidRPr="00A552AA" w:rsidRDefault="00EC0C46" w:rsidP="00D57821">
      <w:pPr>
        <w:pStyle w:val="Ttulo1"/>
        <w:spacing w:line="360" w:lineRule="auto"/>
      </w:pPr>
      <w:r w:rsidRPr="009236A0">
        <w:t>Source 1: Attachment Theory (Bowlby)</w:t>
      </w:r>
    </w:p>
    <w:p w14:paraId="7644CB6E" w14:textId="492F7474" w:rsidR="007A3EAF" w:rsidRDefault="007A3EAF" w:rsidP="00D57821">
      <w:pPr>
        <w:spacing w:line="360" w:lineRule="auto"/>
        <w:rPr>
          <w:rFonts w:ascii="Arial" w:hAnsi="Arial" w:cs="Arial"/>
          <w:i/>
          <w:iCs/>
        </w:rPr>
      </w:pPr>
      <w:r w:rsidRPr="007A3EAF">
        <w:rPr>
          <w:rStyle w:val="Ttulo1Car"/>
        </w:rPr>
        <w:t>Reference (Harvard style)</w:t>
      </w:r>
      <w:r w:rsidRPr="007A3EAF">
        <w:rPr>
          <w:rFonts w:ascii="Arial" w:hAnsi="Arial" w:cs="Arial"/>
        </w:rPr>
        <w:br/>
        <w:t>Darling, P.J., Ilum, D.B. and Storebø, O.J. (2024) The critical role of attachment theory in child and adolescent mental health care.</w:t>
      </w:r>
      <w:r w:rsidRPr="007A3EAF">
        <w:rPr>
          <w:rFonts w:ascii="Arial" w:hAnsi="Arial" w:cs="Arial"/>
          <w:i/>
          <w:iCs/>
        </w:rPr>
        <w:t xml:space="preserve"> Scandinavian Journal of Child and Adolescent Psychiatry and Psychology, 12, pp. 47–49.</w:t>
      </w:r>
    </w:p>
    <w:p w14:paraId="6F5014CC" w14:textId="6C7E2894" w:rsidR="007A3EAF" w:rsidRPr="007A3EAF" w:rsidRDefault="007A3EAF" w:rsidP="00D57821">
      <w:pPr>
        <w:spacing w:line="360" w:lineRule="auto"/>
        <w:jc w:val="both"/>
        <w:rPr>
          <w:rFonts w:ascii="Arial" w:hAnsi="Arial" w:cs="Arial"/>
        </w:rPr>
      </w:pPr>
      <w:r w:rsidRPr="007A3EAF">
        <w:rPr>
          <w:rStyle w:val="Ttulo1Car"/>
        </w:rPr>
        <w:t>Summary</w:t>
      </w:r>
      <w:r w:rsidRPr="007A3EAF">
        <w:rPr>
          <w:rFonts w:ascii="Arial" w:hAnsi="Arial" w:cs="Arial"/>
        </w:rPr>
        <w:br/>
        <w:t>This article explains that John Bowlby developed attachment theory after observing children who were separated from their parents, concluding that the way caregivers respond to children’s emotional needs directly influences their emotional development. Children seek safety and protection, and when they receive appropriate care, they develop secure attachment; however, inconsistent or negative responses may result in insecure attachment.</w:t>
      </w:r>
    </w:p>
    <w:p w14:paraId="6E3AC227" w14:textId="63B77543" w:rsidR="007A3EAF" w:rsidRPr="007A3EAF" w:rsidRDefault="007A3EAF" w:rsidP="00D57821">
      <w:pPr>
        <w:spacing w:line="360" w:lineRule="auto"/>
        <w:jc w:val="both"/>
        <w:rPr>
          <w:rFonts w:ascii="Arial" w:hAnsi="Arial" w:cs="Arial"/>
        </w:rPr>
      </w:pPr>
      <w:r w:rsidRPr="007A3EAF">
        <w:rPr>
          <w:rFonts w:ascii="Arial" w:hAnsi="Arial" w:cs="Arial"/>
        </w:rPr>
        <w:t>Furthermore, other researchers expanded this theory, showing that children’s behaviour and emotional development depend on the type of care they receive. The article also highlights that attachment needs do not disappear with age but continue throughout life. Therefore, healthcare professionals can have a positive or negative impact on individuals’ emotional wellbeing, as they are often perceived as attachment figures. However, the article suggests that attachment is frequently overlooked in healthcare settings, which may negatively affect patients’ emotional health.</w:t>
      </w:r>
    </w:p>
    <w:p w14:paraId="67F85CE9" w14:textId="364298DC" w:rsidR="007A3EAF" w:rsidRPr="007A3EAF" w:rsidRDefault="007A3EAF" w:rsidP="00497A48">
      <w:pPr>
        <w:spacing w:line="360" w:lineRule="auto"/>
        <w:jc w:val="both"/>
        <w:rPr>
          <w:rFonts w:ascii="Arial" w:hAnsi="Arial" w:cs="Arial"/>
        </w:rPr>
      </w:pPr>
      <w:r w:rsidRPr="007A3EAF">
        <w:rPr>
          <w:rStyle w:val="Ttulo1Car"/>
        </w:rPr>
        <w:t>Critical Comment</w:t>
      </w:r>
      <w:r w:rsidRPr="007A3EAF">
        <w:rPr>
          <w:rFonts w:ascii="Arial" w:hAnsi="Arial" w:cs="Arial"/>
        </w:rPr>
        <w:br/>
        <w:t>Attachment theory is relevant to older adults, as individuals in this stage of life may experience an increased need for emotional security, protection, and support, particularly when living in residential care settings. Although they do not become children again, they may feel more vulnerable due to loss of independence, declining health, or reduced social connections.</w:t>
      </w:r>
    </w:p>
    <w:p w14:paraId="3E115845" w14:textId="77777777" w:rsidR="007A3EAF" w:rsidRPr="007A3EAF" w:rsidRDefault="007A3EAF" w:rsidP="000E3ACA">
      <w:pPr>
        <w:spacing w:line="360" w:lineRule="auto"/>
        <w:jc w:val="both"/>
        <w:rPr>
          <w:rFonts w:ascii="Arial" w:hAnsi="Arial" w:cs="Arial"/>
        </w:rPr>
      </w:pPr>
      <w:r w:rsidRPr="007A3EAF">
        <w:rPr>
          <w:rFonts w:ascii="Arial" w:hAnsi="Arial" w:cs="Arial"/>
        </w:rPr>
        <w:t>In a care home environment, this theory can be applied through empathetic care, the development of trusting relationships, and emotional support provided by healthcare professionals, which can improve residents’ psychological wellbeing.</w:t>
      </w:r>
    </w:p>
    <w:p w14:paraId="3A74320C" w14:textId="53829280" w:rsidR="007A3EAF" w:rsidRPr="009236A0" w:rsidRDefault="007A3EAF" w:rsidP="000E3ACA">
      <w:pPr>
        <w:spacing w:line="360" w:lineRule="auto"/>
        <w:jc w:val="both"/>
        <w:rPr>
          <w:rFonts w:ascii="Arial" w:hAnsi="Arial" w:cs="Arial"/>
        </w:rPr>
      </w:pPr>
      <w:r w:rsidRPr="007A3EAF">
        <w:rPr>
          <w:rFonts w:ascii="Arial" w:hAnsi="Arial" w:cs="Arial"/>
        </w:rPr>
        <w:lastRenderedPageBreak/>
        <w:t>However, a limitation of this theory is that it does not always account for practical challenges within care settings, such as limited time, high workload, or staff turnover, which may make it difficult to establish consistent emotional bonds with older adults.</w:t>
      </w:r>
    </w:p>
    <w:p w14:paraId="5EFE0A9D" w14:textId="13B93994" w:rsidR="00455094" w:rsidRPr="009236A0" w:rsidRDefault="009F4197" w:rsidP="000E3ACA">
      <w:pPr>
        <w:pStyle w:val="Ttulo1"/>
        <w:spacing w:line="360" w:lineRule="auto"/>
      </w:pPr>
      <w:r w:rsidRPr="009236A0">
        <w:t xml:space="preserve">Source 2: Attachment Theory (Bowlby) </w:t>
      </w:r>
    </w:p>
    <w:p w14:paraId="6C061DA3" w14:textId="3A836D1F" w:rsidR="009F4197" w:rsidRPr="009236A0" w:rsidRDefault="009F4197" w:rsidP="000E3ACA">
      <w:pPr>
        <w:pStyle w:val="Ttulo1"/>
        <w:spacing w:line="360" w:lineRule="auto"/>
      </w:pPr>
      <w:r w:rsidRPr="009236A0">
        <w:t xml:space="preserve">Reference (Harvard style) </w:t>
      </w:r>
    </w:p>
    <w:p w14:paraId="41ABF225" w14:textId="7E8AE044" w:rsidR="009F4197" w:rsidRPr="009F4197" w:rsidRDefault="009F4197" w:rsidP="000E3ACA">
      <w:pPr>
        <w:spacing w:line="360" w:lineRule="auto"/>
        <w:rPr>
          <w:rFonts w:ascii="Arial" w:hAnsi="Arial" w:cs="Arial"/>
          <w:i/>
          <w:iCs/>
        </w:rPr>
      </w:pPr>
      <w:r w:rsidRPr="009F4197">
        <w:rPr>
          <w:rFonts w:ascii="Arial" w:hAnsi="Arial" w:cs="Arial"/>
        </w:rPr>
        <w:t>Rodway, C. (2025) Attachment in Old Age: A Fundamental Pillar for Public Health and Wellbeing</w:t>
      </w:r>
      <w:r w:rsidRPr="009F4197">
        <w:rPr>
          <w:rFonts w:ascii="Arial" w:hAnsi="Arial" w:cs="Arial"/>
          <w:i/>
          <w:iCs/>
        </w:rPr>
        <w:t xml:space="preserve">. International Journal of Public Health, 70, p. 1609270. </w:t>
      </w:r>
    </w:p>
    <w:p w14:paraId="7C756010" w14:textId="77777777" w:rsidR="009F4197" w:rsidRPr="009236A0" w:rsidRDefault="009F4197" w:rsidP="000E3ACA">
      <w:pPr>
        <w:pStyle w:val="Ttulo1"/>
        <w:spacing w:line="360" w:lineRule="auto"/>
      </w:pPr>
      <w:r w:rsidRPr="009236A0">
        <w:t xml:space="preserve">Summary </w:t>
      </w:r>
    </w:p>
    <w:p w14:paraId="3DF331DC" w14:textId="77777777" w:rsidR="009F4197" w:rsidRPr="009F4197" w:rsidRDefault="009F4197" w:rsidP="000E3ACA">
      <w:pPr>
        <w:spacing w:line="360" w:lineRule="auto"/>
        <w:jc w:val="both"/>
        <w:rPr>
          <w:rFonts w:ascii="Arial" w:hAnsi="Arial" w:cs="Arial"/>
        </w:rPr>
      </w:pPr>
      <w:r w:rsidRPr="009F4197">
        <w:rPr>
          <w:rFonts w:ascii="Arial" w:hAnsi="Arial" w:cs="Arial"/>
        </w:rPr>
        <w:t xml:space="preserve">This article explains that, according to Bowlby, attachment begins in early childhood; however, it is now widely recognised that attachment processes continue throughout the lifespan. In older adulthood, individuals continue to seek emotional security, protection, and support, particularly when facing vulnerability, illness, or loneliness. </w:t>
      </w:r>
    </w:p>
    <w:p w14:paraId="35CC9C10" w14:textId="77777777" w:rsidR="009F4197" w:rsidRPr="009F4197" w:rsidRDefault="009F4197" w:rsidP="000E3ACA">
      <w:pPr>
        <w:spacing w:line="360" w:lineRule="auto"/>
        <w:jc w:val="both"/>
        <w:rPr>
          <w:rFonts w:ascii="Arial" w:hAnsi="Arial" w:cs="Arial"/>
        </w:rPr>
      </w:pPr>
      <w:r w:rsidRPr="009F4197">
        <w:rPr>
          <w:rFonts w:ascii="Arial" w:hAnsi="Arial" w:cs="Arial"/>
        </w:rPr>
        <w:t xml:space="preserve">The article highlights that attachment in older adults plays a significant role in their relationships with healthcare professionals, who may become important sources of trust and security. Secure attachment can improve communication, increase adherence to treatment, and enhance emotional wellbeing. </w:t>
      </w:r>
    </w:p>
    <w:p w14:paraId="058BF52C" w14:textId="77777777" w:rsidR="009F4197" w:rsidRPr="009236A0" w:rsidRDefault="009F4197" w:rsidP="000E3ACA">
      <w:pPr>
        <w:pStyle w:val="Ttulo1"/>
        <w:spacing w:line="360" w:lineRule="auto"/>
      </w:pPr>
      <w:r w:rsidRPr="009236A0">
        <w:t xml:space="preserve">Critical Comment </w:t>
      </w:r>
    </w:p>
    <w:p w14:paraId="654946EA" w14:textId="77777777" w:rsidR="009F4197" w:rsidRPr="009F4197" w:rsidRDefault="009F4197" w:rsidP="000E3ACA">
      <w:pPr>
        <w:spacing w:line="360" w:lineRule="auto"/>
        <w:jc w:val="both"/>
        <w:rPr>
          <w:rFonts w:ascii="Arial" w:hAnsi="Arial" w:cs="Arial"/>
        </w:rPr>
      </w:pPr>
      <w:r w:rsidRPr="009F4197">
        <w:rPr>
          <w:rFonts w:ascii="Arial" w:hAnsi="Arial" w:cs="Arial"/>
        </w:rPr>
        <w:t xml:space="preserve">Attachment theory is highly relevant for supporting older adults, as it helps to understand their emotional needs in later life. In residential care settings, this theory can be applied by promoting trust, empathy, and strong relationships between healthcare professionals and residents, which can improve overall wellbeing and quality of care. </w:t>
      </w:r>
    </w:p>
    <w:p w14:paraId="39939B77" w14:textId="09EBF2F2" w:rsidR="009A374B" w:rsidRPr="009A374B" w:rsidRDefault="009F4197" w:rsidP="009A374B">
      <w:pPr>
        <w:spacing w:line="360" w:lineRule="auto"/>
        <w:jc w:val="both"/>
        <w:rPr>
          <w:rFonts w:ascii="Arial" w:hAnsi="Arial" w:cs="Arial"/>
        </w:rPr>
      </w:pPr>
      <w:r w:rsidRPr="009F4197">
        <w:rPr>
          <w:rFonts w:ascii="Arial" w:hAnsi="Arial" w:cs="Arial"/>
        </w:rPr>
        <w:t>However, a key limitation is that attachment theory is not always effectively integrated into public health policies or care systems. Additionally, factors such as lack of staff training, high patient demand, and li</w:t>
      </w:r>
      <w:r w:rsidR="00B3259C">
        <w:rPr>
          <w:rFonts w:ascii="Arial" w:hAnsi="Arial" w:cs="Arial"/>
        </w:rPr>
        <w:t>mited resources</w:t>
      </w:r>
      <w:r w:rsidR="002638B7">
        <w:rPr>
          <w:rFonts w:ascii="Arial" w:hAnsi="Arial" w:cs="Arial"/>
        </w:rPr>
        <w:t>,</w:t>
      </w:r>
      <w:r w:rsidR="009A374B">
        <w:rPr>
          <w:rFonts w:ascii="Arial" w:hAnsi="Arial" w:cs="Arial"/>
        </w:rPr>
        <w:t xml:space="preserve"> </w:t>
      </w:r>
      <w:r w:rsidR="009A374B" w:rsidRPr="009A374B">
        <w:rPr>
          <w:rFonts w:ascii="Arial" w:hAnsi="Arial" w:cs="Arial"/>
        </w:rPr>
        <w:t>which can make it difficult to fully apply attachment theory in practice.</w:t>
      </w:r>
    </w:p>
    <w:p w14:paraId="4606E840" w14:textId="77777777" w:rsidR="009A374B" w:rsidRDefault="009A374B" w:rsidP="009A374B">
      <w:pPr>
        <w:spacing w:line="360" w:lineRule="auto"/>
        <w:jc w:val="both"/>
      </w:pPr>
    </w:p>
    <w:p w14:paraId="733B9E54" w14:textId="77777777" w:rsidR="009A374B" w:rsidRDefault="009A374B" w:rsidP="009A374B">
      <w:pPr>
        <w:spacing w:line="360" w:lineRule="auto"/>
        <w:jc w:val="both"/>
      </w:pPr>
    </w:p>
    <w:p w14:paraId="72A11B84" w14:textId="1208B605" w:rsidR="00D57821" w:rsidRDefault="00315CEB" w:rsidP="009A374B">
      <w:pPr>
        <w:pStyle w:val="Ttulo1"/>
      </w:pPr>
      <w:r w:rsidRPr="009236A0">
        <w:lastRenderedPageBreak/>
        <w:t>Source 3: Psychodynamic Theory (Freud)</w:t>
      </w:r>
    </w:p>
    <w:p w14:paraId="3A7F6F0F" w14:textId="7E2BD541" w:rsidR="00315CEB" w:rsidRPr="009236A0" w:rsidRDefault="00315CEB" w:rsidP="000E3ACA">
      <w:pPr>
        <w:pStyle w:val="Ttulo1"/>
        <w:spacing w:line="360" w:lineRule="auto"/>
      </w:pPr>
      <w:r w:rsidRPr="009236A0">
        <w:t>Reference (Harvard style)</w:t>
      </w:r>
    </w:p>
    <w:p w14:paraId="1C6A38FC" w14:textId="45D452E3" w:rsidR="00315CEB" w:rsidRPr="009236A0" w:rsidRDefault="00315CEB" w:rsidP="000E3ACA">
      <w:pPr>
        <w:spacing w:line="360" w:lineRule="auto"/>
        <w:rPr>
          <w:rFonts w:ascii="Arial" w:hAnsi="Arial" w:cs="Arial"/>
          <w:i/>
          <w:iCs/>
        </w:rPr>
      </w:pPr>
      <w:r w:rsidRPr="0089487E">
        <w:rPr>
          <w:rFonts w:ascii="Arial" w:hAnsi="Arial" w:cs="Arial"/>
        </w:rPr>
        <w:t>Deal, K.H. (2007) Psychodynamic theory.</w:t>
      </w:r>
      <w:r w:rsidRPr="009236A0">
        <w:rPr>
          <w:rFonts w:ascii="Arial" w:hAnsi="Arial" w:cs="Arial"/>
          <w:i/>
          <w:iCs/>
        </w:rPr>
        <w:t xml:space="preserve"> Social Work, 52(2), pp. 165–172.</w:t>
      </w:r>
    </w:p>
    <w:p w14:paraId="4F85CB4E" w14:textId="77777777" w:rsidR="00315CEB" w:rsidRPr="009236A0" w:rsidRDefault="00315CEB" w:rsidP="000E3ACA">
      <w:pPr>
        <w:pStyle w:val="Ttulo1"/>
        <w:spacing w:line="360" w:lineRule="auto"/>
      </w:pPr>
      <w:r w:rsidRPr="009236A0">
        <w:t>Summary</w:t>
      </w:r>
    </w:p>
    <w:p w14:paraId="3B647E92" w14:textId="5AD54AE6" w:rsidR="00315CEB" w:rsidRPr="009236A0" w:rsidRDefault="00315CEB" w:rsidP="000E3ACA">
      <w:pPr>
        <w:spacing w:line="360" w:lineRule="auto"/>
        <w:jc w:val="both"/>
        <w:rPr>
          <w:rFonts w:ascii="Arial" w:hAnsi="Arial" w:cs="Arial"/>
        </w:rPr>
      </w:pPr>
      <w:r w:rsidRPr="009236A0">
        <w:rPr>
          <w:rFonts w:ascii="Arial" w:hAnsi="Arial" w:cs="Arial"/>
        </w:rPr>
        <w:t>This article explains the psychodynamic theory developed by Sigmund Freud, which aims to understand why individuals think, feel, and behave in certain ways. Freud argued that much of human behaviour is influenced by unconscious processes and unresolved emotional conflicts originating in childhood.</w:t>
      </w:r>
    </w:p>
    <w:p w14:paraId="3EE2D54C" w14:textId="77777777" w:rsidR="00315CEB" w:rsidRPr="009236A0" w:rsidRDefault="00315CEB" w:rsidP="000E3ACA">
      <w:pPr>
        <w:spacing w:line="360" w:lineRule="auto"/>
        <w:jc w:val="both"/>
        <w:rPr>
          <w:rFonts w:ascii="Arial" w:hAnsi="Arial" w:cs="Arial"/>
        </w:rPr>
      </w:pPr>
      <w:r w:rsidRPr="009236A0">
        <w:rPr>
          <w:rFonts w:ascii="Arial" w:hAnsi="Arial" w:cs="Arial"/>
        </w:rPr>
        <w:t>According to this theory, the unconscious mind stores emotions, traumas, memories, and desires which, although not visible, significantly influence behaviour. Childhood plays a crucial role, as early experiences can shape the type of adult a person becomes. For example, individuals who grow up in a loving and secure environment may develop greater trust in relationships, whereas those exposed to conflict may experience difficulties in adulthood.</w:t>
      </w:r>
    </w:p>
    <w:p w14:paraId="1F1D8CB1" w14:textId="77777777" w:rsidR="00315CEB" w:rsidRPr="009236A0" w:rsidRDefault="00315CEB" w:rsidP="000E3ACA">
      <w:pPr>
        <w:spacing w:line="360" w:lineRule="auto"/>
        <w:jc w:val="both"/>
        <w:rPr>
          <w:rFonts w:ascii="Arial" w:hAnsi="Arial" w:cs="Arial"/>
        </w:rPr>
      </w:pPr>
    </w:p>
    <w:p w14:paraId="24D755DC" w14:textId="4BAB3219" w:rsidR="00315CEB" w:rsidRPr="009236A0" w:rsidRDefault="00315CEB" w:rsidP="000E3ACA">
      <w:pPr>
        <w:spacing w:line="360" w:lineRule="auto"/>
        <w:jc w:val="both"/>
        <w:rPr>
          <w:rFonts w:ascii="Arial" w:hAnsi="Arial" w:cs="Arial"/>
        </w:rPr>
      </w:pPr>
      <w:r w:rsidRPr="009236A0">
        <w:rPr>
          <w:rFonts w:ascii="Arial" w:hAnsi="Arial" w:cs="Arial"/>
        </w:rPr>
        <w:t>The theory also highlights the presence of internal conflicts, which can lead to anxiety. To cope with these tensions, individuals use defence mechanisms such as denial, avoidance, and rationalisation.</w:t>
      </w:r>
    </w:p>
    <w:p w14:paraId="5BE8C1DC" w14:textId="77777777" w:rsidR="00315CEB" w:rsidRPr="009236A0" w:rsidRDefault="00315CEB" w:rsidP="000E3ACA">
      <w:pPr>
        <w:pStyle w:val="Ttulo1"/>
        <w:spacing w:line="360" w:lineRule="auto"/>
      </w:pPr>
      <w:r w:rsidRPr="009236A0">
        <w:t>Critical Comment</w:t>
      </w:r>
    </w:p>
    <w:p w14:paraId="0B61F7FB" w14:textId="77777777" w:rsidR="00315CEB" w:rsidRPr="009236A0" w:rsidRDefault="00315CEB" w:rsidP="00DD1583">
      <w:pPr>
        <w:spacing w:line="360" w:lineRule="auto"/>
        <w:jc w:val="both"/>
        <w:rPr>
          <w:rFonts w:ascii="Arial" w:hAnsi="Arial" w:cs="Arial"/>
        </w:rPr>
      </w:pPr>
      <w:r w:rsidRPr="009236A0">
        <w:rPr>
          <w:rFonts w:ascii="Arial" w:hAnsi="Arial" w:cs="Arial"/>
        </w:rPr>
        <w:t>This theory is relevant to older adults, as it suggests that childhood experiences continue to influence behaviour in later life. Unresolved trauma and hidden emotions may affect how older individuals respond to vulnerability, illness, or social situations.</w:t>
      </w:r>
    </w:p>
    <w:p w14:paraId="0150DB89" w14:textId="77777777" w:rsidR="00315CEB" w:rsidRPr="009236A0" w:rsidRDefault="00315CEB" w:rsidP="00DD1583">
      <w:pPr>
        <w:spacing w:line="360" w:lineRule="auto"/>
        <w:jc w:val="both"/>
        <w:rPr>
          <w:rFonts w:ascii="Arial" w:hAnsi="Arial" w:cs="Arial"/>
        </w:rPr>
      </w:pPr>
      <w:r w:rsidRPr="009236A0">
        <w:rPr>
          <w:rFonts w:ascii="Arial" w:hAnsi="Arial" w:cs="Arial"/>
        </w:rPr>
        <w:t>In residential care settings, understanding psychodynamic theory can help professionals recognise emotional needs, past trauma, and behavioural patterns in older adults, allowing for more empathetic and personalised care.</w:t>
      </w:r>
    </w:p>
    <w:p w14:paraId="04ADEBCB" w14:textId="03802B4A" w:rsidR="00315CEB" w:rsidRPr="009236A0" w:rsidRDefault="00315CEB" w:rsidP="00DD1583">
      <w:pPr>
        <w:spacing w:line="360" w:lineRule="auto"/>
        <w:jc w:val="both"/>
        <w:rPr>
          <w:rFonts w:ascii="Arial" w:hAnsi="Arial" w:cs="Arial"/>
        </w:rPr>
      </w:pPr>
      <w:r w:rsidRPr="009236A0">
        <w:rPr>
          <w:rFonts w:ascii="Arial" w:hAnsi="Arial" w:cs="Arial"/>
        </w:rPr>
        <w:t xml:space="preserve">However, a key limitation of psychodynamic theory is that it is highly theoretical and difficult to test scientifically. Additionally, it may not always be easy to apply in practical settings such as care homes due to time constraints and lack of specialised training. Despite this, the theory </w:t>
      </w:r>
      <w:r w:rsidRPr="009236A0">
        <w:rPr>
          <w:rFonts w:ascii="Arial" w:hAnsi="Arial" w:cs="Arial"/>
        </w:rPr>
        <w:lastRenderedPageBreak/>
        <w:t>remains valuable as it reflects important aspects of human behaviour and helps to understand personality, emotions, and relationships.</w:t>
      </w:r>
    </w:p>
    <w:p w14:paraId="1E9FE413" w14:textId="6998D870" w:rsidR="003A0968" w:rsidRPr="009236A0" w:rsidRDefault="003A0968" w:rsidP="000E3ACA">
      <w:pPr>
        <w:pStyle w:val="Ttulo1"/>
        <w:spacing w:line="360" w:lineRule="auto"/>
      </w:pPr>
      <w:r w:rsidRPr="009236A0">
        <w:t>Source 4: Psychodynamic Theory (Freud)</w:t>
      </w:r>
    </w:p>
    <w:p w14:paraId="7574EC38" w14:textId="77777777" w:rsidR="003A0968" w:rsidRPr="009236A0" w:rsidRDefault="003A0968" w:rsidP="000E3ACA">
      <w:pPr>
        <w:pStyle w:val="Ttulo1"/>
        <w:spacing w:line="360" w:lineRule="auto"/>
      </w:pPr>
      <w:r w:rsidRPr="009236A0">
        <w:t>Reference (Harvard style)</w:t>
      </w:r>
    </w:p>
    <w:p w14:paraId="5DD241DE" w14:textId="219728A4" w:rsidR="00315CEB" w:rsidRPr="009236A0" w:rsidRDefault="003A0968" w:rsidP="000E3ACA">
      <w:pPr>
        <w:spacing w:line="360" w:lineRule="auto"/>
        <w:jc w:val="both"/>
        <w:rPr>
          <w:rFonts w:ascii="Arial" w:hAnsi="Arial" w:cs="Arial"/>
          <w:i/>
          <w:iCs/>
        </w:rPr>
      </w:pPr>
      <w:r w:rsidRPr="0089487E">
        <w:rPr>
          <w:rFonts w:ascii="Arial" w:hAnsi="Arial" w:cs="Arial"/>
        </w:rPr>
        <w:t>Fonagy, P. (2015) The effectiveness of psychodynamic psychotherapies: An update</w:t>
      </w:r>
      <w:r w:rsidRPr="009236A0">
        <w:rPr>
          <w:rFonts w:ascii="Arial" w:hAnsi="Arial" w:cs="Arial"/>
          <w:i/>
          <w:iCs/>
        </w:rPr>
        <w:t>. World Psychiatry, 14(2), pp. 137–150.</w:t>
      </w:r>
    </w:p>
    <w:p w14:paraId="15CCD10D" w14:textId="77777777" w:rsidR="003A0968" w:rsidRPr="009236A0" w:rsidRDefault="003A0968" w:rsidP="000E3ACA">
      <w:pPr>
        <w:pStyle w:val="Ttulo1"/>
        <w:spacing w:line="360" w:lineRule="auto"/>
      </w:pPr>
      <w:r w:rsidRPr="009236A0">
        <w:t>Summary</w:t>
      </w:r>
    </w:p>
    <w:p w14:paraId="6D7C9DCC" w14:textId="77777777" w:rsidR="003A0968" w:rsidRPr="009236A0" w:rsidRDefault="003A0968" w:rsidP="000E3ACA">
      <w:pPr>
        <w:spacing w:line="360" w:lineRule="auto"/>
        <w:jc w:val="both"/>
        <w:rPr>
          <w:rFonts w:ascii="Arial" w:hAnsi="Arial" w:cs="Arial"/>
        </w:rPr>
      </w:pPr>
      <w:r w:rsidRPr="009236A0">
        <w:rPr>
          <w:rFonts w:ascii="Arial" w:hAnsi="Arial" w:cs="Arial"/>
        </w:rPr>
        <w:t>This article explores the effectiveness of psychodynamic psychotherapy and its relevance in understanding human behaviour. Based on Freud’s original ideas, psychodynamic theory focuses on unconscious processes, early life experiences, and emotional conflicts that influence thoughts and behaviour.</w:t>
      </w:r>
    </w:p>
    <w:p w14:paraId="60BE9AE6" w14:textId="77777777" w:rsidR="003A0968" w:rsidRPr="009236A0" w:rsidRDefault="003A0968" w:rsidP="000E3ACA">
      <w:pPr>
        <w:spacing w:line="360" w:lineRule="auto"/>
        <w:jc w:val="both"/>
        <w:rPr>
          <w:rFonts w:ascii="Arial" w:hAnsi="Arial" w:cs="Arial"/>
        </w:rPr>
      </w:pPr>
    </w:p>
    <w:p w14:paraId="2337EDDC" w14:textId="0B494E7D" w:rsidR="003A0968" w:rsidRPr="009236A0" w:rsidRDefault="003A0968" w:rsidP="000E3ACA">
      <w:pPr>
        <w:spacing w:line="360" w:lineRule="auto"/>
        <w:jc w:val="both"/>
        <w:rPr>
          <w:rFonts w:ascii="Arial" w:hAnsi="Arial" w:cs="Arial"/>
        </w:rPr>
      </w:pPr>
      <w:r w:rsidRPr="009236A0">
        <w:rPr>
          <w:rFonts w:ascii="Arial" w:hAnsi="Arial" w:cs="Arial"/>
        </w:rPr>
        <w:t>The article highlights that psychodynamic approaches can help individuals understand hidden emotions and unresolved conflicts, improving emotional regulation and interpersonal relationships. It also provides evidence that psychodynamic therapy can be effective in treating a range of mental health conditions, including depression and anxiety.</w:t>
      </w:r>
    </w:p>
    <w:p w14:paraId="20992590" w14:textId="77777777" w:rsidR="003A0968" w:rsidRPr="009236A0" w:rsidRDefault="003A0968" w:rsidP="000E3ACA">
      <w:pPr>
        <w:pStyle w:val="Ttulo1"/>
        <w:spacing w:line="360" w:lineRule="auto"/>
      </w:pPr>
      <w:r w:rsidRPr="009236A0">
        <w:t>Critical Comment</w:t>
      </w:r>
    </w:p>
    <w:p w14:paraId="2E42C90D" w14:textId="77777777" w:rsidR="003A0968" w:rsidRPr="009236A0" w:rsidRDefault="003A0968" w:rsidP="000E3ACA">
      <w:pPr>
        <w:spacing w:line="360" w:lineRule="auto"/>
        <w:jc w:val="both"/>
        <w:rPr>
          <w:rFonts w:ascii="Arial" w:hAnsi="Arial" w:cs="Arial"/>
        </w:rPr>
      </w:pPr>
      <w:r w:rsidRPr="009236A0">
        <w:rPr>
          <w:rFonts w:ascii="Arial" w:hAnsi="Arial" w:cs="Arial"/>
        </w:rPr>
        <w:t>This theory is relevant for older adults as it helps to understand how past experiences and unresolved emotional conflicts may continue to influence behaviour in later life. In care home settings, psychodynamic approaches can support professionals in recognising emotional needs, improving communication, and responding more effectively to residents’ behaviours.</w:t>
      </w:r>
    </w:p>
    <w:p w14:paraId="6AE06BE3" w14:textId="350A87C0" w:rsidR="007A3EAF" w:rsidRPr="009236A0" w:rsidRDefault="003A0968" w:rsidP="000E3ACA">
      <w:pPr>
        <w:spacing w:line="360" w:lineRule="auto"/>
        <w:jc w:val="both"/>
        <w:rPr>
          <w:rFonts w:ascii="Arial" w:hAnsi="Arial" w:cs="Arial"/>
        </w:rPr>
      </w:pPr>
      <w:r w:rsidRPr="009236A0">
        <w:rPr>
          <w:rFonts w:ascii="Arial" w:hAnsi="Arial" w:cs="Arial"/>
        </w:rPr>
        <w:t>However, a limitation is that psychodynamic approaches often require time, specialised training, and long-term therapeutic relationships, which may not always be feasible in residential care environments. Additionally, some aspects of the theory remain difficult to measure scientifically. Despite this, it remains valuable for understanding emotional and psychological processes.</w:t>
      </w:r>
    </w:p>
    <w:p w14:paraId="5855269A" w14:textId="68EDB8BA" w:rsidR="000E3ACA" w:rsidRPr="00D57821" w:rsidRDefault="009236A0" w:rsidP="00D57821">
      <w:pPr>
        <w:pStyle w:val="Ttulo1"/>
        <w:rPr>
          <w:rFonts w:ascii="Arial" w:hAnsi="Arial" w:cs="Arial"/>
        </w:rPr>
      </w:pPr>
      <w:r w:rsidRPr="009236A0">
        <w:lastRenderedPageBreak/>
        <w:t>Part B:</w:t>
      </w:r>
    </w:p>
    <w:p w14:paraId="3504FFE8" w14:textId="74BB811D" w:rsidR="000E3ACA" w:rsidRDefault="001E223C" w:rsidP="000E3ACA">
      <w:pPr>
        <w:pStyle w:val="Ttulo1"/>
        <w:spacing w:line="276" w:lineRule="auto"/>
      </w:pPr>
      <w:r w:rsidRPr="009236A0">
        <w:t>Introduction</w:t>
      </w:r>
    </w:p>
    <w:p w14:paraId="59EDB345" w14:textId="3152C1F0" w:rsidR="009C2325" w:rsidRPr="000E3ACA" w:rsidRDefault="009C2325" w:rsidP="009C2325">
      <w:pPr>
        <w:pStyle w:val="Ttulo1"/>
        <w:spacing w:line="360" w:lineRule="auto"/>
        <w:jc w:val="both"/>
      </w:pPr>
      <w:r>
        <w:rPr>
          <w:rFonts w:ascii="Arial" w:hAnsi="Arial" w:cs="Arial"/>
          <w:color w:val="000000" w:themeColor="text1"/>
          <w:sz w:val="22"/>
          <w:szCs w:val="22"/>
        </w:rPr>
        <w:t xml:space="preserve">Bowlby’s attachment theory suggest that early life experiences strongly influence a person’s emotional and social development. </w:t>
      </w:r>
      <w:r w:rsidRPr="009236A0">
        <w:rPr>
          <w:rFonts w:ascii="Arial" w:hAnsi="Arial" w:cs="Arial"/>
          <w:color w:val="000000" w:themeColor="text1"/>
          <w:sz w:val="22"/>
          <w:szCs w:val="22"/>
        </w:rPr>
        <w:t xml:space="preserve"> </w:t>
      </w:r>
      <w:r>
        <w:rPr>
          <w:rFonts w:ascii="Arial" w:hAnsi="Arial" w:cs="Arial"/>
          <w:color w:val="000000" w:themeColor="text1"/>
          <w:sz w:val="22"/>
          <w:szCs w:val="22"/>
        </w:rPr>
        <w:t xml:space="preserve">These experiences have </w:t>
      </w:r>
      <w:r w:rsidRPr="009236A0">
        <w:rPr>
          <w:rFonts w:ascii="Arial" w:hAnsi="Arial" w:cs="Arial"/>
          <w:color w:val="000000" w:themeColor="text1"/>
          <w:sz w:val="22"/>
          <w:szCs w:val="22"/>
        </w:rPr>
        <w:t>a</w:t>
      </w:r>
      <w:r w:rsidRPr="009236A0">
        <w:rPr>
          <w:rFonts w:ascii="Arial" w:hAnsi="Arial" w:cs="Arial"/>
          <w:color w:val="000000" w:themeColor="text1"/>
          <w:sz w:val="22"/>
          <w:szCs w:val="22"/>
        </w:rPr>
        <w:t xml:space="preserve"> significant impact on individuals’ emotional and social development. When individuals receive love, care, and support, they are more likely to develop confidence in themselves and in others, which positively influences their relationships and behaviour in adulthood.</w:t>
      </w:r>
    </w:p>
    <w:p w14:paraId="0F03349D" w14:textId="77777777" w:rsidR="009C2325" w:rsidRPr="009236A0" w:rsidRDefault="009C2325" w:rsidP="009C2325">
      <w:pPr>
        <w:pStyle w:val="Ttulo1"/>
        <w:spacing w:line="360" w:lineRule="auto"/>
        <w:jc w:val="both"/>
        <w:rPr>
          <w:rFonts w:ascii="Arial" w:hAnsi="Arial" w:cs="Arial"/>
          <w:color w:val="000000" w:themeColor="text1"/>
          <w:sz w:val="22"/>
          <w:szCs w:val="22"/>
        </w:rPr>
      </w:pPr>
      <w:r w:rsidRPr="009236A0">
        <w:rPr>
          <w:rFonts w:ascii="Arial" w:hAnsi="Arial" w:cs="Arial"/>
          <w:color w:val="000000" w:themeColor="text1"/>
          <w:sz w:val="22"/>
          <w:szCs w:val="22"/>
        </w:rPr>
        <w:t>However, the need for emotional security does not disappear with age. In older adulthood, individuals continue to require protection, emotional support, and trusting relationships, particularly in residential care settings. For this reason, attachment theory is essential for understanding and improving the psychological wellbeing of older adults.</w:t>
      </w:r>
    </w:p>
    <w:p w14:paraId="0F2FCD08" w14:textId="77777777" w:rsidR="00C72AE5" w:rsidRPr="009236A0" w:rsidRDefault="00C72AE5" w:rsidP="000E3ACA">
      <w:pPr>
        <w:spacing w:line="360" w:lineRule="auto"/>
        <w:rPr>
          <w:rFonts w:ascii="Arial" w:hAnsi="Arial" w:cs="Arial"/>
        </w:rPr>
      </w:pPr>
    </w:p>
    <w:p w14:paraId="2BB0E74E" w14:textId="554FB7CC" w:rsidR="00C72AE5" w:rsidRDefault="00C72AE5" w:rsidP="000E3ACA">
      <w:pPr>
        <w:pStyle w:val="Ttulo1"/>
        <w:spacing w:line="360" w:lineRule="auto"/>
      </w:pPr>
      <w:r w:rsidRPr="009236A0">
        <w:t xml:space="preserve">Explanation </w:t>
      </w:r>
    </w:p>
    <w:p w14:paraId="5310F864" w14:textId="77777777" w:rsidR="009C2325" w:rsidRPr="009C2325" w:rsidRDefault="009C2325" w:rsidP="009C2325">
      <w:pPr>
        <w:spacing w:line="360" w:lineRule="auto"/>
        <w:jc w:val="both"/>
        <w:rPr>
          <w:rFonts w:ascii="Arial" w:hAnsi="Arial" w:cs="Arial"/>
        </w:rPr>
      </w:pPr>
      <w:r w:rsidRPr="009C2325">
        <w:rPr>
          <w:rFonts w:ascii="Arial" w:hAnsi="Arial" w:cs="Arial"/>
        </w:rPr>
        <w:t>This theory highlights that children form emotional connections with caregivers, which are essential for emotional and social development. These bonds are formed through early interactions, particularly when caregivers respond consistently and sensitively to the child’s needs.</w:t>
      </w:r>
    </w:p>
    <w:p w14:paraId="5CB800CB" w14:textId="77777777" w:rsidR="009C2325" w:rsidRPr="009C2325" w:rsidRDefault="009C2325" w:rsidP="009C2325">
      <w:pPr>
        <w:spacing w:line="360" w:lineRule="auto"/>
        <w:jc w:val="both"/>
        <w:rPr>
          <w:rFonts w:ascii="Arial" w:hAnsi="Arial" w:cs="Arial"/>
        </w:rPr>
      </w:pPr>
      <w:r w:rsidRPr="009C2325">
        <w:rPr>
          <w:rFonts w:ascii="Arial" w:hAnsi="Arial" w:cs="Arial"/>
        </w:rPr>
        <w:t>The theory suggests that human development is not only biological but also emotional, shaped by relationships and the affection received during early life. These relationships help children feel safe and supported, allowing them to explore their environment and develop confidence in themselves and others.</w:t>
      </w:r>
    </w:p>
    <w:p w14:paraId="0BD34EAF" w14:textId="77777777" w:rsidR="009C2325" w:rsidRPr="009C2325" w:rsidRDefault="009C2325" w:rsidP="009C2325">
      <w:pPr>
        <w:spacing w:line="360" w:lineRule="auto"/>
        <w:jc w:val="both"/>
        <w:rPr>
          <w:rFonts w:ascii="Arial" w:hAnsi="Arial" w:cs="Arial"/>
        </w:rPr>
      </w:pPr>
      <w:r w:rsidRPr="009C2325">
        <w:rPr>
          <w:rFonts w:ascii="Arial" w:hAnsi="Arial" w:cs="Arial"/>
        </w:rPr>
        <w:t>Furthermore, Bowlby proposed that these early attachments influence how individuals form relationships in adulthood, affecting their behaviour, emotions, and ability to connect with others. In care home settings, attachment theory suggests that personal needs developed in childhood continue throughout life. Older adults may experience an increased need for emotional security, support, and protection, particularly when living in residential care settings.</w:t>
      </w:r>
    </w:p>
    <w:p w14:paraId="32FA9EE0" w14:textId="3A9FDE3E" w:rsidR="009C2325" w:rsidRPr="009C2325" w:rsidRDefault="009C2325" w:rsidP="009C2325">
      <w:pPr>
        <w:spacing w:line="360" w:lineRule="auto"/>
        <w:jc w:val="both"/>
        <w:rPr>
          <w:rFonts w:ascii="Arial" w:hAnsi="Arial" w:cs="Arial"/>
        </w:rPr>
      </w:pPr>
      <w:r w:rsidRPr="009C2325">
        <w:rPr>
          <w:rFonts w:ascii="Arial" w:hAnsi="Arial" w:cs="Arial"/>
        </w:rPr>
        <w:t xml:space="preserve">In this context, healthcare professionals and caregivers play a crucial role, as they can become attachment figures for residents. Through empathy, effective communication, and the development of trusting relationships, caregivers can significantly contribute to the </w:t>
      </w:r>
      <w:r w:rsidRPr="009C2325">
        <w:rPr>
          <w:rFonts w:ascii="Arial" w:hAnsi="Arial" w:cs="Arial"/>
        </w:rPr>
        <w:lastRenderedPageBreak/>
        <w:t>psychological wellbeing of older adults. However, in practice, these needs are not always fully met due to factors such as high numbers of residents, limited staff, and insufficient training. Therefore, it is essential to improve staff training, promote better working conditions, and adopt a person-centred approach to care.</w:t>
      </w:r>
    </w:p>
    <w:p w14:paraId="4E3D1CC8" w14:textId="77777777" w:rsidR="009C2325" w:rsidRPr="009C2325" w:rsidRDefault="009C2325" w:rsidP="009C2325">
      <w:pPr>
        <w:spacing w:line="360" w:lineRule="auto"/>
        <w:jc w:val="both"/>
        <w:rPr>
          <w:rFonts w:ascii="Arial" w:hAnsi="Arial" w:cs="Arial"/>
        </w:rPr>
      </w:pPr>
    </w:p>
    <w:p w14:paraId="450DF979" w14:textId="77777777" w:rsidR="009C2325" w:rsidRPr="009C2325" w:rsidRDefault="009C2325" w:rsidP="009C2325">
      <w:pPr>
        <w:jc w:val="both"/>
        <w:rPr>
          <w:rFonts w:ascii="Arial" w:hAnsi="Arial" w:cs="Arial"/>
        </w:rPr>
      </w:pPr>
    </w:p>
    <w:p w14:paraId="5CE6C604" w14:textId="77777777" w:rsidR="009C2325" w:rsidRPr="009C2325" w:rsidRDefault="009C2325" w:rsidP="009C2325">
      <w:pPr>
        <w:jc w:val="both"/>
        <w:rPr>
          <w:rFonts w:ascii="Arial" w:hAnsi="Arial" w:cs="Arial"/>
        </w:rPr>
      </w:pPr>
    </w:p>
    <w:p w14:paraId="7A32A2FE" w14:textId="77777777" w:rsidR="009C2325" w:rsidRDefault="009C2325" w:rsidP="000E3ACA">
      <w:pPr>
        <w:pStyle w:val="Ttulo1"/>
        <w:spacing w:line="360" w:lineRule="auto"/>
      </w:pPr>
    </w:p>
    <w:p w14:paraId="5E4C5739" w14:textId="1C476677" w:rsidR="001E223C" w:rsidRPr="009236A0" w:rsidRDefault="00C72AE5" w:rsidP="000E3ACA">
      <w:pPr>
        <w:pStyle w:val="Ttulo1"/>
        <w:spacing w:line="360" w:lineRule="auto"/>
      </w:pPr>
      <w:r w:rsidRPr="009236A0">
        <w:t xml:space="preserve">Application in Care Home </w:t>
      </w:r>
    </w:p>
    <w:p w14:paraId="0B66C2CB" w14:textId="6E87797B" w:rsidR="001E223C" w:rsidRPr="009236A0" w:rsidRDefault="001E223C" w:rsidP="000E3ACA">
      <w:pPr>
        <w:pStyle w:val="Ttulo1"/>
        <w:spacing w:line="360" w:lineRule="auto"/>
        <w:rPr>
          <w:rFonts w:ascii="Arial" w:hAnsi="Arial" w:cs="Arial"/>
          <w:sz w:val="22"/>
          <w:szCs w:val="22"/>
        </w:rPr>
      </w:pPr>
      <w:r w:rsidRPr="009236A0">
        <w:rPr>
          <w:rFonts w:ascii="Arial" w:hAnsi="Arial" w:cs="Arial"/>
          <w:color w:val="000000" w:themeColor="text1"/>
          <w:sz w:val="22"/>
          <w:szCs w:val="22"/>
        </w:rPr>
        <w:t>Attachment theory suggests that emotional needs developed in childhood continue throughout the lifespan, including in older adulthood. Older adults may experience an increased need for emotional security, support, and protection, particularly when living in residential care settings.</w:t>
      </w:r>
    </w:p>
    <w:p w14:paraId="122FF660" w14:textId="77777777" w:rsidR="001E223C" w:rsidRPr="009236A0" w:rsidRDefault="001E223C" w:rsidP="000E3ACA">
      <w:pPr>
        <w:pStyle w:val="Ttulo1"/>
        <w:spacing w:line="360" w:lineRule="auto"/>
        <w:jc w:val="both"/>
        <w:rPr>
          <w:rFonts w:ascii="Arial" w:hAnsi="Arial" w:cs="Arial"/>
          <w:color w:val="000000" w:themeColor="text1"/>
          <w:sz w:val="22"/>
          <w:szCs w:val="22"/>
        </w:rPr>
      </w:pPr>
      <w:r w:rsidRPr="009236A0">
        <w:rPr>
          <w:rFonts w:ascii="Arial" w:hAnsi="Arial" w:cs="Arial"/>
          <w:color w:val="000000" w:themeColor="text1"/>
          <w:sz w:val="22"/>
          <w:szCs w:val="22"/>
        </w:rPr>
        <w:t>In this context, healthcare professionals and caregivers play a crucial role, as they can become attachment figures for residents. Through empathy, effective communication, and the development of trusting relationships, caregivers can significantly contribute to the emotional wellbeing of older adults.</w:t>
      </w:r>
    </w:p>
    <w:p w14:paraId="01D7F27E" w14:textId="44768743" w:rsidR="00CC7E44" w:rsidRPr="009236A0" w:rsidRDefault="001E223C" w:rsidP="000E3ACA">
      <w:pPr>
        <w:pStyle w:val="Ttulo1"/>
        <w:spacing w:line="360" w:lineRule="auto"/>
        <w:jc w:val="both"/>
        <w:rPr>
          <w:rFonts w:ascii="Arial" w:hAnsi="Arial" w:cs="Arial"/>
          <w:color w:val="000000" w:themeColor="text1"/>
          <w:sz w:val="22"/>
          <w:szCs w:val="22"/>
        </w:rPr>
      </w:pPr>
      <w:r w:rsidRPr="009236A0">
        <w:rPr>
          <w:rFonts w:ascii="Arial" w:hAnsi="Arial" w:cs="Arial"/>
          <w:color w:val="000000" w:themeColor="text1"/>
          <w:sz w:val="22"/>
          <w:szCs w:val="22"/>
        </w:rPr>
        <w:t>However, in practice, these needs are not always fully met due to factors such as high numbers of residents, limited staff, and insufficient training. Therefore, it is essential to improve staff training, promote better working conditions, and adopt a person-centred approach to care, recognising that emotional wellbeing is as important as physical care.</w:t>
      </w:r>
    </w:p>
    <w:p w14:paraId="70A7FB42" w14:textId="2995DE94" w:rsidR="000E3ACA" w:rsidRDefault="001E223C" w:rsidP="000E3ACA">
      <w:pPr>
        <w:pStyle w:val="Ttulo1"/>
        <w:spacing w:line="360" w:lineRule="auto"/>
      </w:pPr>
      <w:r w:rsidRPr="009236A0">
        <w:t>C</w:t>
      </w:r>
      <w:r w:rsidR="009B0583">
        <w:t>ase Example</w:t>
      </w:r>
    </w:p>
    <w:p w14:paraId="5AA6926D" w14:textId="3D25DD4F" w:rsidR="000C5467" w:rsidRPr="000C5467" w:rsidRDefault="000C5467" w:rsidP="000E3ACA">
      <w:pPr>
        <w:pStyle w:val="Ttulo1"/>
        <w:spacing w:line="360" w:lineRule="auto"/>
      </w:pPr>
      <w:r w:rsidRPr="000C5467">
        <w:rPr>
          <w:rFonts w:ascii="Arial" w:hAnsi="Arial" w:cs="Arial"/>
          <w:color w:val="000000" w:themeColor="text1"/>
          <w:sz w:val="22"/>
          <w:szCs w:val="22"/>
        </w:rPr>
        <w:t>An example of this can be seen in the case of Ana, an 80-year-old woman living in a residential care home. Ana is diagnosed with Alzheimer’s disease and, as a result, she wakes up each day without recognising who she is or where she is, which can lead to confusion, anxiety, and a sense of insecurity.</w:t>
      </w:r>
    </w:p>
    <w:p w14:paraId="478C28D1" w14:textId="77777777" w:rsidR="000C5467" w:rsidRPr="009236A0" w:rsidRDefault="000C5467" w:rsidP="000E3ACA">
      <w:pPr>
        <w:pStyle w:val="Ttulo1"/>
        <w:spacing w:line="360" w:lineRule="auto"/>
        <w:jc w:val="both"/>
        <w:rPr>
          <w:rFonts w:ascii="Arial" w:hAnsi="Arial" w:cs="Arial"/>
          <w:color w:val="000000" w:themeColor="text1"/>
          <w:sz w:val="22"/>
          <w:szCs w:val="22"/>
        </w:rPr>
      </w:pPr>
      <w:r w:rsidRPr="000C5467">
        <w:rPr>
          <w:rFonts w:ascii="Arial" w:hAnsi="Arial" w:cs="Arial"/>
          <w:color w:val="000000" w:themeColor="text1"/>
          <w:sz w:val="22"/>
          <w:szCs w:val="22"/>
        </w:rPr>
        <w:t>In addition to her cognitive condition, Ana also suffers from multiple physical health problems, including heart issues, unstable blood glucose levels, and a recent knee injury following a fall. These conditions require a high level of daily care, including assistance with feeding, medication administration, and support with basic daily activities.</w:t>
      </w:r>
    </w:p>
    <w:p w14:paraId="5DF3D2FB" w14:textId="74BE6741" w:rsidR="000C5467" w:rsidRPr="000C5467" w:rsidRDefault="000C5467" w:rsidP="000E3ACA">
      <w:pPr>
        <w:pStyle w:val="Ttulo1"/>
        <w:spacing w:line="360" w:lineRule="auto"/>
        <w:jc w:val="both"/>
        <w:rPr>
          <w:rFonts w:ascii="Arial" w:hAnsi="Arial" w:cs="Arial"/>
          <w:color w:val="000000" w:themeColor="text1"/>
          <w:sz w:val="22"/>
          <w:szCs w:val="22"/>
        </w:rPr>
      </w:pPr>
      <w:r w:rsidRPr="000C5467">
        <w:rPr>
          <w:rFonts w:ascii="Arial" w:hAnsi="Arial" w:cs="Arial"/>
          <w:color w:val="000000" w:themeColor="text1"/>
          <w:sz w:val="22"/>
          <w:szCs w:val="22"/>
        </w:rPr>
        <w:t>Beyond her physical needs, Ana also requires continuous emotional support, as her condition makes her particularly vulnerable. In this context, caregivers can act as attachment figures by providing safety, stability, and reassurance.</w:t>
      </w:r>
    </w:p>
    <w:p w14:paraId="6DF1C0DF" w14:textId="77777777" w:rsidR="000C5467" w:rsidRPr="000C5467" w:rsidRDefault="000C5467" w:rsidP="000E3ACA">
      <w:pPr>
        <w:pStyle w:val="Ttulo1"/>
        <w:spacing w:line="360" w:lineRule="auto"/>
        <w:jc w:val="both"/>
        <w:rPr>
          <w:rFonts w:ascii="Arial" w:hAnsi="Arial" w:cs="Arial"/>
          <w:color w:val="000000" w:themeColor="text1"/>
          <w:sz w:val="22"/>
          <w:szCs w:val="22"/>
        </w:rPr>
      </w:pPr>
      <w:r w:rsidRPr="000C5467">
        <w:rPr>
          <w:rFonts w:ascii="Arial" w:hAnsi="Arial" w:cs="Arial"/>
          <w:color w:val="000000" w:themeColor="text1"/>
          <w:sz w:val="22"/>
          <w:szCs w:val="22"/>
        </w:rPr>
        <w:lastRenderedPageBreak/>
        <w:t xml:space="preserve">Through empathy, patience, and consistent care, professionals can help reduce Ana’s anxiety and improve her emotional wellbeing. This example demonstrates the importance of applying attachment theory in care settings, highlighting the need for both emotional and physical support </w:t>
      </w:r>
      <w:proofErr w:type="gramStart"/>
      <w:r w:rsidRPr="000C5467">
        <w:rPr>
          <w:rFonts w:ascii="Arial" w:hAnsi="Arial" w:cs="Arial"/>
          <w:color w:val="000000" w:themeColor="text1"/>
          <w:sz w:val="22"/>
          <w:szCs w:val="22"/>
        </w:rPr>
        <w:t>in order to</w:t>
      </w:r>
      <w:proofErr w:type="gramEnd"/>
      <w:r w:rsidRPr="000C5467">
        <w:rPr>
          <w:rFonts w:ascii="Arial" w:hAnsi="Arial" w:cs="Arial"/>
          <w:color w:val="000000" w:themeColor="text1"/>
          <w:sz w:val="22"/>
          <w:szCs w:val="22"/>
        </w:rPr>
        <w:t xml:space="preserve"> provide holistic care.</w:t>
      </w:r>
    </w:p>
    <w:p w14:paraId="6ECF226F" w14:textId="790CA135" w:rsidR="001E223C" w:rsidRPr="009236A0" w:rsidRDefault="001E223C" w:rsidP="000E3ACA">
      <w:pPr>
        <w:pStyle w:val="Ttulo1"/>
        <w:spacing w:line="360" w:lineRule="auto"/>
      </w:pPr>
      <w:r w:rsidRPr="009236A0">
        <w:t>C</w:t>
      </w:r>
      <w:r w:rsidR="009B0583">
        <w:t>hallenge</w:t>
      </w:r>
    </w:p>
    <w:p w14:paraId="3BC9C320" w14:textId="77777777" w:rsidR="001E223C" w:rsidRPr="009236A0" w:rsidRDefault="001E223C" w:rsidP="000E3ACA">
      <w:pPr>
        <w:spacing w:line="360" w:lineRule="auto"/>
        <w:jc w:val="both"/>
        <w:rPr>
          <w:rFonts w:ascii="Arial" w:hAnsi="Arial" w:cs="Arial"/>
        </w:rPr>
      </w:pPr>
      <w:r w:rsidRPr="009236A0">
        <w:rPr>
          <w:rFonts w:ascii="Arial" w:hAnsi="Arial" w:cs="Arial"/>
        </w:rPr>
        <w:t xml:space="preserve">One of the main challenges in applying attachment theory in care home settings is the lack of time and trained staff. In many cases, caregivers are responsible for </w:t>
      </w:r>
      <w:proofErr w:type="gramStart"/>
      <w:r w:rsidRPr="009236A0">
        <w:rPr>
          <w:rFonts w:ascii="Arial" w:hAnsi="Arial" w:cs="Arial"/>
        </w:rPr>
        <w:t>a large number of</w:t>
      </w:r>
      <w:proofErr w:type="gramEnd"/>
      <w:r w:rsidRPr="009236A0">
        <w:rPr>
          <w:rFonts w:ascii="Arial" w:hAnsi="Arial" w:cs="Arial"/>
        </w:rPr>
        <w:t xml:space="preserve"> residents, which makes it difficult to build close and stable relationships with </w:t>
      </w:r>
      <w:proofErr w:type="gramStart"/>
      <w:r w:rsidRPr="009236A0">
        <w:rPr>
          <w:rFonts w:ascii="Arial" w:hAnsi="Arial" w:cs="Arial"/>
        </w:rPr>
        <w:t>each individual</w:t>
      </w:r>
      <w:proofErr w:type="gramEnd"/>
      <w:r w:rsidRPr="009236A0">
        <w:rPr>
          <w:rFonts w:ascii="Arial" w:hAnsi="Arial" w:cs="Arial"/>
        </w:rPr>
        <w:t>.</w:t>
      </w:r>
    </w:p>
    <w:p w14:paraId="6A800CFA" w14:textId="71EDF855" w:rsidR="001E223C" w:rsidRPr="009236A0" w:rsidRDefault="001E223C" w:rsidP="000E3ACA">
      <w:pPr>
        <w:spacing w:line="360" w:lineRule="auto"/>
        <w:jc w:val="both"/>
        <w:rPr>
          <w:rFonts w:ascii="Arial" w:hAnsi="Arial" w:cs="Arial"/>
        </w:rPr>
      </w:pPr>
      <w:r w:rsidRPr="009236A0">
        <w:rPr>
          <w:rFonts w:ascii="Arial" w:hAnsi="Arial" w:cs="Arial"/>
        </w:rPr>
        <w:t>In addition, high staff turnover can affect continuity of care, preventing older adults from developing trusting relationships with caregivers. This can lead to feelings of insecurity and anxiety, negatively impacting their emotional wellbeing.</w:t>
      </w:r>
    </w:p>
    <w:p w14:paraId="79C06603" w14:textId="5BFFBF78" w:rsidR="001E223C" w:rsidRPr="009236A0" w:rsidRDefault="000C5467" w:rsidP="000E3ACA">
      <w:pPr>
        <w:pStyle w:val="Ttulo1"/>
        <w:spacing w:line="360" w:lineRule="auto"/>
      </w:pPr>
      <w:r w:rsidRPr="009236A0">
        <w:t xml:space="preserve">Solution </w:t>
      </w:r>
    </w:p>
    <w:p w14:paraId="172A6370" w14:textId="1B08C2BB" w:rsidR="000C5467" w:rsidRPr="009236A0" w:rsidRDefault="000C5467" w:rsidP="000E3ACA">
      <w:pPr>
        <w:spacing w:line="360" w:lineRule="auto"/>
        <w:jc w:val="both"/>
        <w:rPr>
          <w:rFonts w:ascii="Arial" w:hAnsi="Arial" w:cs="Arial"/>
        </w:rPr>
      </w:pPr>
      <w:r w:rsidRPr="009236A0">
        <w:rPr>
          <w:rFonts w:ascii="Arial" w:hAnsi="Arial" w:cs="Arial"/>
        </w:rPr>
        <w:t xml:space="preserve">One possible solution to this challenge is to improve staff training, ensuring that caregivers understand the importance of emotional support and the role of attachment theory in caring for older adults. It is also essential to provide better working conditions, including an adequate number of staff, </w:t>
      </w:r>
      <w:r w:rsidR="009B0583" w:rsidRPr="009236A0">
        <w:rPr>
          <w:rFonts w:ascii="Arial" w:hAnsi="Arial" w:cs="Arial"/>
        </w:rPr>
        <w:t>to</w:t>
      </w:r>
      <w:r w:rsidRPr="009236A0">
        <w:rPr>
          <w:rFonts w:ascii="Arial" w:hAnsi="Arial" w:cs="Arial"/>
        </w:rPr>
        <w:t xml:space="preserve"> reduce workload and allow for more personalised care.</w:t>
      </w:r>
    </w:p>
    <w:p w14:paraId="17CFB434" w14:textId="2E0B7E5F" w:rsidR="000C5467" w:rsidRPr="009236A0" w:rsidRDefault="000C5467" w:rsidP="000E3ACA">
      <w:pPr>
        <w:spacing w:line="360" w:lineRule="auto"/>
        <w:jc w:val="both"/>
        <w:rPr>
          <w:rFonts w:ascii="Arial" w:hAnsi="Arial" w:cs="Arial"/>
        </w:rPr>
      </w:pPr>
      <w:r w:rsidRPr="009236A0">
        <w:rPr>
          <w:rFonts w:ascii="Arial" w:hAnsi="Arial" w:cs="Arial"/>
        </w:rPr>
        <w:t>In addition, staff should be supported and monitored by management to ensure high standards of care. Encouraging family involvement is also important, as the wellbeing of older adults does not depend solely on care staff, but also on family support when available.</w:t>
      </w:r>
    </w:p>
    <w:p w14:paraId="12A81791" w14:textId="0FD1D5CD" w:rsidR="000C5467" w:rsidRPr="009236A0" w:rsidRDefault="000C5467" w:rsidP="000E3ACA">
      <w:pPr>
        <w:pStyle w:val="Ttulo1"/>
        <w:spacing w:line="360" w:lineRule="auto"/>
      </w:pPr>
      <w:r w:rsidRPr="009236A0">
        <w:t xml:space="preserve">Conclusion </w:t>
      </w:r>
    </w:p>
    <w:p w14:paraId="1B430E7A" w14:textId="77777777" w:rsidR="000C5467" w:rsidRPr="000C5467" w:rsidRDefault="000C5467" w:rsidP="000E3ACA">
      <w:pPr>
        <w:spacing w:line="360" w:lineRule="auto"/>
        <w:jc w:val="both"/>
        <w:rPr>
          <w:rFonts w:ascii="Arial" w:hAnsi="Arial" w:cs="Arial"/>
        </w:rPr>
      </w:pPr>
      <w:r w:rsidRPr="000C5467">
        <w:rPr>
          <w:rFonts w:ascii="Arial" w:hAnsi="Arial" w:cs="Arial"/>
        </w:rPr>
        <w:t>In conclusion, attachment theory is essential for understanding how emotional relationships influence the wellbeing of older adults. Attachment can play an important role in how patients cope with their health conditions and care experiences.</w:t>
      </w:r>
    </w:p>
    <w:p w14:paraId="768F1264" w14:textId="77777777" w:rsidR="000C5467" w:rsidRPr="000C5467" w:rsidRDefault="000C5467" w:rsidP="000E3ACA">
      <w:pPr>
        <w:spacing w:line="360" w:lineRule="auto"/>
        <w:jc w:val="both"/>
        <w:rPr>
          <w:rFonts w:ascii="Arial" w:hAnsi="Arial" w:cs="Arial"/>
        </w:rPr>
      </w:pPr>
      <w:r w:rsidRPr="000C5467">
        <w:rPr>
          <w:rFonts w:ascii="Arial" w:hAnsi="Arial" w:cs="Arial"/>
        </w:rPr>
        <w:t>For example, in the case of Ana, an 80-year-old woman, feeling supported, safe, and secure can help her cope with her situation in a calmer and more stable way. This demonstrates that care should not focus only on physical needs, but also on emotional support.</w:t>
      </w:r>
    </w:p>
    <w:p w14:paraId="69C18FBF" w14:textId="77777777" w:rsidR="000C5467" w:rsidRPr="000C5467" w:rsidRDefault="000C5467" w:rsidP="000E3ACA">
      <w:pPr>
        <w:spacing w:line="360" w:lineRule="auto"/>
        <w:jc w:val="both"/>
        <w:rPr>
          <w:rFonts w:ascii="Arial" w:hAnsi="Arial" w:cs="Arial"/>
        </w:rPr>
      </w:pPr>
      <w:r w:rsidRPr="000C5467">
        <w:rPr>
          <w:rFonts w:ascii="Arial" w:hAnsi="Arial" w:cs="Arial"/>
        </w:rPr>
        <w:t>Therefore, applying attachment theory in care home settings can significantly improve the quality of care and the psychological wellbeing of residents.</w:t>
      </w:r>
    </w:p>
    <w:p w14:paraId="58EA2C30" w14:textId="2CA90DDA" w:rsidR="000C5467" w:rsidRDefault="00433676" w:rsidP="00433676">
      <w:pPr>
        <w:pStyle w:val="Ttulo1"/>
      </w:pPr>
      <w:r w:rsidRPr="00433676">
        <w:lastRenderedPageBreak/>
        <w:t>References</w:t>
      </w:r>
    </w:p>
    <w:p w14:paraId="4A22DC36" w14:textId="45C80989" w:rsidR="00497A48" w:rsidRDefault="00497A48" w:rsidP="00900C57">
      <w:pPr>
        <w:spacing w:line="360" w:lineRule="auto"/>
        <w:rPr>
          <w:rFonts w:ascii="Arial" w:hAnsi="Arial" w:cs="Arial"/>
          <w:i/>
          <w:iCs/>
        </w:rPr>
      </w:pPr>
    </w:p>
    <w:p w14:paraId="2C38762A" w14:textId="77777777" w:rsidR="00C6047B" w:rsidRPr="00C6047B" w:rsidRDefault="00C6047B" w:rsidP="00C6047B">
      <w:pPr>
        <w:spacing w:line="360" w:lineRule="auto"/>
        <w:rPr>
          <w:rFonts w:ascii="Arial" w:hAnsi="Arial" w:cs="Arial"/>
          <w:i/>
          <w:iCs/>
        </w:rPr>
      </w:pPr>
      <w:r w:rsidRPr="00C6047B">
        <w:rPr>
          <w:rFonts w:ascii="Arial" w:hAnsi="Arial" w:cs="Arial"/>
        </w:rPr>
        <w:t xml:space="preserve">Ainsworth, M.D.S., </w:t>
      </w:r>
      <w:proofErr w:type="spellStart"/>
      <w:r w:rsidRPr="00C6047B">
        <w:rPr>
          <w:rFonts w:ascii="Arial" w:hAnsi="Arial" w:cs="Arial"/>
        </w:rPr>
        <w:t>Blehar</w:t>
      </w:r>
      <w:proofErr w:type="spellEnd"/>
      <w:r w:rsidRPr="00C6047B">
        <w:rPr>
          <w:rFonts w:ascii="Arial" w:hAnsi="Arial" w:cs="Arial"/>
        </w:rPr>
        <w:t>, M.C., Waters, E. and Wall, S. (1978)</w:t>
      </w:r>
      <w:r w:rsidRPr="00C6047B">
        <w:rPr>
          <w:rFonts w:ascii="Arial" w:hAnsi="Arial" w:cs="Arial"/>
          <w:i/>
          <w:iCs/>
        </w:rPr>
        <w:t xml:space="preserve"> Patterns of attachment: A psychological study of the strange situation. </w:t>
      </w:r>
      <w:r w:rsidRPr="00C6047B">
        <w:rPr>
          <w:rFonts w:ascii="Arial" w:hAnsi="Arial" w:cs="Arial"/>
        </w:rPr>
        <w:t>Hillsdale, NJ: Lawrence Erlbaum Associates.</w:t>
      </w:r>
    </w:p>
    <w:p w14:paraId="0D19EF18" w14:textId="77777777" w:rsidR="00C6047B" w:rsidRPr="00C6047B" w:rsidRDefault="00C6047B" w:rsidP="00C6047B">
      <w:pPr>
        <w:spacing w:line="360" w:lineRule="auto"/>
        <w:rPr>
          <w:rFonts w:ascii="Arial" w:hAnsi="Arial" w:cs="Arial"/>
          <w:i/>
          <w:iCs/>
        </w:rPr>
      </w:pPr>
    </w:p>
    <w:p w14:paraId="36F62A49" w14:textId="77777777" w:rsidR="00C6047B" w:rsidRPr="00C6047B" w:rsidRDefault="00C6047B" w:rsidP="00C6047B">
      <w:pPr>
        <w:spacing w:line="360" w:lineRule="auto"/>
        <w:rPr>
          <w:rFonts w:ascii="Arial" w:hAnsi="Arial" w:cs="Arial"/>
          <w:i/>
          <w:iCs/>
        </w:rPr>
      </w:pPr>
      <w:r w:rsidRPr="00C6047B">
        <w:rPr>
          <w:rFonts w:ascii="Arial" w:hAnsi="Arial" w:cs="Arial"/>
        </w:rPr>
        <w:t>Bowlby, J.</w:t>
      </w:r>
      <w:r w:rsidRPr="00C6047B">
        <w:rPr>
          <w:rFonts w:ascii="Arial" w:hAnsi="Arial" w:cs="Arial"/>
          <w:i/>
          <w:iCs/>
        </w:rPr>
        <w:t xml:space="preserve"> (1969) Attachment and loss. Vol. 1: Attachment. </w:t>
      </w:r>
      <w:r w:rsidRPr="00C44174">
        <w:rPr>
          <w:rFonts w:ascii="Arial" w:hAnsi="Arial" w:cs="Arial"/>
        </w:rPr>
        <w:t>New York: Basic Books</w:t>
      </w:r>
      <w:r w:rsidRPr="00C6047B">
        <w:rPr>
          <w:rFonts w:ascii="Arial" w:hAnsi="Arial" w:cs="Arial"/>
          <w:i/>
          <w:iCs/>
        </w:rPr>
        <w:t>.</w:t>
      </w:r>
    </w:p>
    <w:p w14:paraId="1CC0FFB3" w14:textId="77777777" w:rsidR="00C6047B" w:rsidRPr="00C6047B" w:rsidRDefault="00C6047B" w:rsidP="00C6047B">
      <w:pPr>
        <w:spacing w:line="360" w:lineRule="auto"/>
        <w:rPr>
          <w:rFonts w:ascii="Arial" w:hAnsi="Arial" w:cs="Arial"/>
          <w:i/>
          <w:iCs/>
        </w:rPr>
      </w:pPr>
    </w:p>
    <w:p w14:paraId="331E2CF3" w14:textId="77777777" w:rsidR="00C6047B" w:rsidRPr="00C6047B" w:rsidRDefault="00C6047B" w:rsidP="00C6047B">
      <w:pPr>
        <w:spacing w:line="360" w:lineRule="auto"/>
        <w:rPr>
          <w:rFonts w:ascii="Arial" w:hAnsi="Arial" w:cs="Arial"/>
          <w:i/>
          <w:iCs/>
        </w:rPr>
      </w:pPr>
      <w:r w:rsidRPr="00C6047B">
        <w:rPr>
          <w:rFonts w:ascii="Arial" w:hAnsi="Arial" w:cs="Arial"/>
        </w:rPr>
        <w:t>Darling, P.J., Ilum, D.B. and Storebø, O.J.</w:t>
      </w:r>
      <w:r w:rsidRPr="00C6047B">
        <w:rPr>
          <w:rFonts w:ascii="Arial" w:hAnsi="Arial" w:cs="Arial"/>
          <w:i/>
          <w:iCs/>
        </w:rPr>
        <w:t xml:space="preserve"> (2024) </w:t>
      </w:r>
      <w:r w:rsidRPr="00C44174">
        <w:rPr>
          <w:rFonts w:ascii="Arial" w:hAnsi="Arial" w:cs="Arial"/>
        </w:rPr>
        <w:t>The critical role of attachment theory in child and adolescent mental health care</w:t>
      </w:r>
      <w:r w:rsidRPr="00C6047B">
        <w:rPr>
          <w:rFonts w:ascii="Arial" w:hAnsi="Arial" w:cs="Arial"/>
          <w:i/>
          <w:iCs/>
        </w:rPr>
        <w:t>. Scandinavian Journal of Child and Adolescent Psychiatry and Psychology, 12, pp. 47–49.</w:t>
      </w:r>
    </w:p>
    <w:p w14:paraId="27AF4597" w14:textId="77777777" w:rsidR="00C6047B" w:rsidRPr="00C6047B" w:rsidRDefault="00C6047B" w:rsidP="00C6047B">
      <w:pPr>
        <w:spacing w:line="360" w:lineRule="auto"/>
        <w:rPr>
          <w:rFonts w:ascii="Arial" w:hAnsi="Arial" w:cs="Arial"/>
          <w:i/>
          <w:iCs/>
        </w:rPr>
      </w:pPr>
    </w:p>
    <w:p w14:paraId="0A0D6722" w14:textId="77777777" w:rsidR="00C6047B" w:rsidRPr="00C6047B" w:rsidRDefault="00C6047B" w:rsidP="00C6047B">
      <w:pPr>
        <w:spacing w:line="360" w:lineRule="auto"/>
        <w:rPr>
          <w:rFonts w:ascii="Arial" w:hAnsi="Arial" w:cs="Arial"/>
          <w:i/>
          <w:iCs/>
        </w:rPr>
      </w:pPr>
      <w:r w:rsidRPr="00C6047B">
        <w:rPr>
          <w:rFonts w:ascii="Arial" w:hAnsi="Arial" w:cs="Arial"/>
        </w:rPr>
        <w:t>Deal, K.H.</w:t>
      </w:r>
      <w:r w:rsidRPr="00C6047B">
        <w:rPr>
          <w:rFonts w:ascii="Arial" w:hAnsi="Arial" w:cs="Arial"/>
          <w:i/>
          <w:iCs/>
        </w:rPr>
        <w:t xml:space="preserve"> (2007) </w:t>
      </w:r>
      <w:r w:rsidRPr="00C44174">
        <w:rPr>
          <w:rFonts w:ascii="Arial" w:hAnsi="Arial" w:cs="Arial"/>
        </w:rPr>
        <w:t>Psychodynamic theory.</w:t>
      </w:r>
      <w:r w:rsidRPr="00C6047B">
        <w:rPr>
          <w:rFonts w:ascii="Arial" w:hAnsi="Arial" w:cs="Arial"/>
          <w:i/>
          <w:iCs/>
        </w:rPr>
        <w:t xml:space="preserve"> Social Work, 52(2), pp. 165–172.</w:t>
      </w:r>
    </w:p>
    <w:p w14:paraId="3F3A3C73" w14:textId="77777777" w:rsidR="00C6047B" w:rsidRPr="00C6047B" w:rsidRDefault="00C6047B" w:rsidP="00C6047B">
      <w:pPr>
        <w:spacing w:line="360" w:lineRule="auto"/>
        <w:rPr>
          <w:rFonts w:ascii="Arial" w:hAnsi="Arial" w:cs="Arial"/>
          <w:i/>
          <w:iCs/>
        </w:rPr>
      </w:pPr>
    </w:p>
    <w:p w14:paraId="382DCAFD" w14:textId="77777777" w:rsidR="00C6047B" w:rsidRPr="00C6047B" w:rsidRDefault="00C6047B" w:rsidP="00C6047B">
      <w:pPr>
        <w:spacing w:line="360" w:lineRule="auto"/>
        <w:rPr>
          <w:rFonts w:ascii="Arial" w:hAnsi="Arial" w:cs="Arial"/>
          <w:i/>
          <w:iCs/>
        </w:rPr>
      </w:pPr>
      <w:r w:rsidRPr="00C6047B">
        <w:rPr>
          <w:rFonts w:ascii="Arial" w:hAnsi="Arial" w:cs="Arial"/>
        </w:rPr>
        <w:t>Fonagy, P.</w:t>
      </w:r>
      <w:r w:rsidRPr="00C6047B">
        <w:rPr>
          <w:rFonts w:ascii="Arial" w:hAnsi="Arial" w:cs="Arial"/>
          <w:i/>
          <w:iCs/>
        </w:rPr>
        <w:t xml:space="preserve"> (2015) </w:t>
      </w:r>
      <w:r w:rsidRPr="00C44174">
        <w:rPr>
          <w:rFonts w:ascii="Arial" w:hAnsi="Arial" w:cs="Arial"/>
        </w:rPr>
        <w:t>The effectiveness of psychodynamic psychotherapies: An update</w:t>
      </w:r>
      <w:r w:rsidRPr="00C6047B">
        <w:rPr>
          <w:rFonts w:ascii="Arial" w:hAnsi="Arial" w:cs="Arial"/>
          <w:i/>
          <w:iCs/>
        </w:rPr>
        <w:t>. World Psychiatry, 14(2), pp. 137–150.</w:t>
      </w:r>
    </w:p>
    <w:p w14:paraId="4FD12320" w14:textId="77777777" w:rsidR="00C6047B" w:rsidRPr="00C6047B" w:rsidRDefault="00C6047B" w:rsidP="00C6047B">
      <w:pPr>
        <w:spacing w:line="360" w:lineRule="auto"/>
        <w:rPr>
          <w:rFonts w:ascii="Arial" w:hAnsi="Arial" w:cs="Arial"/>
          <w:i/>
          <w:iCs/>
        </w:rPr>
      </w:pPr>
    </w:p>
    <w:p w14:paraId="3E1DFA48" w14:textId="253D6CF3" w:rsidR="00C6047B" w:rsidRDefault="00C6047B" w:rsidP="00C6047B">
      <w:pPr>
        <w:spacing w:line="360" w:lineRule="auto"/>
        <w:rPr>
          <w:rFonts w:ascii="Arial" w:hAnsi="Arial" w:cs="Arial"/>
          <w:i/>
          <w:iCs/>
        </w:rPr>
      </w:pPr>
      <w:r w:rsidRPr="00C6047B">
        <w:rPr>
          <w:rFonts w:ascii="Arial" w:hAnsi="Arial" w:cs="Arial"/>
        </w:rPr>
        <w:t>Rodway, C.</w:t>
      </w:r>
      <w:r w:rsidRPr="00C6047B">
        <w:rPr>
          <w:rFonts w:ascii="Arial" w:hAnsi="Arial" w:cs="Arial"/>
          <w:i/>
          <w:iCs/>
        </w:rPr>
        <w:t xml:space="preserve"> (2025) Attachment in old age: </w:t>
      </w:r>
      <w:r w:rsidRPr="00C44174">
        <w:rPr>
          <w:rFonts w:ascii="Arial" w:hAnsi="Arial" w:cs="Arial"/>
        </w:rPr>
        <w:t>A fundamental pillar for public health and wellbeing</w:t>
      </w:r>
      <w:r w:rsidRPr="00C6047B">
        <w:rPr>
          <w:rFonts w:ascii="Arial" w:hAnsi="Arial" w:cs="Arial"/>
          <w:i/>
          <w:iCs/>
        </w:rPr>
        <w:t xml:space="preserve">. International Journal of Public Health, 70, </w:t>
      </w:r>
      <w:r w:rsidRPr="00C44174">
        <w:rPr>
          <w:rFonts w:ascii="Arial" w:hAnsi="Arial" w:cs="Arial"/>
        </w:rPr>
        <w:t xml:space="preserve">article </w:t>
      </w:r>
      <w:r w:rsidRPr="00C6047B">
        <w:rPr>
          <w:rFonts w:ascii="Arial" w:hAnsi="Arial" w:cs="Arial"/>
          <w:i/>
          <w:iCs/>
        </w:rPr>
        <w:t>1609270.</w:t>
      </w:r>
    </w:p>
    <w:p w14:paraId="5F073C96" w14:textId="77777777" w:rsidR="00C6047B" w:rsidRPr="009B0583" w:rsidRDefault="00C6047B" w:rsidP="00900C57">
      <w:pPr>
        <w:spacing w:line="360" w:lineRule="auto"/>
        <w:rPr>
          <w:rFonts w:ascii="Arial" w:hAnsi="Arial" w:cs="Arial"/>
          <w:i/>
          <w:iCs/>
        </w:rPr>
      </w:pPr>
    </w:p>
    <w:sectPr w:rsidR="00C6047B" w:rsidRPr="009B058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FCBA48" w14:textId="77777777" w:rsidR="00572C50" w:rsidRDefault="00572C50" w:rsidP="00922B75">
      <w:pPr>
        <w:spacing w:after="0" w:line="240" w:lineRule="auto"/>
      </w:pPr>
      <w:r>
        <w:separator/>
      </w:r>
    </w:p>
  </w:endnote>
  <w:endnote w:type="continuationSeparator" w:id="0">
    <w:p w14:paraId="1E6D814B" w14:textId="77777777" w:rsidR="00572C50" w:rsidRDefault="00572C50" w:rsidP="00922B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E34E50" w14:textId="18AF7CC5" w:rsidR="0094307C" w:rsidRDefault="0094307C">
    <w:pPr>
      <w:pStyle w:val="Piedepgina"/>
    </w:pPr>
  </w:p>
  <w:p w14:paraId="54043AE0" w14:textId="77777777" w:rsidR="00922B75" w:rsidRDefault="00922B75">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B12EE1" w14:textId="77777777" w:rsidR="00572C50" w:rsidRDefault="00572C50" w:rsidP="00922B75">
      <w:pPr>
        <w:spacing w:after="0" w:line="240" w:lineRule="auto"/>
      </w:pPr>
      <w:r>
        <w:separator/>
      </w:r>
    </w:p>
  </w:footnote>
  <w:footnote w:type="continuationSeparator" w:id="0">
    <w:p w14:paraId="63BB408D" w14:textId="77777777" w:rsidR="00572C50" w:rsidRDefault="00572C50" w:rsidP="00922B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55459"/>
    <w:multiLevelType w:val="multilevel"/>
    <w:tmpl w:val="3612A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963302"/>
    <w:multiLevelType w:val="multilevel"/>
    <w:tmpl w:val="47AE2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8363DB8"/>
    <w:multiLevelType w:val="multilevel"/>
    <w:tmpl w:val="DB0CF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B241306"/>
    <w:multiLevelType w:val="multilevel"/>
    <w:tmpl w:val="04625F8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E964764"/>
    <w:multiLevelType w:val="multilevel"/>
    <w:tmpl w:val="27287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1744FC5"/>
    <w:multiLevelType w:val="multilevel"/>
    <w:tmpl w:val="03227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3067ACE"/>
    <w:multiLevelType w:val="multilevel"/>
    <w:tmpl w:val="F1527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3E90D58"/>
    <w:multiLevelType w:val="multilevel"/>
    <w:tmpl w:val="452E8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5980D9D"/>
    <w:multiLevelType w:val="multilevel"/>
    <w:tmpl w:val="CC28B9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5E64681"/>
    <w:multiLevelType w:val="multilevel"/>
    <w:tmpl w:val="0E1CA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6061DA1"/>
    <w:multiLevelType w:val="multilevel"/>
    <w:tmpl w:val="E4B6A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882568E"/>
    <w:multiLevelType w:val="multilevel"/>
    <w:tmpl w:val="A1826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95F7A5A"/>
    <w:multiLevelType w:val="multilevel"/>
    <w:tmpl w:val="5A887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AC4055C"/>
    <w:multiLevelType w:val="multilevel"/>
    <w:tmpl w:val="6F86E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B9257CD"/>
    <w:multiLevelType w:val="multilevel"/>
    <w:tmpl w:val="5C047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D3403B4"/>
    <w:multiLevelType w:val="multilevel"/>
    <w:tmpl w:val="5CD85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E001370"/>
    <w:multiLevelType w:val="multilevel"/>
    <w:tmpl w:val="C85AA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EF60D96"/>
    <w:multiLevelType w:val="multilevel"/>
    <w:tmpl w:val="BE9E3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0B15C9C"/>
    <w:multiLevelType w:val="multilevel"/>
    <w:tmpl w:val="120E2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6553ED3"/>
    <w:multiLevelType w:val="multilevel"/>
    <w:tmpl w:val="ECD2D4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66F1AF2"/>
    <w:multiLevelType w:val="multilevel"/>
    <w:tmpl w:val="DC462E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B800914"/>
    <w:multiLevelType w:val="multilevel"/>
    <w:tmpl w:val="CE505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2D55465C"/>
    <w:multiLevelType w:val="multilevel"/>
    <w:tmpl w:val="F3C8F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2FAE5479"/>
    <w:multiLevelType w:val="multilevel"/>
    <w:tmpl w:val="F57C1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315F438F"/>
    <w:multiLevelType w:val="multilevel"/>
    <w:tmpl w:val="1714D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36367A0D"/>
    <w:multiLevelType w:val="multilevel"/>
    <w:tmpl w:val="0C440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37EA516A"/>
    <w:multiLevelType w:val="multilevel"/>
    <w:tmpl w:val="1AC69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388B710E"/>
    <w:multiLevelType w:val="multilevel"/>
    <w:tmpl w:val="CA06D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391E6227"/>
    <w:multiLevelType w:val="multilevel"/>
    <w:tmpl w:val="6A1E6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3A910C4E"/>
    <w:multiLevelType w:val="multilevel"/>
    <w:tmpl w:val="6E5E6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3B364A71"/>
    <w:multiLevelType w:val="multilevel"/>
    <w:tmpl w:val="4A6C6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D0E14CB"/>
    <w:multiLevelType w:val="multilevel"/>
    <w:tmpl w:val="D174D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3E36558A"/>
    <w:multiLevelType w:val="multilevel"/>
    <w:tmpl w:val="D1309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419D6910"/>
    <w:multiLevelType w:val="multilevel"/>
    <w:tmpl w:val="C6180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428D5FCC"/>
    <w:multiLevelType w:val="multilevel"/>
    <w:tmpl w:val="9A623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43722A3B"/>
    <w:multiLevelType w:val="multilevel"/>
    <w:tmpl w:val="C3844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45080D77"/>
    <w:multiLevelType w:val="multilevel"/>
    <w:tmpl w:val="7534D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45853C72"/>
    <w:multiLevelType w:val="multilevel"/>
    <w:tmpl w:val="1DD4A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493F2805"/>
    <w:multiLevelType w:val="multilevel"/>
    <w:tmpl w:val="15360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4A9151D8"/>
    <w:multiLevelType w:val="multilevel"/>
    <w:tmpl w:val="1BFC1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4B430E11"/>
    <w:multiLevelType w:val="multilevel"/>
    <w:tmpl w:val="9AE26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F0E04FA"/>
    <w:multiLevelType w:val="multilevel"/>
    <w:tmpl w:val="3F504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4F9E3398"/>
    <w:multiLevelType w:val="multilevel"/>
    <w:tmpl w:val="2D821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4FEF4371"/>
    <w:multiLevelType w:val="multilevel"/>
    <w:tmpl w:val="208A9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52821110"/>
    <w:multiLevelType w:val="multilevel"/>
    <w:tmpl w:val="69E4B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528C14DE"/>
    <w:multiLevelType w:val="multilevel"/>
    <w:tmpl w:val="7840C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5342471F"/>
    <w:multiLevelType w:val="multilevel"/>
    <w:tmpl w:val="7D361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53A943C5"/>
    <w:multiLevelType w:val="multilevel"/>
    <w:tmpl w:val="4F028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547E3132"/>
    <w:multiLevelType w:val="multilevel"/>
    <w:tmpl w:val="F1665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55766065"/>
    <w:multiLevelType w:val="multilevel"/>
    <w:tmpl w:val="BEF08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5C074411"/>
    <w:multiLevelType w:val="multilevel"/>
    <w:tmpl w:val="0A304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5CFC0371"/>
    <w:multiLevelType w:val="multilevel"/>
    <w:tmpl w:val="7180B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5FC30595"/>
    <w:multiLevelType w:val="multilevel"/>
    <w:tmpl w:val="A4E2F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60951173"/>
    <w:multiLevelType w:val="multilevel"/>
    <w:tmpl w:val="1E6A5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63ED4809"/>
    <w:multiLevelType w:val="multilevel"/>
    <w:tmpl w:val="9B14B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665A5CC2"/>
    <w:multiLevelType w:val="multilevel"/>
    <w:tmpl w:val="9266D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15:restartNumberingAfterBreak="0">
    <w:nsid w:val="666F702C"/>
    <w:multiLevelType w:val="multilevel"/>
    <w:tmpl w:val="117C2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68F12A9B"/>
    <w:multiLevelType w:val="multilevel"/>
    <w:tmpl w:val="525AD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6D3F4A72"/>
    <w:multiLevelType w:val="multilevel"/>
    <w:tmpl w:val="75803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6EDF30E3"/>
    <w:multiLevelType w:val="multilevel"/>
    <w:tmpl w:val="6038D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0" w15:restartNumberingAfterBreak="0">
    <w:nsid w:val="78620785"/>
    <w:multiLevelType w:val="multilevel"/>
    <w:tmpl w:val="490E2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78CF7997"/>
    <w:multiLevelType w:val="multilevel"/>
    <w:tmpl w:val="D54A2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799C2F2A"/>
    <w:multiLevelType w:val="multilevel"/>
    <w:tmpl w:val="556C9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7DD76356"/>
    <w:multiLevelType w:val="multilevel"/>
    <w:tmpl w:val="5980E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7DFB68D0"/>
    <w:multiLevelType w:val="multilevel"/>
    <w:tmpl w:val="778A6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09016621">
    <w:abstractNumId w:val="16"/>
  </w:num>
  <w:num w:numId="2" w16cid:durableId="882668242">
    <w:abstractNumId w:val="40"/>
  </w:num>
  <w:num w:numId="3" w16cid:durableId="1806314366">
    <w:abstractNumId w:val="30"/>
  </w:num>
  <w:num w:numId="4" w16cid:durableId="1917862296">
    <w:abstractNumId w:val="32"/>
  </w:num>
  <w:num w:numId="5" w16cid:durableId="7414315">
    <w:abstractNumId w:val="21"/>
  </w:num>
  <w:num w:numId="6" w16cid:durableId="319621353">
    <w:abstractNumId w:val="8"/>
  </w:num>
  <w:num w:numId="7" w16cid:durableId="1426658441">
    <w:abstractNumId w:val="10"/>
  </w:num>
  <w:num w:numId="8" w16cid:durableId="652414383">
    <w:abstractNumId w:val="1"/>
  </w:num>
  <w:num w:numId="9" w16cid:durableId="1784227518">
    <w:abstractNumId w:val="24"/>
  </w:num>
  <w:num w:numId="10" w16cid:durableId="879318522">
    <w:abstractNumId w:val="61"/>
  </w:num>
  <w:num w:numId="11" w16cid:durableId="1601062427">
    <w:abstractNumId w:val="22"/>
  </w:num>
  <w:num w:numId="12" w16cid:durableId="309602750">
    <w:abstractNumId w:val="37"/>
  </w:num>
  <w:num w:numId="13" w16cid:durableId="964123702">
    <w:abstractNumId w:val="17"/>
  </w:num>
  <w:num w:numId="14" w16cid:durableId="1815370425">
    <w:abstractNumId w:val="33"/>
  </w:num>
  <w:num w:numId="15" w16cid:durableId="1801537010">
    <w:abstractNumId w:val="34"/>
  </w:num>
  <w:num w:numId="16" w16cid:durableId="620575014">
    <w:abstractNumId w:val="4"/>
  </w:num>
  <w:num w:numId="17" w16cid:durableId="1582985158">
    <w:abstractNumId w:val="26"/>
  </w:num>
  <w:num w:numId="18" w16cid:durableId="997197756">
    <w:abstractNumId w:val="41"/>
  </w:num>
  <w:num w:numId="19" w16cid:durableId="1848863821">
    <w:abstractNumId w:val="49"/>
  </w:num>
  <w:num w:numId="20" w16cid:durableId="401490908">
    <w:abstractNumId w:val="12"/>
  </w:num>
  <w:num w:numId="21" w16cid:durableId="66655300">
    <w:abstractNumId w:val="6"/>
  </w:num>
  <w:num w:numId="22" w16cid:durableId="683672289">
    <w:abstractNumId w:val="14"/>
  </w:num>
  <w:num w:numId="23" w16cid:durableId="1431002931">
    <w:abstractNumId w:val="11"/>
  </w:num>
  <w:num w:numId="24" w16cid:durableId="1215431715">
    <w:abstractNumId w:val="52"/>
  </w:num>
  <w:num w:numId="25" w16cid:durableId="1949579411">
    <w:abstractNumId w:val="44"/>
  </w:num>
  <w:num w:numId="26" w16cid:durableId="116879830">
    <w:abstractNumId w:val="18"/>
  </w:num>
  <w:num w:numId="27" w16cid:durableId="1255820409">
    <w:abstractNumId w:val="54"/>
  </w:num>
  <w:num w:numId="28" w16cid:durableId="880824749">
    <w:abstractNumId w:val="9"/>
  </w:num>
  <w:num w:numId="29" w16cid:durableId="102922666">
    <w:abstractNumId w:val="13"/>
  </w:num>
  <w:num w:numId="30" w16cid:durableId="1086390390">
    <w:abstractNumId w:val="38"/>
  </w:num>
  <w:num w:numId="31" w16cid:durableId="964578498">
    <w:abstractNumId w:val="55"/>
  </w:num>
  <w:num w:numId="32" w16cid:durableId="1289971554">
    <w:abstractNumId w:val="63"/>
  </w:num>
  <w:num w:numId="33" w16cid:durableId="1509055352">
    <w:abstractNumId w:val="62"/>
  </w:num>
  <w:num w:numId="34" w16cid:durableId="1987472252">
    <w:abstractNumId w:val="35"/>
  </w:num>
  <w:num w:numId="35" w16cid:durableId="981423388">
    <w:abstractNumId w:val="27"/>
  </w:num>
  <w:num w:numId="36" w16cid:durableId="1286737832">
    <w:abstractNumId w:val="46"/>
  </w:num>
  <w:num w:numId="37" w16cid:durableId="1442873071">
    <w:abstractNumId w:val="43"/>
  </w:num>
  <w:num w:numId="38" w16cid:durableId="1334606567">
    <w:abstractNumId w:val="50"/>
  </w:num>
  <w:num w:numId="39" w16cid:durableId="1527255559">
    <w:abstractNumId w:val="36"/>
  </w:num>
  <w:num w:numId="40" w16cid:durableId="1546789137">
    <w:abstractNumId w:val="47"/>
  </w:num>
  <w:num w:numId="41" w16cid:durableId="438256814">
    <w:abstractNumId w:val="23"/>
  </w:num>
  <w:num w:numId="42" w16cid:durableId="932782173">
    <w:abstractNumId w:val="3"/>
  </w:num>
  <w:num w:numId="43" w16cid:durableId="1246182535">
    <w:abstractNumId w:val="45"/>
  </w:num>
  <w:num w:numId="44" w16cid:durableId="1887721357">
    <w:abstractNumId w:val="25"/>
  </w:num>
  <w:num w:numId="45" w16cid:durableId="1186405146">
    <w:abstractNumId w:val="5"/>
  </w:num>
  <w:num w:numId="46" w16cid:durableId="802893605">
    <w:abstractNumId w:val="57"/>
  </w:num>
  <w:num w:numId="47" w16cid:durableId="1180268816">
    <w:abstractNumId w:val="48"/>
  </w:num>
  <w:num w:numId="48" w16cid:durableId="551697258">
    <w:abstractNumId w:val="29"/>
  </w:num>
  <w:num w:numId="49" w16cid:durableId="866255317">
    <w:abstractNumId w:val="2"/>
  </w:num>
  <w:num w:numId="50" w16cid:durableId="1024480162">
    <w:abstractNumId w:val="64"/>
  </w:num>
  <w:num w:numId="51" w16cid:durableId="1299845322">
    <w:abstractNumId w:val="28"/>
  </w:num>
  <w:num w:numId="52" w16cid:durableId="119610171">
    <w:abstractNumId w:val="39"/>
  </w:num>
  <w:num w:numId="53" w16cid:durableId="1967198828">
    <w:abstractNumId w:val="42"/>
  </w:num>
  <w:num w:numId="54" w16cid:durableId="1459105795">
    <w:abstractNumId w:val="56"/>
  </w:num>
  <w:num w:numId="55" w16cid:durableId="379986424">
    <w:abstractNumId w:val="7"/>
  </w:num>
  <w:num w:numId="56" w16cid:durableId="588466360">
    <w:abstractNumId w:val="51"/>
  </w:num>
  <w:num w:numId="57" w16cid:durableId="112480179">
    <w:abstractNumId w:val="58"/>
  </w:num>
  <w:num w:numId="58" w16cid:durableId="1850216339">
    <w:abstractNumId w:val="31"/>
  </w:num>
  <w:num w:numId="59" w16cid:durableId="1442266946">
    <w:abstractNumId w:val="20"/>
  </w:num>
  <w:num w:numId="60" w16cid:durableId="497114205">
    <w:abstractNumId w:val="0"/>
  </w:num>
  <w:num w:numId="61" w16cid:durableId="1094131562">
    <w:abstractNumId w:val="15"/>
  </w:num>
  <w:num w:numId="62" w16cid:durableId="1933663264">
    <w:abstractNumId w:val="53"/>
  </w:num>
  <w:num w:numId="63" w16cid:durableId="882867095">
    <w:abstractNumId w:val="60"/>
  </w:num>
  <w:num w:numId="64" w16cid:durableId="201333620">
    <w:abstractNumId w:val="19"/>
  </w:num>
  <w:num w:numId="65" w16cid:durableId="2029326971">
    <w:abstractNumId w:val="5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3EAF"/>
    <w:rsid w:val="000C5467"/>
    <w:rsid w:val="000E3098"/>
    <w:rsid w:val="000E3ACA"/>
    <w:rsid w:val="000E5AC3"/>
    <w:rsid w:val="001E223C"/>
    <w:rsid w:val="00240C21"/>
    <w:rsid w:val="002638B7"/>
    <w:rsid w:val="002E4F10"/>
    <w:rsid w:val="00315CEB"/>
    <w:rsid w:val="00345C03"/>
    <w:rsid w:val="003A0968"/>
    <w:rsid w:val="003E4E1A"/>
    <w:rsid w:val="00433676"/>
    <w:rsid w:val="00455094"/>
    <w:rsid w:val="00497A48"/>
    <w:rsid w:val="004B6DD4"/>
    <w:rsid w:val="004C4AE5"/>
    <w:rsid w:val="00572C50"/>
    <w:rsid w:val="007839C4"/>
    <w:rsid w:val="007A3EAF"/>
    <w:rsid w:val="0089487E"/>
    <w:rsid w:val="00900C57"/>
    <w:rsid w:val="00916717"/>
    <w:rsid w:val="00922B75"/>
    <w:rsid w:val="009236A0"/>
    <w:rsid w:val="0094307C"/>
    <w:rsid w:val="009A374B"/>
    <w:rsid w:val="009B0583"/>
    <w:rsid w:val="009C2325"/>
    <w:rsid w:val="009F4197"/>
    <w:rsid w:val="00A04F42"/>
    <w:rsid w:val="00A17721"/>
    <w:rsid w:val="00A33FE4"/>
    <w:rsid w:val="00A552AA"/>
    <w:rsid w:val="00B113A8"/>
    <w:rsid w:val="00B3259C"/>
    <w:rsid w:val="00C44174"/>
    <w:rsid w:val="00C6047B"/>
    <w:rsid w:val="00C72AE5"/>
    <w:rsid w:val="00CA045D"/>
    <w:rsid w:val="00CC7E44"/>
    <w:rsid w:val="00D57821"/>
    <w:rsid w:val="00DD1583"/>
    <w:rsid w:val="00E46254"/>
    <w:rsid w:val="00EA049E"/>
    <w:rsid w:val="00EC0C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59668E"/>
  <w15:chartTrackingRefBased/>
  <w15:docId w15:val="{90B84BC2-AB59-4A48-9CC5-974DA09493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7A3E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unhideWhenUsed/>
    <w:qFormat/>
    <w:rsid w:val="007A3E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unhideWhenUsed/>
    <w:qFormat/>
    <w:rsid w:val="007A3EAF"/>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unhideWhenUsed/>
    <w:qFormat/>
    <w:rsid w:val="007A3EAF"/>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semiHidden/>
    <w:unhideWhenUsed/>
    <w:qFormat/>
    <w:rsid w:val="007A3EAF"/>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semiHidden/>
    <w:unhideWhenUsed/>
    <w:qFormat/>
    <w:rsid w:val="007A3EAF"/>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7A3EAF"/>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7A3EAF"/>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7A3EAF"/>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7A3EAF"/>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rsid w:val="007A3EAF"/>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rsid w:val="007A3EAF"/>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rsid w:val="007A3EAF"/>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7A3EAF"/>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7A3EAF"/>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7A3EAF"/>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7A3EAF"/>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7A3EAF"/>
    <w:rPr>
      <w:rFonts w:eastAsiaTheme="majorEastAsia" w:cstheme="majorBidi"/>
      <w:color w:val="272727" w:themeColor="text1" w:themeTint="D8"/>
    </w:rPr>
  </w:style>
  <w:style w:type="paragraph" w:styleId="Ttulo">
    <w:name w:val="Title"/>
    <w:basedOn w:val="Normal"/>
    <w:next w:val="Normal"/>
    <w:link w:val="TtuloCar"/>
    <w:uiPriority w:val="10"/>
    <w:qFormat/>
    <w:rsid w:val="007A3E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7A3EAF"/>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7A3EAF"/>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7A3EAF"/>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7A3EAF"/>
    <w:pPr>
      <w:spacing w:before="160"/>
      <w:jc w:val="center"/>
    </w:pPr>
    <w:rPr>
      <w:i/>
      <w:iCs/>
      <w:color w:val="404040" w:themeColor="text1" w:themeTint="BF"/>
    </w:rPr>
  </w:style>
  <w:style w:type="character" w:customStyle="1" w:styleId="CitaCar">
    <w:name w:val="Cita Car"/>
    <w:basedOn w:val="Fuentedeprrafopredeter"/>
    <w:link w:val="Cita"/>
    <w:uiPriority w:val="29"/>
    <w:rsid w:val="007A3EAF"/>
    <w:rPr>
      <w:i/>
      <w:iCs/>
      <w:color w:val="404040" w:themeColor="text1" w:themeTint="BF"/>
    </w:rPr>
  </w:style>
  <w:style w:type="paragraph" w:styleId="Prrafodelista">
    <w:name w:val="List Paragraph"/>
    <w:basedOn w:val="Normal"/>
    <w:uiPriority w:val="34"/>
    <w:qFormat/>
    <w:rsid w:val="007A3EAF"/>
    <w:pPr>
      <w:ind w:left="720"/>
      <w:contextualSpacing/>
    </w:pPr>
  </w:style>
  <w:style w:type="character" w:styleId="nfasisintenso">
    <w:name w:val="Intense Emphasis"/>
    <w:basedOn w:val="Fuentedeprrafopredeter"/>
    <w:uiPriority w:val="21"/>
    <w:qFormat/>
    <w:rsid w:val="007A3EAF"/>
    <w:rPr>
      <w:i/>
      <w:iCs/>
      <w:color w:val="0F4761" w:themeColor="accent1" w:themeShade="BF"/>
    </w:rPr>
  </w:style>
  <w:style w:type="paragraph" w:styleId="Citadestacada">
    <w:name w:val="Intense Quote"/>
    <w:basedOn w:val="Normal"/>
    <w:next w:val="Normal"/>
    <w:link w:val="CitadestacadaCar"/>
    <w:uiPriority w:val="30"/>
    <w:qFormat/>
    <w:rsid w:val="007A3E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destacadaCar">
    <w:name w:val="Cita destacada Car"/>
    <w:basedOn w:val="Fuentedeprrafopredeter"/>
    <w:link w:val="Citadestacada"/>
    <w:uiPriority w:val="30"/>
    <w:rsid w:val="007A3EAF"/>
    <w:rPr>
      <w:i/>
      <w:iCs/>
      <w:color w:val="0F4761" w:themeColor="accent1" w:themeShade="BF"/>
    </w:rPr>
  </w:style>
  <w:style w:type="character" w:styleId="Referenciaintensa">
    <w:name w:val="Intense Reference"/>
    <w:basedOn w:val="Fuentedeprrafopredeter"/>
    <w:uiPriority w:val="32"/>
    <w:qFormat/>
    <w:rsid w:val="007A3EAF"/>
    <w:rPr>
      <w:b/>
      <w:bCs/>
      <w:smallCaps/>
      <w:color w:val="0F4761" w:themeColor="accent1" w:themeShade="BF"/>
      <w:spacing w:val="5"/>
    </w:rPr>
  </w:style>
  <w:style w:type="paragraph" w:customStyle="1" w:styleId="msonormal0">
    <w:name w:val="msonormal"/>
    <w:basedOn w:val="Normal"/>
    <w:rsid w:val="007A3EA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ipervnculo">
    <w:name w:val="Hyperlink"/>
    <w:basedOn w:val="Fuentedeprrafopredeter"/>
    <w:uiPriority w:val="99"/>
    <w:unhideWhenUsed/>
    <w:rsid w:val="007A3EAF"/>
    <w:rPr>
      <w:color w:val="0000FF"/>
      <w:u w:val="single"/>
    </w:rPr>
  </w:style>
  <w:style w:type="character" w:styleId="Hipervnculovisitado">
    <w:name w:val="FollowedHyperlink"/>
    <w:basedOn w:val="Fuentedeprrafopredeter"/>
    <w:uiPriority w:val="99"/>
    <w:semiHidden/>
    <w:unhideWhenUsed/>
    <w:rsid w:val="007A3EAF"/>
    <w:rPr>
      <w:color w:val="800080"/>
      <w:u w:val="single"/>
    </w:rPr>
  </w:style>
  <w:style w:type="character" w:customStyle="1" w:styleId="header-wordmark">
    <w:name w:val="header-wordmark"/>
    <w:basedOn w:val="Fuentedeprrafopredeter"/>
    <w:rsid w:val="007A3EAF"/>
  </w:style>
  <w:style w:type="paragraph" w:customStyle="1" w:styleId="list-none">
    <w:name w:val="list-none"/>
    <w:basedOn w:val="Normal"/>
    <w:rsid w:val="007A3EA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sr-only">
    <w:name w:val="sr-only"/>
    <w:basedOn w:val="Fuentedeprrafopredeter"/>
    <w:rsid w:val="007A3EAF"/>
  </w:style>
  <w:style w:type="paragraph" w:styleId="NormalWeb">
    <w:name w:val="Normal (Web)"/>
    <w:basedOn w:val="Normal"/>
    <w:uiPriority w:val="99"/>
    <w:semiHidden/>
    <w:unhideWhenUsed/>
    <w:rsid w:val="007A3EA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uerte">
    <w:name w:val="Strong"/>
    <w:basedOn w:val="Fuentedeprrafopredeter"/>
    <w:uiPriority w:val="22"/>
    <w:qFormat/>
    <w:rsid w:val="007A3EAF"/>
    <w:rPr>
      <w:b/>
      <w:bCs/>
    </w:rPr>
  </w:style>
  <w:style w:type="character" w:styleId="nfasis">
    <w:name w:val="Emphasis"/>
    <w:basedOn w:val="Fuentedeprrafopredeter"/>
    <w:uiPriority w:val="20"/>
    <w:qFormat/>
    <w:rsid w:val="007A3EAF"/>
    <w:rPr>
      <w:i/>
      <w:iCs/>
    </w:rPr>
  </w:style>
  <w:style w:type="character" w:customStyle="1" w:styleId="hoverentity-accent">
    <w:name w:val="hover:entity-accent"/>
    <w:basedOn w:val="Fuentedeprrafopredeter"/>
    <w:rsid w:val="007A3EAF"/>
  </w:style>
  <w:style w:type="character" w:customStyle="1" w:styleId="whitespace-normal">
    <w:name w:val="whitespace-normal"/>
    <w:basedOn w:val="Fuentedeprrafopredeter"/>
    <w:rsid w:val="007A3EAF"/>
  </w:style>
  <w:style w:type="character" w:styleId="Mencinsinresolver">
    <w:name w:val="Unresolved Mention"/>
    <w:basedOn w:val="Fuentedeprrafopredeter"/>
    <w:uiPriority w:val="99"/>
    <w:semiHidden/>
    <w:unhideWhenUsed/>
    <w:rsid w:val="007A3EAF"/>
    <w:rPr>
      <w:color w:val="605E5C"/>
      <w:shd w:val="clear" w:color="auto" w:fill="E1DFDD"/>
    </w:rPr>
  </w:style>
  <w:style w:type="paragraph" w:styleId="Encabezado">
    <w:name w:val="header"/>
    <w:basedOn w:val="Normal"/>
    <w:link w:val="EncabezadoCar"/>
    <w:uiPriority w:val="99"/>
    <w:unhideWhenUsed/>
    <w:rsid w:val="00922B75"/>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922B75"/>
  </w:style>
  <w:style w:type="paragraph" w:styleId="Piedepgina">
    <w:name w:val="footer"/>
    <w:basedOn w:val="Normal"/>
    <w:link w:val="PiedepginaCar"/>
    <w:uiPriority w:val="99"/>
    <w:unhideWhenUsed/>
    <w:rsid w:val="00922B75"/>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922B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TotalTime>
  <Pages>10</Pages>
  <Words>2231</Words>
  <Characters>12721</Characters>
  <Application>Microsoft Office Word</Application>
  <DocSecurity>0</DocSecurity>
  <Lines>106</Lines>
  <Paragraphs>29</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14923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Agencia de Wuen</dc:creator>
  <cp:keywords/>
  <dc:description/>
  <cp:lastModifiedBy>Agencia de Wuen</cp:lastModifiedBy>
  <cp:revision>13</cp:revision>
  <dcterms:created xsi:type="dcterms:W3CDTF">2026-04-17T16:37:00Z</dcterms:created>
  <dcterms:modified xsi:type="dcterms:W3CDTF">2026-04-20T19:46:00Z</dcterms:modified>
</cp:coreProperties>
</file>