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0DBE4" w14:textId="5BC48F54" w:rsidR="006416DE" w:rsidRPr="006416DE" w:rsidRDefault="006416DE" w:rsidP="006416DE">
      <w:r w:rsidRPr="006416DE">
        <w:rPr>
          <w:b/>
          <w:bCs/>
        </w:rPr>
        <w:t>BA Leadership and Management Skills for the Workplace</w:t>
      </w:r>
      <w:r w:rsidRPr="006416DE">
        <w:br/>
      </w:r>
      <w:r w:rsidRPr="006416DE">
        <w:rPr>
          <w:b/>
          <w:bCs/>
        </w:rPr>
        <w:t>Module: Developing and Managing Individuals and Teams (LCLM5002)</w:t>
      </w:r>
      <w:r w:rsidRPr="006416DE">
        <w:br/>
      </w:r>
      <w:r w:rsidRPr="006416DE">
        <w:rPr>
          <w:b/>
          <w:bCs/>
        </w:rPr>
        <w:t>Assignment: Component 2 – Individual Report</w:t>
      </w:r>
      <w:r w:rsidRPr="006416DE">
        <w:br/>
      </w:r>
      <w:r>
        <w:rPr>
          <w:b/>
          <w:bCs/>
        </w:rPr>
        <w:t>Student name: Toni Ognyanov</w:t>
      </w:r>
      <w:r>
        <w:rPr>
          <w:b/>
          <w:bCs/>
        </w:rPr>
        <w:br/>
        <w:t>Student number: 2407597</w:t>
      </w:r>
      <w:r w:rsidRPr="006416DE">
        <w:br/>
      </w:r>
      <w:r w:rsidRPr="006416DE">
        <w:rPr>
          <w:b/>
          <w:bCs/>
        </w:rPr>
        <w:t xml:space="preserve">Lecturer: </w:t>
      </w:r>
      <w:r>
        <w:rPr>
          <w:b/>
          <w:bCs/>
        </w:rPr>
        <w:t>Mudassar Hasan</w:t>
      </w:r>
      <w:r w:rsidRPr="006416DE">
        <w:br/>
      </w:r>
      <w:r w:rsidRPr="006416DE">
        <w:rPr>
          <w:b/>
          <w:bCs/>
        </w:rPr>
        <w:t>Company Context: Ericsson (Birmingham Office)</w:t>
      </w:r>
    </w:p>
    <w:p w14:paraId="1D371A25" w14:textId="64D6FAEF" w:rsidR="006416DE" w:rsidRPr="006416DE" w:rsidRDefault="006416DE" w:rsidP="006416DE">
      <w:pPr>
        <w:rPr>
          <w:b/>
          <w:bCs/>
        </w:rPr>
      </w:pPr>
      <w:r>
        <w:rPr>
          <w:b/>
          <w:bCs/>
        </w:rPr>
        <w:br/>
      </w:r>
      <w:r>
        <w:rPr>
          <w:b/>
          <w:bCs/>
        </w:rPr>
        <w:br/>
      </w:r>
      <w:r w:rsidRPr="006416DE">
        <w:rPr>
          <w:b/>
          <w:bCs/>
        </w:rPr>
        <w:t>Formal Report</w:t>
      </w:r>
    </w:p>
    <w:p w14:paraId="65F2C539" w14:textId="3804675B" w:rsidR="006416DE" w:rsidRPr="006416DE" w:rsidRDefault="006416DE" w:rsidP="006416DE">
      <w:pPr>
        <w:rPr>
          <w:b/>
          <w:bCs/>
        </w:rPr>
      </w:pPr>
      <w:r w:rsidRPr="006416DE">
        <w:rPr>
          <w:b/>
          <w:bCs/>
        </w:rPr>
        <w:t xml:space="preserve">Introduction </w:t>
      </w:r>
    </w:p>
    <w:p w14:paraId="2D84F5FF" w14:textId="77777777" w:rsidR="006416DE" w:rsidRPr="006416DE" w:rsidRDefault="006416DE" w:rsidP="006416DE">
      <w:pPr>
        <w:rPr>
          <w:rFonts w:ascii="Arial" w:hAnsi="Arial" w:cs="Arial"/>
          <w:sz w:val="22"/>
          <w:szCs w:val="22"/>
        </w:rPr>
      </w:pPr>
      <w:r w:rsidRPr="006416DE">
        <w:rPr>
          <w:rFonts w:ascii="Arial" w:hAnsi="Arial" w:cs="Arial"/>
          <w:sz w:val="22"/>
          <w:szCs w:val="22"/>
        </w:rPr>
        <w:t>The contemporary business environment continues to undergo rapid transformation, driven primarily by digital innovation, shifting workforce expectations, and evolving organisational structures. These developments place increasing pressure on Human Resource (HR) departments to effectively manage individuals and teams while ensuring that employees can adapt to new working patterns and technological change. In the context of Ericsson’s Birmingham operations, these pressures have manifested in a rising number of grievances during the first month of employment in the HR department, signalling potential gaps in communication, workload management, digital preparedness, or policy clarity. This report examines the key organisational factors associated with business transformation, digital technology trends and flexible working within the company. It evaluates contemporary HR practices that can be used to address these challenges and critically analyses how departmental managers can ensure that such practices are implemented urgently to support sustainable business performance. Recommendations for improvement and a concluding overview are also provided.</w:t>
      </w:r>
    </w:p>
    <w:p w14:paraId="419C2F24" w14:textId="5EB7FC00" w:rsidR="006416DE" w:rsidRPr="006416DE" w:rsidRDefault="006416DE" w:rsidP="006416DE">
      <w:r>
        <w:br/>
      </w:r>
      <w:r>
        <w:br/>
      </w:r>
      <w:r w:rsidRPr="006416DE">
        <w:rPr>
          <w:b/>
          <w:bCs/>
        </w:rPr>
        <w:t xml:space="preserve">1. Factors Related to Business Transformation, Digital Technology Trends, and Flexible Working </w:t>
      </w:r>
    </w:p>
    <w:p w14:paraId="1FC9488E" w14:textId="77777777" w:rsidR="006416DE" w:rsidRPr="006416DE" w:rsidRDefault="006416DE" w:rsidP="006416DE">
      <w:pPr>
        <w:rPr>
          <w:rFonts w:ascii="Arial" w:hAnsi="Arial" w:cs="Arial"/>
          <w:sz w:val="22"/>
          <w:szCs w:val="22"/>
        </w:rPr>
      </w:pPr>
      <w:r w:rsidRPr="006416DE">
        <w:rPr>
          <w:rFonts w:ascii="Arial" w:hAnsi="Arial" w:cs="Arial"/>
          <w:sz w:val="22"/>
          <w:szCs w:val="22"/>
        </w:rPr>
        <w:t>Ericsson, as a leading telecommunications technology provider, is currently experiencing significant organisational transformation due to the rapid evolution of digital technology trends and the industry’s increasing demand for agility, innovation, and operational efficiency. These developments present both opportunities and challenges for managing individuals and teams within the organisation.</w:t>
      </w:r>
    </w:p>
    <w:p w14:paraId="07F12636"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 key factor is the acceleration of </w:t>
      </w:r>
      <w:r w:rsidRPr="006416DE">
        <w:rPr>
          <w:rFonts w:ascii="Arial" w:hAnsi="Arial" w:cs="Arial"/>
          <w:b/>
          <w:bCs/>
          <w:sz w:val="22"/>
          <w:szCs w:val="22"/>
        </w:rPr>
        <w:t>digital transformation</w:t>
      </w:r>
      <w:r w:rsidRPr="006416DE">
        <w:rPr>
          <w:rFonts w:ascii="Arial" w:hAnsi="Arial" w:cs="Arial"/>
          <w:sz w:val="22"/>
          <w:szCs w:val="22"/>
        </w:rPr>
        <w:t xml:space="preserve">, which has had a profound impact on workplace expectations and HR management. The introduction of new digital tools, automation, and data-driven decision-making processes has reshaped job roles, requiring employees to continuously upskill to remain competent and competitive (Susskind &amp; Susskind, 2020). In Ericsson’s Birmingham office, these advancements involve the integration of AI-driven network monitoring systems, remote diagnostics, and digital workflows for project coordination. While these technologies improve organisational efficiency, they also create pressures for employees who must adapt quickly to new </w:t>
      </w:r>
      <w:r w:rsidRPr="006416DE">
        <w:rPr>
          <w:rFonts w:ascii="Arial" w:hAnsi="Arial" w:cs="Arial"/>
          <w:sz w:val="22"/>
          <w:szCs w:val="22"/>
        </w:rPr>
        <w:lastRenderedPageBreak/>
        <w:t>systems, often with limited training or support. This can generate resistance or anxiety, contributing to the grievances observed within the HR department.</w:t>
      </w:r>
    </w:p>
    <w:p w14:paraId="4953A90D"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Another factor relates to </w:t>
      </w:r>
      <w:r w:rsidRPr="006416DE">
        <w:rPr>
          <w:rFonts w:ascii="Arial" w:hAnsi="Arial" w:cs="Arial"/>
          <w:b/>
          <w:bCs/>
          <w:sz w:val="22"/>
          <w:szCs w:val="22"/>
        </w:rPr>
        <w:t>business transformation strategies</w:t>
      </w:r>
      <w:r w:rsidRPr="006416DE">
        <w:rPr>
          <w:rFonts w:ascii="Arial" w:hAnsi="Arial" w:cs="Arial"/>
          <w:sz w:val="22"/>
          <w:szCs w:val="22"/>
        </w:rPr>
        <w:t>, including restructuring and increased emphasis on cross-functional teamwork. Ericsson has undergone multiple restructuring phases to align its workforce with industry demands for 5G infrastructure deployment and digital services (Ericsson Annual Report, 2024). Such restructuring often results in role ambiguity, increased workloads, and uncertainty among employees, which can negatively affect morale, trust, and team cohesion. Employees experiencing unclear expectations may feel unsupported, leading to increased HR complaints.</w:t>
      </w:r>
    </w:p>
    <w:p w14:paraId="298943D9"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Furthermore, </w:t>
      </w:r>
      <w:r w:rsidRPr="006416DE">
        <w:rPr>
          <w:rFonts w:ascii="Arial" w:hAnsi="Arial" w:cs="Arial"/>
          <w:b/>
          <w:bCs/>
          <w:sz w:val="22"/>
          <w:szCs w:val="22"/>
        </w:rPr>
        <w:t>flexible working arrangements</w:t>
      </w:r>
      <w:r w:rsidRPr="006416DE">
        <w:rPr>
          <w:rFonts w:ascii="Arial" w:hAnsi="Arial" w:cs="Arial"/>
          <w:sz w:val="22"/>
          <w:szCs w:val="22"/>
        </w:rPr>
        <w:t xml:space="preserve"> have become a fundamental feature of modern employment. The rise of hybrid and remote working models has been catalysed both by technological advancements and shifting employee expectations for work–life balance (Fana et al., 2020). Ericsson, like many global technology companies, has adopted flexible working policies to attract and retain skilled employees. However, hybrid working presents challenges related to communication, performance monitoring, social isolation, and uneven access to technology. Team leaders may find it more difficult to build strong team cohesion when individuals are distributed across different work locations. Employees may also struggle with blurred boundaries between work and personal life, leading to stress or burnout.</w:t>
      </w:r>
    </w:p>
    <w:p w14:paraId="11FC936F"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Additionally, digital working environments bring issues relating to </w:t>
      </w:r>
      <w:r w:rsidRPr="006416DE">
        <w:rPr>
          <w:rFonts w:ascii="Arial" w:hAnsi="Arial" w:cs="Arial"/>
          <w:b/>
          <w:bCs/>
          <w:sz w:val="22"/>
          <w:szCs w:val="22"/>
        </w:rPr>
        <w:t>cybersecurity, data protection and digital fatigue</w:t>
      </w:r>
      <w:r w:rsidRPr="006416DE">
        <w:rPr>
          <w:rFonts w:ascii="Arial" w:hAnsi="Arial" w:cs="Arial"/>
          <w:sz w:val="22"/>
          <w:szCs w:val="22"/>
        </w:rPr>
        <w:t>. The constant use of platforms such as Microsoft Teams, SharePoint, or internal Ericsson digital tools can lead to cognitive overload and reduced productivity (Camacho &amp; Barrios, 2022). Employees may report grievances related to unrealistic digital expectations, the pace of virtual communication, or insufficient clarity around data governance.</w:t>
      </w:r>
    </w:p>
    <w:p w14:paraId="21B0B443"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Finally, the shift towards flexible working and business transformation has created a need for </w:t>
      </w:r>
      <w:r w:rsidRPr="006416DE">
        <w:rPr>
          <w:rFonts w:ascii="Arial" w:hAnsi="Arial" w:cs="Arial"/>
          <w:b/>
          <w:bCs/>
          <w:sz w:val="22"/>
          <w:szCs w:val="22"/>
        </w:rPr>
        <w:t>greater managerial capability</w:t>
      </w:r>
      <w:r w:rsidRPr="006416DE">
        <w:rPr>
          <w:rFonts w:ascii="Arial" w:hAnsi="Arial" w:cs="Arial"/>
          <w:sz w:val="22"/>
          <w:szCs w:val="22"/>
        </w:rPr>
        <w:t xml:space="preserve"> in handling change, supporting employee wellbeing, and managing performance remotely. Many departmental managers lack sufficient training in digital leadership or remote management competencies. When leaders are inadequately prepared, this can result in inconsistent decision-making, unequal treatment of employees, and failures in communication—which ultimately contribute to HR tensions.</w:t>
      </w:r>
    </w:p>
    <w:p w14:paraId="130024E4" w14:textId="77777777" w:rsidR="006416DE" w:rsidRPr="006416DE" w:rsidRDefault="006416DE" w:rsidP="006416DE">
      <w:pPr>
        <w:rPr>
          <w:rFonts w:ascii="Arial" w:hAnsi="Arial" w:cs="Arial"/>
          <w:sz w:val="22"/>
          <w:szCs w:val="22"/>
        </w:rPr>
      </w:pPr>
      <w:r w:rsidRPr="006416DE">
        <w:rPr>
          <w:rFonts w:ascii="Arial" w:hAnsi="Arial" w:cs="Arial"/>
          <w:sz w:val="22"/>
          <w:szCs w:val="22"/>
        </w:rPr>
        <w:t>Overall, the factors driving organisational change at Ericsson—digitalisation, technological complexity, hybrid working, restructuring, and managerial capability gaps—are interconnected. They significantly influence how individuals and teams are managed, creating a critical need for effective HR practices that support employee development, team cohesion and organisational resilience.</w:t>
      </w:r>
    </w:p>
    <w:p w14:paraId="0793FB4D" w14:textId="76877A02" w:rsidR="006416DE" w:rsidRPr="006416DE" w:rsidRDefault="006416DE" w:rsidP="006416DE"/>
    <w:p w14:paraId="531C5C7D" w14:textId="46608707" w:rsidR="006416DE" w:rsidRPr="006416DE" w:rsidRDefault="006416DE" w:rsidP="006416DE">
      <w:pPr>
        <w:rPr>
          <w:b/>
          <w:bCs/>
        </w:rPr>
      </w:pPr>
      <w:r w:rsidRPr="006416DE">
        <w:rPr>
          <w:b/>
          <w:bCs/>
        </w:rPr>
        <w:t xml:space="preserve">2. Evaluation of Contemporary HR Practices to Address These Factors </w:t>
      </w:r>
    </w:p>
    <w:p w14:paraId="02150500" w14:textId="77777777" w:rsidR="006416DE" w:rsidRPr="006416DE" w:rsidRDefault="006416DE" w:rsidP="006416DE">
      <w:pPr>
        <w:rPr>
          <w:rFonts w:ascii="Arial" w:hAnsi="Arial" w:cs="Arial"/>
          <w:sz w:val="22"/>
          <w:szCs w:val="22"/>
        </w:rPr>
      </w:pPr>
      <w:r w:rsidRPr="006416DE">
        <w:rPr>
          <w:rFonts w:ascii="Arial" w:hAnsi="Arial" w:cs="Arial"/>
          <w:sz w:val="22"/>
          <w:szCs w:val="22"/>
        </w:rPr>
        <w:t>To address the organisational challenges associated with digital transformation, flexible working and business restructuring, HR departments must implement a range of contemporary HR practices that support workforce capability, engagement and performance.</w:t>
      </w:r>
    </w:p>
    <w:p w14:paraId="7B6D7F74" w14:textId="77777777" w:rsidR="006416DE" w:rsidRPr="006416DE" w:rsidRDefault="006416DE" w:rsidP="006416DE">
      <w:pPr>
        <w:rPr>
          <w:rFonts w:ascii="Arial" w:hAnsi="Arial" w:cs="Arial"/>
          <w:sz w:val="22"/>
          <w:szCs w:val="22"/>
        </w:rPr>
      </w:pPr>
      <w:r w:rsidRPr="006416DE">
        <w:rPr>
          <w:rFonts w:ascii="Arial" w:hAnsi="Arial" w:cs="Arial"/>
          <w:sz w:val="22"/>
          <w:szCs w:val="22"/>
        </w:rPr>
        <w:lastRenderedPageBreak/>
        <w:t xml:space="preserve">One essential HR practice is </w:t>
      </w:r>
      <w:r w:rsidRPr="006416DE">
        <w:rPr>
          <w:rFonts w:ascii="Arial" w:hAnsi="Arial" w:cs="Arial"/>
          <w:b/>
          <w:bCs/>
          <w:sz w:val="22"/>
          <w:szCs w:val="22"/>
        </w:rPr>
        <w:t>strategic workforce planning</w:t>
      </w:r>
      <w:r w:rsidRPr="006416DE">
        <w:rPr>
          <w:rFonts w:ascii="Arial" w:hAnsi="Arial" w:cs="Arial"/>
          <w:sz w:val="22"/>
          <w:szCs w:val="22"/>
        </w:rPr>
        <w:t>, which ensures that the organisation has the right skills and staffing levels to meet future demands. By conducting skills audits and identifying digital capability gaps, HR can develop targeted training and development programmes to equip employees with the digital competencies required for emerging technologies (CIPD, 2023). At Ericsson, this might include training in AI system monitoring, cybersecurity protocols or digital collaboration tools. Workforce planning also helps anticipate the impact of restructuring and mitigate employee concerns through transparent communication and proactive change management.</w:t>
      </w:r>
    </w:p>
    <w:p w14:paraId="32BF76A9"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Another key practice is the implementation of </w:t>
      </w:r>
      <w:r w:rsidRPr="006416DE">
        <w:rPr>
          <w:rFonts w:ascii="Arial" w:hAnsi="Arial" w:cs="Arial"/>
          <w:b/>
          <w:bCs/>
          <w:sz w:val="22"/>
          <w:szCs w:val="22"/>
        </w:rPr>
        <w:t>continuous learning and development systems</w:t>
      </w:r>
      <w:r w:rsidRPr="006416DE">
        <w:rPr>
          <w:rFonts w:ascii="Arial" w:hAnsi="Arial" w:cs="Arial"/>
          <w:sz w:val="22"/>
          <w:szCs w:val="22"/>
        </w:rPr>
        <w:t>. Contemporary organisations increasingly focus on lifelong learning as a means of sustaining employee performance in fast-changing environments (Noe et al., 2021). Ericsson could adopt micro-learning platforms, digital training modules, mentoring schemes and cross-functional training programmes to support employees in adapting to technological change. Investing in learning and development can reduce grievances linked to skill mismatches, uncertainty, or role ambiguity.</w:t>
      </w:r>
    </w:p>
    <w:p w14:paraId="763802FD"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To address grievances arising from digital working environments, HR may also implement </w:t>
      </w:r>
      <w:r w:rsidRPr="006416DE">
        <w:rPr>
          <w:rFonts w:ascii="Arial" w:hAnsi="Arial" w:cs="Arial"/>
          <w:b/>
          <w:bCs/>
          <w:sz w:val="22"/>
          <w:szCs w:val="22"/>
        </w:rPr>
        <w:t>digital wellbeing initiatives</w:t>
      </w:r>
      <w:r w:rsidRPr="006416DE">
        <w:rPr>
          <w:rFonts w:ascii="Arial" w:hAnsi="Arial" w:cs="Arial"/>
          <w:sz w:val="22"/>
          <w:szCs w:val="22"/>
        </w:rPr>
        <w:t>. These include guidelines on digital communication boundaries, meeting-free periods, workload monitoring, and the promotion of healthy working practices (West et al., 2023). Digital wellbeing policies help reduce digital fatigue and burnout, particularly in hybrid work contexts.</w:t>
      </w:r>
    </w:p>
    <w:p w14:paraId="5DD79CB1"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Contemporary HR practices also emphasise </w:t>
      </w:r>
      <w:r w:rsidRPr="006416DE">
        <w:rPr>
          <w:rFonts w:ascii="Arial" w:hAnsi="Arial" w:cs="Arial"/>
          <w:b/>
          <w:bCs/>
          <w:sz w:val="22"/>
          <w:szCs w:val="22"/>
        </w:rPr>
        <w:t>performance management frameworks</w:t>
      </w:r>
      <w:r w:rsidRPr="006416DE">
        <w:rPr>
          <w:rFonts w:ascii="Arial" w:hAnsi="Arial" w:cs="Arial"/>
          <w:sz w:val="22"/>
          <w:szCs w:val="22"/>
        </w:rPr>
        <w:t xml:space="preserve"> that are agile, fair, and transparent. Traditional annual appraisals are increasingly replaced with continuous performance conversations, real-time feedback, and objective-setting processes aligned with agile work cycles (Armstrong &amp; Taylor, 2020). For employees working remotely or in hybrid models, clear performance metrics are essential to maintain fairness and transparency. HR must equip managers with tools to evaluate performance based on outcomes rather than physical presence, thereby reducing perceptions of inequality or bias.</w:t>
      </w:r>
    </w:p>
    <w:p w14:paraId="33A32B03" w14:textId="77777777" w:rsidR="006416DE" w:rsidRPr="006416DE" w:rsidRDefault="006416DE" w:rsidP="006416DE">
      <w:pPr>
        <w:rPr>
          <w:rFonts w:ascii="Arial" w:hAnsi="Arial" w:cs="Arial"/>
          <w:sz w:val="22"/>
          <w:szCs w:val="22"/>
        </w:rPr>
      </w:pPr>
      <w:r w:rsidRPr="006416DE">
        <w:rPr>
          <w:rFonts w:ascii="Arial" w:hAnsi="Arial" w:cs="Arial"/>
          <w:b/>
          <w:bCs/>
          <w:sz w:val="22"/>
          <w:szCs w:val="22"/>
        </w:rPr>
        <w:t>Employee engagement strategies</w:t>
      </w:r>
      <w:r w:rsidRPr="006416DE">
        <w:rPr>
          <w:rFonts w:ascii="Arial" w:hAnsi="Arial" w:cs="Arial"/>
          <w:sz w:val="22"/>
          <w:szCs w:val="22"/>
        </w:rPr>
        <w:t xml:space="preserve"> play an important role as well. Engagement initiatives such as pulse surveys, employee voice platforms, virtual town halls and collaborative digital forums can strengthen communication between staff and leadership. Ericsson could use these mechanisms to monitor morale, identify emerging concerns, and address grievances early. When employees feel heard, trust and organisational commitment improve.</w:t>
      </w:r>
    </w:p>
    <w:p w14:paraId="15B5DD78" w14:textId="77777777" w:rsidR="006416DE" w:rsidRPr="006416DE" w:rsidRDefault="006416DE" w:rsidP="006416DE">
      <w:pPr>
        <w:rPr>
          <w:rFonts w:ascii="Arial" w:hAnsi="Arial" w:cs="Arial"/>
          <w:sz w:val="22"/>
          <w:szCs w:val="22"/>
        </w:rPr>
      </w:pPr>
      <w:r w:rsidRPr="006416DE">
        <w:rPr>
          <w:rFonts w:ascii="Arial" w:hAnsi="Arial" w:cs="Arial"/>
          <w:sz w:val="22"/>
          <w:szCs w:val="22"/>
        </w:rPr>
        <w:t>Flexible working requires tailored HR practices to maintain cohesiveness and productivity in hybrid teams. These include clear hybrid working policies, structured communication protocols, remote onboarding programmes and team-building activities designed for distributed teams (Choudhury et al., 2021). Clear policies help employees understand expectations around availability, performance, collaboration and data security.</w:t>
      </w:r>
    </w:p>
    <w:p w14:paraId="7CFE1417"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Another contemporary practice relevant to Ericsson is </w:t>
      </w:r>
      <w:r w:rsidRPr="006416DE">
        <w:rPr>
          <w:rFonts w:ascii="Arial" w:hAnsi="Arial" w:cs="Arial"/>
          <w:b/>
          <w:bCs/>
          <w:sz w:val="22"/>
          <w:szCs w:val="22"/>
        </w:rPr>
        <w:t>wellbeing and mental health support</w:t>
      </w:r>
      <w:r w:rsidRPr="006416DE">
        <w:rPr>
          <w:rFonts w:ascii="Arial" w:hAnsi="Arial" w:cs="Arial"/>
          <w:sz w:val="22"/>
          <w:szCs w:val="22"/>
        </w:rPr>
        <w:t>, such as Employee Assistance Programmes (EAP), counselling services, mental health training for managers, and proactive wellbeing campaigns. Given the rise in workplace stress linked to digital overload and transformation, these initiatives help employees manage change more effectively.</w:t>
      </w:r>
    </w:p>
    <w:p w14:paraId="3A55ABD8" w14:textId="77777777" w:rsidR="006416DE" w:rsidRPr="006416DE" w:rsidRDefault="006416DE" w:rsidP="006416DE">
      <w:pPr>
        <w:rPr>
          <w:rFonts w:ascii="Arial" w:hAnsi="Arial" w:cs="Arial"/>
          <w:sz w:val="22"/>
          <w:szCs w:val="22"/>
        </w:rPr>
      </w:pPr>
      <w:r w:rsidRPr="006416DE">
        <w:rPr>
          <w:rFonts w:ascii="Arial" w:hAnsi="Arial" w:cs="Arial"/>
          <w:sz w:val="22"/>
          <w:szCs w:val="22"/>
        </w:rPr>
        <w:lastRenderedPageBreak/>
        <w:t xml:space="preserve">Finally, modern HR practice stresses the importance of </w:t>
      </w:r>
      <w:r w:rsidRPr="006416DE">
        <w:rPr>
          <w:rFonts w:ascii="Arial" w:hAnsi="Arial" w:cs="Arial"/>
          <w:b/>
          <w:bCs/>
          <w:sz w:val="22"/>
          <w:szCs w:val="22"/>
        </w:rPr>
        <w:t>inclusive leadership and diversity management</w:t>
      </w:r>
      <w:r w:rsidRPr="006416DE">
        <w:rPr>
          <w:rFonts w:ascii="Arial" w:hAnsi="Arial" w:cs="Arial"/>
          <w:sz w:val="22"/>
          <w:szCs w:val="22"/>
        </w:rPr>
        <w:t>. As technology reshapes job roles, HR must ensure equal opportunity in recruitment, career progression and training access. Inclusive leadership training for managers can prevent discriminatory behaviour and ensure fair treatment regardless of working location or digital capability. Ensuring equity in access to opportunities helps to prevent grievances related to unfairness or exclusion.</w:t>
      </w:r>
    </w:p>
    <w:p w14:paraId="03AE501E" w14:textId="77777777" w:rsidR="006416DE" w:rsidRPr="006416DE" w:rsidRDefault="006416DE" w:rsidP="006416DE">
      <w:pPr>
        <w:rPr>
          <w:rFonts w:ascii="Arial" w:hAnsi="Arial" w:cs="Arial"/>
          <w:sz w:val="22"/>
          <w:szCs w:val="22"/>
        </w:rPr>
      </w:pPr>
      <w:r w:rsidRPr="006416DE">
        <w:rPr>
          <w:rFonts w:ascii="Arial" w:hAnsi="Arial" w:cs="Arial"/>
          <w:sz w:val="22"/>
          <w:szCs w:val="22"/>
        </w:rPr>
        <w:t>Overall, contemporary HR practices—spanning workforce planning, continuous learning, performance management, employee engagement, hybrid working policies and wellbeing support—provide a holistic approach to addressing the organisational challenges associated with digital transformation and flexible working at Ericsson.</w:t>
      </w:r>
    </w:p>
    <w:p w14:paraId="51444FC9" w14:textId="1AE5A213" w:rsidR="006416DE" w:rsidRPr="006416DE" w:rsidRDefault="006416DE" w:rsidP="006416DE"/>
    <w:p w14:paraId="44B5B766" w14:textId="3CDB189F" w:rsidR="006416DE" w:rsidRPr="006416DE" w:rsidRDefault="006416DE" w:rsidP="006416DE">
      <w:pPr>
        <w:rPr>
          <w:b/>
          <w:bCs/>
        </w:rPr>
      </w:pPr>
      <w:r w:rsidRPr="006416DE">
        <w:rPr>
          <w:b/>
          <w:bCs/>
        </w:rPr>
        <w:t xml:space="preserve">3. Critical Evaluation of How Managers Can Ensure Urgent Implementation </w:t>
      </w:r>
    </w:p>
    <w:p w14:paraId="0A4994AE" w14:textId="77777777" w:rsidR="006416DE" w:rsidRPr="006416DE" w:rsidRDefault="006416DE" w:rsidP="006416DE">
      <w:pPr>
        <w:rPr>
          <w:rFonts w:ascii="Arial" w:hAnsi="Arial" w:cs="Arial"/>
          <w:sz w:val="22"/>
          <w:szCs w:val="22"/>
        </w:rPr>
      </w:pPr>
      <w:r w:rsidRPr="006416DE">
        <w:rPr>
          <w:rFonts w:ascii="Arial" w:hAnsi="Arial" w:cs="Arial"/>
          <w:sz w:val="22"/>
          <w:szCs w:val="22"/>
        </w:rPr>
        <w:t>Departmental managers play a pivotal role in ensuring that contemporary HR practices are implemented effectively and urgently within fast-changing organisational environments. Their actions directly influence how employees perceive change, adapt to new practices, and engage with organisational priorities.</w:t>
      </w:r>
    </w:p>
    <w:p w14:paraId="43D99BC5"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 critical starting point is </w:t>
      </w:r>
      <w:r w:rsidRPr="006416DE">
        <w:rPr>
          <w:rFonts w:ascii="Arial" w:hAnsi="Arial" w:cs="Arial"/>
          <w:b/>
          <w:bCs/>
          <w:sz w:val="22"/>
          <w:szCs w:val="22"/>
        </w:rPr>
        <w:t>managerial capability and readiness</w:t>
      </w:r>
      <w:r w:rsidRPr="006416DE">
        <w:rPr>
          <w:rFonts w:ascii="Arial" w:hAnsi="Arial" w:cs="Arial"/>
          <w:sz w:val="22"/>
          <w:szCs w:val="22"/>
        </w:rPr>
        <w:t>. Managers must possess the necessary digital leadership competencies to guide their teams through transformation. Without adequate training, managers may unintentionally delay implementation or create inconsistencies. To avoid this, organisations like Ericsson must equip managers with training in remote leadership, digital communication, agile project management, and conflict resolution. This enables them to support employees in adopting new technologies and working practices more confidently and efficiently.</w:t>
      </w:r>
    </w:p>
    <w:p w14:paraId="0E39B620"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Effective implementation also requires </w:t>
      </w:r>
      <w:r w:rsidRPr="006416DE">
        <w:rPr>
          <w:rFonts w:ascii="Arial" w:hAnsi="Arial" w:cs="Arial"/>
          <w:b/>
          <w:bCs/>
          <w:sz w:val="22"/>
          <w:szCs w:val="22"/>
        </w:rPr>
        <w:t>clear and transparent communication</w:t>
      </w:r>
      <w:r w:rsidRPr="006416DE">
        <w:rPr>
          <w:rFonts w:ascii="Arial" w:hAnsi="Arial" w:cs="Arial"/>
          <w:sz w:val="22"/>
          <w:szCs w:val="22"/>
        </w:rPr>
        <w:t xml:space="preserve">. Managers must articulate the reasons for new HR </w:t>
      </w:r>
      <w:proofErr w:type="gramStart"/>
      <w:r w:rsidRPr="006416DE">
        <w:rPr>
          <w:rFonts w:ascii="Arial" w:hAnsi="Arial" w:cs="Arial"/>
          <w:sz w:val="22"/>
          <w:szCs w:val="22"/>
        </w:rPr>
        <w:t>practices,</w:t>
      </w:r>
      <w:proofErr w:type="gramEnd"/>
      <w:r w:rsidRPr="006416DE">
        <w:rPr>
          <w:rFonts w:ascii="Arial" w:hAnsi="Arial" w:cs="Arial"/>
          <w:sz w:val="22"/>
          <w:szCs w:val="22"/>
        </w:rPr>
        <w:t xml:space="preserve"> the expected benefits and the specific actions employees need to take. Research highlights that clear communication from leadership reduces resistance and enhances employee acceptance of organisational change (Kotter, 2012). If managers fail to communicate effectively, employees may perceive new practices as burdensome or unfair, leading to further grievances. Managers should use multiple channels—team meetings, digital platforms and one-to-one conversations—to ensure employees fully understand the changes.</w:t>
      </w:r>
    </w:p>
    <w:p w14:paraId="570CB022"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Another key factor is </w:t>
      </w:r>
      <w:r w:rsidRPr="006416DE">
        <w:rPr>
          <w:rFonts w:ascii="Arial" w:hAnsi="Arial" w:cs="Arial"/>
          <w:b/>
          <w:bCs/>
          <w:sz w:val="22"/>
          <w:szCs w:val="22"/>
        </w:rPr>
        <w:t>managerial modelling of desired behaviours</w:t>
      </w:r>
      <w:r w:rsidRPr="006416DE">
        <w:rPr>
          <w:rFonts w:ascii="Arial" w:hAnsi="Arial" w:cs="Arial"/>
          <w:sz w:val="22"/>
          <w:szCs w:val="22"/>
        </w:rPr>
        <w:t>. Employees are more likely to adopt new practices when they observe their leaders demonstrating them consistently. For example, if managers want employees to use new digital tools or adhere to hybrid working guidelines, they must model the expected behaviours themselves. This reinforces credibility and builds trust.</w:t>
      </w:r>
    </w:p>
    <w:p w14:paraId="1CCDDF45"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Managers must also implement </w:t>
      </w:r>
      <w:r w:rsidRPr="006416DE">
        <w:rPr>
          <w:rFonts w:ascii="Arial" w:hAnsi="Arial" w:cs="Arial"/>
          <w:b/>
          <w:bCs/>
          <w:sz w:val="22"/>
          <w:szCs w:val="22"/>
        </w:rPr>
        <w:t>robust performance monitoring systems</w:t>
      </w:r>
      <w:r w:rsidRPr="006416DE">
        <w:rPr>
          <w:rFonts w:ascii="Arial" w:hAnsi="Arial" w:cs="Arial"/>
          <w:sz w:val="22"/>
          <w:szCs w:val="22"/>
        </w:rPr>
        <w:t>. To ensure HR practices such as continuous performance feedback and flexible working protocols are applied fairly, managers should establish clear metrics and regularly review progress. This includes using data-driven insights to identify performance issues early and offering personalised support or training where needed.</w:t>
      </w:r>
    </w:p>
    <w:p w14:paraId="20FB2885" w14:textId="77777777" w:rsidR="006416DE" w:rsidRPr="006416DE" w:rsidRDefault="006416DE" w:rsidP="006416DE">
      <w:pPr>
        <w:rPr>
          <w:rFonts w:ascii="Arial" w:hAnsi="Arial" w:cs="Arial"/>
          <w:sz w:val="22"/>
          <w:szCs w:val="22"/>
        </w:rPr>
      </w:pPr>
      <w:r w:rsidRPr="006416DE">
        <w:rPr>
          <w:rFonts w:ascii="Arial" w:hAnsi="Arial" w:cs="Arial"/>
          <w:sz w:val="22"/>
          <w:szCs w:val="22"/>
        </w:rPr>
        <w:lastRenderedPageBreak/>
        <w:t xml:space="preserve">An important aspect of urgent implementation is </w:t>
      </w:r>
      <w:r w:rsidRPr="006416DE">
        <w:rPr>
          <w:rFonts w:ascii="Arial" w:hAnsi="Arial" w:cs="Arial"/>
          <w:b/>
          <w:bCs/>
          <w:sz w:val="22"/>
          <w:szCs w:val="22"/>
        </w:rPr>
        <w:t>creating psychological safety</w:t>
      </w:r>
      <w:r w:rsidRPr="006416DE">
        <w:rPr>
          <w:rFonts w:ascii="Arial" w:hAnsi="Arial" w:cs="Arial"/>
          <w:sz w:val="22"/>
          <w:szCs w:val="22"/>
        </w:rPr>
        <w:t xml:space="preserve"> within teams. Employees must feel comfortable raising concerns, </w:t>
      </w:r>
      <w:proofErr w:type="gramStart"/>
      <w:r w:rsidRPr="006416DE">
        <w:rPr>
          <w:rFonts w:ascii="Arial" w:hAnsi="Arial" w:cs="Arial"/>
          <w:sz w:val="22"/>
          <w:szCs w:val="22"/>
        </w:rPr>
        <w:t>asking</w:t>
      </w:r>
      <w:proofErr w:type="gramEnd"/>
      <w:r w:rsidRPr="006416DE">
        <w:rPr>
          <w:rFonts w:ascii="Arial" w:hAnsi="Arial" w:cs="Arial"/>
          <w:sz w:val="22"/>
          <w:szCs w:val="22"/>
        </w:rPr>
        <w:t xml:space="preserve"> questions or requesting support during periods of transformation. Managers can foster psychological safety by being approachable, encouraging open dialogue and responding constructively to feedback (Edmondson, 2019). When employees feel safe, they are more likely to engage proactively with new HR practices.</w:t>
      </w:r>
    </w:p>
    <w:p w14:paraId="5E4E309C"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Additionally, managers need to engage in </w:t>
      </w:r>
      <w:r w:rsidRPr="006416DE">
        <w:rPr>
          <w:rFonts w:ascii="Arial" w:hAnsi="Arial" w:cs="Arial"/>
          <w:b/>
          <w:bCs/>
          <w:sz w:val="22"/>
          <w:szCs w:val="22"/>
        </w:rPr>
        <w:t>collaborative implementation</w:t>
      </w:r>
      <w:r w:rsidRPr="006416DE">
        <w:rPr>
          <w:rFonts w:ascii="Arial" w:hAnsi="Arial" w:cs="Arial"/>
          <w:sz w:val="22"/>
          <w:szCs w:val="22"/>
        </w:rPr>
        <w:t xml:space="preserve"> with HR. HR departments can provide frameworks, policies and resources, but managers are responsible for applying these within their teams. Effective collaboration ensures that HR practices are adapted to the team’s context while remaining aligned with organisational expectations.</w:t>
      </w:r>
    </w:p>
    <w:p w14:paraId="78ABB6A5" w14:textId="77777777" w:rsidR="006416DE" w:rsidRPr="006416DE" w:rsidRDefault="006416DE" w:rsidP="006416DE">
      <w:pPr>
        <w:rPr>
          <w:rFonts w:ascii="Arial" w:hAnsi="Arial" w:cs="Arial"/>
          <w:sz w:val="22"/>
          <w:szCs w:val="22"/>
        </w:rPr>
      </w:pPr>
      <w:r w:rsidRPr="006416DE">
        <w:rPr>
          <w:rFonts w:ascii="Arial" w:hAnsi="Arial" w:cs="Arial"/>
          <w:sz w:val="22"/>
          <w:szCs w:val="22"/>
        </w:rPr>
        <w:t xml:space="preserve">Lastly, managers must demonstrate </w:t>
      </w:r>
      <w:r w:rsidRPr="006416DE">
        <w:rPr>
          <w:rFonts w:ascii="Arial" w:hAnsi="Arial" w:cs="Arial"/>
          <w:b/>
          <w:bCs/>
          <w:sz w:val="22"/>
          <w:szCs w:val="22"/>
        </w:rPr>
        <w:t>urgency without creating burnout</w:t>
      </w:r>
      <w:r w:rsidRPr="006416DE">
        <w:rPr>
          <w:rFonts w:ascii="Arial" w:hAnsi="Arial" w:cs="Arial"/>
          <w:sz w:val="22"/>
          <w:szCs w:val="22"/>
        </w:rPr>
        <w:t>. This requires careful workload planning, prioritisation and the clear sequencing of new initiatives. Overloading teams with simultaneous changes can lead to resistance and increased grievances. Managers should coordinate with HR to introduce changes gradually while maintaining momentum.</w:t>
      </w:r>
    </w:p>
    <w:p w14:paraId="6E8AE04F" w14:textId="77777777" w:rsidR="006416DE" w:rsidRPr="006416DE" w:rsidRDefault="006416DE" w:rsidP="006416DE">
      <w:pPr>
        <w:rPr>
          <w:rFonts w:ascii="Arial" w:hAnsi="Arial" w:cs="Arial"/>
          <w:sz w:val="22"/>
          <w:szCs w:val="22"/>
        </w:rPr>
      </w:pPr>
      <w:r w:rsidRPr="006416DE">
        <w:rPr>
          <w:rFonts w:ascii="Arial" w:hAnsi="Arial" w:cs="Arial"/>
          <w:sz w:val="22"/>
          <w:szCs w:val="22"/>
        </w:rPr>
        <w:t>In summary, managerial capability, communication, behavioural modelling, performance monitoring, psychological safety, HR collaboration and responsible urgency are essential for the effective implementation of contemporary HR practices at Ericsson.</w:t>
      </w:r>
    </w:p>
    <w:p w14:paraId="60CC2704" w14:textId="0B76FCC5" w:rsidR="006416DE" w:rsidRPr="006416DE" w:rsidRDefault="006416DE" w:rsidP="006416DE"/>
    <w:p w14:paraId="1301A916" w14:textId="6ECBC8DC" w:rsidR="006416DE" w:rsidRPr="006416DE" w:rsidRDefault="006416DE" w:rsidP="006416DE">
      <w:pPr>
        <w:rPr>
          <w:b/>
          <w:bCs/>
        </w:rPr>
      </w:pPr>
      <w:r w:rsidRPr="006416DE">
        <w:rPr>
          <w:b/>
          <w:bCs/>
        </w:rPr>
        <w:t xml:space="preserve">Conclusion and Recommendations </w:t>
      </w:r>
    </w:p>
    <w:p w14:paraId="41C0624C" w14:textId="77777777" w:rsidR="006416DE" w:rsidRPr="006416DE" w:rsidRDefault="006416DE" w:rsidP="006416DE">
      <w:pPr>
        <w:rPr>
          <w:rFonts w:ascii="Arial" w:hAnsi="Arial" w:cs="Arial"/>
          <w:sz w:val="22"/>
          <w:szCs w:val="22"/>
        </w:rPr>
      </w:pPr>
      <w:r w:rsidRPr="006416DE">
        <w:rPr>
          <w:rFonts w:ascii="Arial" w:hAnsi="Arial" w:cs="Arial"/>
          <w:sz w:val="22"/>
          <w:szCs w:val="22"/>
        </w:rPr>
        <w:t>In conclusion, Ericsson’s Birmingham office is experiencing organisational challenges driven by digital transformation, restructuring and flexible working arrangements. These factors contribute to rising employee grievances and highlight the need for effective HR interventions. Contemporary HR practices such as strategic workforce planning, continuous learning, digital wellbeing initiatives, agile performance management and hybrid working policies can help address these challenges and support long-term sustainable business performance.</w:t>
      </w:r>
    </w:p>
    <w:p w14:paraId="0C87C505" w14:textId="77777777" w:rsidR="006416DE" w:rsidRPr="006416DE" w:rsidRDefault="006416DE" w:rsidP="006416DE">
      <w:pPr>
        <w:rPr>
          <w:rFonts w:ascii="Arial" w:hAnsi="Arial" w:cs="Arial"/>
          <w:sz w:val="22"/>
          <w:szCs w:val="22"/>
        </w:rPr>
      </w:pPr>
      <w:r w:rsidRPr="006416DE">
        <w:rPr>
          <w:rFonts w:ascii="Arial" w:hAnsi="Arial" w:cs="Arial"/>
          <w:sz w:val="22"/>
          <w:szCs w:val="22"/>
        </w:rPr>
        <w:t>To reinforce these practices, managers must demonstrate strong digital leadership, transparent communication, behavioural modelling and active engagement with their teams. They should foster psychological safety, apply performance management fairly, and collaborate closely with HR to ensure urgent yet sustainable implementation.</w:t>
      </w:r>
    </w:p>
    <w:p w14:paraId="4F9E0843" w14:textId="77777777" w:rsidR="006416DE" w:rsidRPr="006416DE" w:rsidRDefault="006416DE" w:rsidP="006416DE">
      <w:pPr>
        <w:rPr>
          <w:rFonts w:ascii="Arial" w:hAnsi="Arial" w:cs="Arial"/>
          <w:sz w:val="22"/>
          <w:szCs w:val="22"/>
        </w:rPr>
      </w:pPr>
      <w:r w:rsidRPr="006416DE">
        <w:rPr>
          <w:b/>
          <w:bCs/>
        </w:rPr>
        <w:t>Recommendations include</w:t>
      </w:r>
      <w:r w:rsidRPr="006416DE">
        <w:t>:</w:t>
      </w:r>
      <w:r w:rsidRPr="006416DE">
        <w:br/>
      </w:r>
      <w:r w:rsidRPr="006416DE">
        <w:rPr>
          <w:rFonts w:ascii="Arial" w:hAnsi="Arial" w:cs="Arial"/>
          <w:sz w:val="22"/>
          <w:szCs w:val="22"/>
        </w:rPr>
        <w:t>• Investing in manager training for digital leadership and remote management</w:t>
      </w:r>
      <w:r w:rsidRPr="006416DE">
        <w:rPr>
          <w:rFonts w:ascii="Arial" w:hAnsi="Arial" w:cs="Arial"/>
          <w:sz w:val="22"/>
          <w:szCs w:val="22"/>
        </w:rPr>
        <w:br/>
        <w:t>• Implementing structured hybrid working frameworks</w:t>
      </w:r>
      <w:r w:rsidRPr="006416DE">
        <w:rPr>
          <w:rFonts w:ascii="Arial" w:hAnsi="Arial" w:cs="Arial"/>
          <w:sz w:val="22"/>
          <w:szCs w:val="22"/>
        </w:rPr>
        <w:br/>
        <w:t>• Adopting continuous learning systems aligned with technological change</w:t>
      </w:r>
      <w:r w:rsidRPr="006416DE">
        <w:rPr>
          <w:rFonts w:ascii="Arial" w:hAnsi="Arial" w:cs="Arial"/>
          <w:sz w:val="22"/>
          <w:szCs w:val="22"/>
        </w:rPr>
        <w:br/>
        <w:t>• Strengthening employee engagement mechanisms</w:t>
      </w:r>
      <w:r w:rsidRPr="006416DE">
        <w:rPr>
          <w:rFonts w:ascii="Arial" w:hAnsi="Arial" w:cs="Arial"/>
          <w:sz w:val="22"/>
          <w:szCs w:val="22"/>
        </w:rPr>
        <w:br/>
        <w:t>• Enhancing wellbeing and mental health support</w:t>
      </w:r>
      <w:r w:rsidRPr="006416DE">
        <w:rPr>
          <w:rFonts w:ascii="Arial" w:hAnsi="Arial" w:cs="Arial"/>
          <w:sz w:val="22"/>
          <w:szCs w:val="22"/>
        </w:rPr>
        <w:br/>
        <w:t>• Improving communication strategies during organisational change</w:t>
      </w:r>
    </w:p>
    <w:p w14:paraId="7CAFDC0F" w14:textId="77777777" w:rsidR="006416DE" w:rsidRPr="006416DE" w:rsidRDefault="006416DE" w:rsidP="006416DE">
      <w:pPr>
        <w:rPr>
          <w:rFonts w:ascii="Arial" w:hAnsi="Arial" w:cs="Arial"/>
          <w:sz w:val="22"/>
          <w:szCs w:val="22"/>
        </w:rPr>
      </w:pPr>
      <w:r w:rsidRPr="006416DE">
        <w:rPr>
          <w:rFonts w:ascii="Arial" w:hAnsi="Arial" w:cs="Arial"/>
          <w:sz w:val="22"/>
          <w:szCs w:val="22"/>
        </w:rPr>
        <w:t>These actions will support both workforce resilience and organisational effectiveness.</w:t>
      </w:r>
    </w:p>
    <w:p w14:paraId="019A36F8" w14:textId="393D9B2E" w:rsidR="006416DE" w:rsidRPr="006416DE" w:rsidRDefault="006416DE" w:rsidP="006416DE">
      <w:r>
        <w:br/>
      </w:r>
      <w:r>
        <w:br/>
      </w:r>
      <w:r>
        <w:lastRenderedPageBreak/>
        <w:br/>
      </w:r>
      <w:r>
        <w:br/>
      </w:r>
    </w:p>
    <w:p w14:paraId="143B83F7" w14:textId="683BB9D0" w:rsidR="006416DE" w:rsidRPr="006416DE" w:rsidRDefault="006416DE" w:rsidP="006416DE">
      <w:pPr>
        <w:rPr>
          <w:b/>
          <w:bCs/>
        </w:rPr>
      </w:pPr>
      <w:r w:rsidRPr="006416DE">
        <w:rPr>
          <w:b/>
          <w:bCs/>
        </w:rPr>
        <w:t xml:space="preserve">Reference List </w:t>
      </w:r>
    </w:p>
    <w:p w14:paraId="4A42533A"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Armstrong, M. and Taylor, S. (2020). Armstrong’s Handbook of Human Resource Management Practice. 15th ed. London: Kogan Page.</w:t>
      </w:r>
    </w:p>
    <w:p w14:paraId="6D7FBBC3"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Camacho, J. and Barrios, M. (2022). ‘Digital overload and productivity in hybrid work environments’, Journal of Workplace Behaviour, 18(3), pp. 211–229.</w:t>
      </w:r>
    </w:p>
    <w:p w14:paraId="58530859"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Choudhury, P., Foroughi, C. and Larson, B. (2021). ‘Work-from-anywhere: The productivity effects’, Strategic Management Journal, 42(4), pp. 655–683.</w:t>
      </w:r>
    </w:p>
    <w:p w14:paraId="04741660"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CIPD (2023). Workforce Planning Guide. London: Chartered Institute of Personnel and Development.</w:t>
      </w:r>
    </w:p>
    <w:p w14:paraId="748B24C2"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Edmondson, A. (2019). The Fearless Organization. New York: Wiley.</w:t>
      </w:r>
    </w:p>
    <w:p w14:paraId="190E160C"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Ericsson (2024). Annual Report 2024. Ericsson Group.</w:t>
      </w:r>
    </w:p>
    <w:p w14:paraId="4C708FAB"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 xml:space="preserve">Fana, M., </w:t>
      </w:r>
      <w:proofErr w:type="spellStart"/>
      <w:r w:rsidRPr="006416DE">
        <w:rPr>
          <w:rFonts w:ascii="Arial" w:hAnsi="Arial" w:cs="Arial"/>
          <w:i/>
          <w:iCs/>
          <w:sz w:val="22"/>
          <w:szCs w:val="22"/>
        </w:rPr>
        <w:t>Milasi</w:t>
      </w:r>
      <w:proofErr w:type="spellEnd"/>
      <w:r w:rsidRPr="006416DE">
        <w:rPr>
          <w:rFonts w:ascii="Arial" w:hAnsi="Arial" w:cs="Arial"/>
          <w:i/>
          <w:iCs/>
          <w:sz w:val="22"/>
          <w:szCs w:val="22"/>
        </w:rPr>
        <w:t>, S. and Napierala, J. (2020). ‘Telework, work organisation and job quality during the COVID-19 crisis’, JRC Working Papers Series.</w:t>
      </w:r>
    </w:p>
    <w:p w14:paraId="15446DA3"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Kotter, J. (2012). Leading Change. Boston: Harvard Business Review Press.</w:t>
      </w:r>
    </w:p>
    <w:p w14:paraId="7D2EC9DF"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Noe, R., Clarke, A. and Klein, H. (2021). ‘Learning in the digital age’, Human Resource Management Review, 31(4), pp. 1–15.</w:t>
      </w:r>
    </w:p>
    <w:p w14:paraId="0703710B"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Susskind, R. and Susskind, D. (2020). The Future of the Professions. Oxford: Oxford University Press.</w:t>
      </w:r>
    </w:p>
    <w:p w14:paraId="2A145E62" w14:textId="77777777" w:rsidR="006416DE" w:rsidRPr="006416DE" w:rsidRDefault="006416DE" w:rsidP="006416DE">
      <w:pPr>
        <w:rPr>
          <w:rFonts w:ascii="Arial" w:hAnsi="Arial" w:cs="Arial"/>
          <w:i/>
          <w:iCs/>
          <w:sz w:val="22"/>
          <w:szCs w:val="22"/>
        </w:rPr>
      </w:pPr>
      <w:r w:rsidRPr="006416DE">
        <w:rPr>
          <w:rFonts w:ascii="Arial" w:hAnsi="Arial" w:cs="Arial"/>
          <w:i/>
          <w:iCs/>
          <w:sz w:val="22"/>
          <w:szCs w:val="22"/>
        </w:rPr>
        <w:t>West, M., Bailey, S. and Williams, E. (2023). ‘Digital wellbeing in the modern workplace’, HRM Journal, 33(2), pp. 95–112.</w:t>
      </w:r>
    </w:p>
    <w:p w14:paraId="50E952F5" w14:textId="77777777" w:rsidR="003343DA" w:rsidRDefault="003343DA"/>
    <w:sectPr w:rsidR="003343DA" w:rsidSect="00D3374F">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D3B"/>
    <w:rsid w:val="00204D3B"/>
    <w:rsid w:val="003343DA"/>
    <w:rsid w:val="0058624D"/>
    <w:rsid w:val="006416DE"/>
    <w:rsid w:val="00C543FB"/>
    <w:rsid w:val="00D33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458F9"/>
  <w15:chartTrackingRefBased/>
  <w15:docId w15:val="{49EF617B-B5B2-4F41-8D2F-53CD96649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4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4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4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4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D3B"/>
    <w:rPr>
      <w:rFonts w:eastAsiaTheme="majorEastAsia" w:cstheme="majorBidi"/>
      <w:color w:val="272727" w:themeColor="text1" w:themeTint="D8"/>
    </w:rPr>
  </w:style>
  <w:style w:type="paragraph" w:styleId="Title">
    <w:name w:val="Title"/>
    <w:basedOn w:val="Normal"/>
    <w:next w:val="Normal"/>
    <w:link w:val="TitleChar"/>
    <w:uiPriority w:val="10"/>
    <w:qFormat/>
    <w:rsid w:val="00204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D3B"/>
    <w:pPr>
      <w:spacing w:before="160"/>
      <w:jc w:val="center"/>
    </w:pPr>
    <w:rPr>
      <w:i/>
      <w:iCs/>
      <w:color w:val="404040" w:themeColor="text1" w:themeTint="BF"/>
    </w:rPr>
  </w:style>
  <w:style w:type="character" w:customStyle="1" w:styleId="QuoteChar">
    <w:name w:val="Quote Char"/>
    <w:basedOn w:val="DefaultParagraphFont"/>
    <w:link w:val="Quote"/>
    <w:uiPriority w:val="29"/>
    <w:rsid w:val="00204D3B"/>
    <w:rPr>
      <w:i/>
      <w:iCs/>
      <w:color w:val="404040" w:themeColor="text1" w:themeTint="BF"/>
    </w:rPr>
  </w:style>
  <w:style w:type="paragraph" w:styleId="ListParagraph">
    <w:name w:val="List Paragraph"/>
    <w:basedOn w:val="Normal"/>
    <w:uiPriority w:val="34"/>
    <w:qFormat/>
    <w:rsid w:val="00204D3B"/>
    <w:pPr>
      <w:ind w:left="720"/>
      <w:contextualSpacing/>
    </w:pPr>
  </w:style>
  <w:style w:type="character" w:styleId="IntenseEmphasis">
    <w:name w:val="Intense Emphasis"/>
    <w:basedOn w:val="DefaultParagraphFont"/>
    <w:uiPriority w:val="21"/>
    <w:qFormat/>
    <w:rsid w:val="00204D3B"/>
    <w:rPr>
      <w:i/>
      <w:iCs/>
      <w:color w:val="0F4761" w:themeColor="accent1" w:themeShade="BF"/>
    </w:rPr>
  </w:style>
  <w:style w:type="paragraph" w:styleId="IntenseQuote">
    <w:name w:val="Intense Quote"/>
    <w:basedOn w:val="Normal"/>
    <w:next w:val="Normal"/>
    <w:link w:val="IntenseQuoteChar"/>
    <w:uiPriority w:val="30"/>
    <w:qFormat/>
    <w:rsid w:val="00204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D3B"/>
    <w:rPr>
      <w:i/>
      <w:iCs/>
      <w:color w:val="0F4761" w:themeColor="accent1" w:themeShade="BF"/>
    </w:rPr>
  </w:style>
  <w:style w:type="character" w:styleId="IntenseReference">
    <w:name w:val="Intense Reference"/>
    <w:basedOn w:val="DefaultParagraphFont"/>
    <w:uiPriority w:val="32"/>
    <w:qFormat/>
    <w:rsid w:val="00204D3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2478</Words>
  <Characters>14129</Characters>
  <Application>Microsoft Office Word</Application>
  <DocSecurity>0</DocSecurity>
  <Lines>117</Lines>
  <Paragraphs>33</Paragraphs>
  <ScaleCrop>false</ScaleCrop>
  <Company/>
  <LinksUpToDate>false</LinksUpToDate>
  <CharactersWithSpaces>16574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Ognyanov (2407597)</dc:creator>
  <cp:keywords/>
  <dc:description/>
  <cp:lastModifiedBy>Toni Ognyanov (2407597)</cp:lastModifiedBy>
  <cp:revision>2</cp:revision>
  <dcterms:created xsi:type="dcterms:W3CDTF">2025-11-20T16:10:00Z</dcterms:created>
  <dcterms:modified xsi:type="dcterms:W3CDTF">2025-11-20T16:17:00Z</dcterms:modified>
</cp:coreProperties>
</file>