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auto"/>
        <w:jc w:val="center"/>
        <w:rPr>
          <w:rFonts w:ascii="Times New Roman" w:hAnsi="Times New Roman" w:cs="Times New Roman"/>
          <w:color w:val="000000" w:themeColor="text1"/>
          <w:sz w:val="28"/>
          <w:szCs w:val="28"/>
          <w:lang w:val="en-GB"/>
          <w14:textFill>
            <w14:solidFill>
              <w14:schemeClr w14:val="tx1"/>
            </w14:solidFill>
          </w14:textFill>
        </w:rPr>
      </w:pPr>
      <w:r>
        <w:rPr>
          <w:rFonts w:ascii="Times New Roman" w:hAnsi="Times New Roman" w:cs="Times New Roman"/>
          <w:color w:val="000000" w:themeColor="text1"/>
          <w:sz w:val="28"/>
          <w:szCs w:val="28"/>
          <w:lang w:val="en-GB" w:eastAsia="en-IN"/>
          <w14:textFill>
            <w14:solidFill>
              <w14:schemeClr w14:val="tx1"/>
            </w14:solidFill>
          </w14:textFill>
        </w:rPr>
        <w:drawing>
          <wp:inline distT="0" distB="0" distL="0" distR="0">
            <wp:extent cx="3302635" cy="1356360"/>
            <wp:effectExtent l="0" t="0" r="12065" b="15240"/>
            <wp:docPr id="1026" name="Picture 1"/>
            <wp:cNvGraphicFramePr/>
            <a:graphic xmlns:a="http://schemas.openxmlformats.org/drawingml/2006/main">
              <a:graphicData uri="http://schemas.openxmlformats.org/drawingml/2006/picture">
                <pic:pic xmlns:pic="http://schemas.openxmlformats.org/drawingml/2006/picture">
                  <pic:nvPicPr>
                    <pic:cNvPr id="1026" name="Picture 1"/>
                    <pic:cNvPicPr/>
                  </pic:nvPicPr>
                  <pic:blipFill>
                    <a:blip r:embed="rId7" cstate="print"/>
                    <a:stretch>
                      <a:fillRect/>
                    </a:stretch>
                  </pic:blipFill>
                  <pic:spPr>
                    <a:xfrm>
                      <a:off x="0" y="0"/>
                      <a:ext cx="3302758" cy="1356865"/>
                    </a:xfrm>
                    <a:prstGeom prst="rect">
                      <a:avLst/>
                    </a:prstGeom>
                  </pic:spPr>
                </pic:pic>
              </a:graphicData>
            </a:graphic>
          </wp:inline>
        </w:drawing>
      </w:r>
    </w:p>
    <w:p>
      <w:pPr>
        <w:spacing w:line="480" w:lineRule="auto"/>
        <w:jc w:val="center"/>
        <w:rPr>
          <w:rFonts w:ascii="Times New Roman" w:hAnsi="Times New Roman" w:cs="Times New Roman"/>
          <w:b/>
          <w:color w:val="000000" w:themeColor="text1"/>
          <w:sz w:val="28"/>
          <w:szCs w:val="28"/>
          <w:lang w:val="en-GB"/>
          <w14:textFill>
            <w14:solidFill>
              <w14:schemeClr w14:val="tx1"/>
            </w14:solidFill>
          </w14:textFill>
        </w:rPr>
      </w:pPr>
    </w:p>
    <w:p>
      <w:pPr>
        <w:spacing w:line="480" w:lineRule="auto"/>
        <w:jc w:val="center"/>
        <w:rPr>
          <w:rFonts w:ascii="Times New Roman" w:hAnsi="Times New Roman" w:cs="Times New Roman"/>
          <w:b/>
          <w:color w:val="000000" w:themeColor="text1"/>
          <w:sz w:val="28"/>
          <w:szCs w:val="28"/>
          <w:lang w:val="en-GB"/>
          <w14:textFill>
            <w14:solidFill>
              <w14:schemeClr w14:val="tx1"/>
            </w14:solidFill>
          </w14:textFill>
        </w:rPr>
      </w:pPr>
      <w:r>
        <w:rPr>
          <w:rFonts w:ascii="Times New Roman" w:hAnsi="Times New Roman" w:cs="Times New Roman"/>
          <w:b/>
          <w:color w:val="000000" w:themeColor="text1"/>
          <w:sz w:val="28"/>
          <w:szCs w:val="28"/>
          <w:lang w:val="en-GB"/>
          <w14:textFill>
            <w14:solidFill>
              <w14:schemeClr w14:val="tx1"/>
            </w14:solidFill>
          </w14:textFill>
        </w:rPr>
        <w:t>MBA- Masters of Business Administra</w:t>
      </w:r>
      <w:bookmarkStart w:id="15" w:name="_GoBack"/>
      <w:bookmarkEnd w:id="15"/>
      <w:r>
        <w:rPr>
          <w:rFonts w:ascii="Times New Roman" w:hAnsi="Times New Roman" w:cs="Times New Roman"/>
          <w:b/>
          <w:color w:val="000000" w:themeColor="text1"/>
          <w:sz w:val="28"/>
          <w:szCs w:val="28"/>
          <w:lang w:val="en-GB"/>
          <w14:textFill>
            <w14:solidFill>
              <w14:schemeClr w14:val="tx1"/>
            </w14:solidFill>
          </w14:textFill>
        </w:rPr>
        <w:t>tion</w:t>
      </w:r>
    </w:p>
    <w:p>
      <w:pPr>
        <w:spacing w:line="480" w:lineRule="auto"/>
        <w:jc w:val="center"/>
        <w:rPr>
          <w:rFonts w:ascii="Times New Roman" w:hAnsi="Times New Roman" w:cs="Times New Roman"/>
          <w:b/>
          <w:color w:val="000000" w:themeColor="text1"/>
          <w:sz w:val="28"/>
          <w:szCs w:val="28"/>
          <w:lang w:val="en-GB"/>
          <w14:textFill>
            <w14:solidFill>
              <w14:schemeClr w14:val="tx1"/>
            </w14:solidFill>
          </w14:textFill>
        </w:rPr>
      </w:pPr>
      <w:r>
        <w:rPr>
          <w:rFonts w:hint="default" w:ascii="Times New Roman" w:hAnsi="Times New Roman" w:cs="Times New Roman"/>
          <w:b/>
          <w:color w:val="000000" w:themeColor="text1"/>
          <w:sz w:val="28"/>
          <w:szCs w:val="28"/>
          <w:lang w:val="en-US"/>
          <w14:textFill>
            <w14:solidFill>
              <w14:schemeClr w14:val="tx1"/>
            </w14:solidFill>
          </w14:textFill>
        </w:rPr>
        <w:t>Human Resource</w:t>
      </w:r>
      <w:r>
        <w:rPr>
          <w:rFonts w:ascii="Times New Roman" w:hAnsi="Times New Roman" w:cs="Times New Roman"/>
          <w:b/>
          <w:color w:val="000000" w:themeColor="text1"/>
          <w:sz w:val="28"/>
          <w:szCs w:val="28"/>
          <w:lang w:val="en-GB"/>
          <w14:textFill>
            <w14:solidFill>
              <w14:schemeClr w14:val="tx1"/>
            </w14:solidFill>
          </w14:textFill>
        </w:rPr>
        <w:t xml:space="preserve"> Management – Assessment 2</w:t>
      </w:r>
    </w:p>
    <w:p>
      <w:pPr>
        <w:spacing w:line="480" w:lineRule="auto"/>
        <w:jc w:val="center"/>
        <w:rPr>
          <w:rFonts w:hint="default" w:ascii="Times New Roman" w:hAnsi="Times New Roman" w:cs="Times New Roman"/>
          <w:b/>
          <w:color w:val="000000" w:themeColor="text1"/>
          <w:sz w:val="28"/>
          <w:szCs w:val="28"/>
          <w:lang w:val="en-US"/>
          <w14:textFill>
            <w14:solidFill>
              <w14:schemeClr w14:val="tx1"/>
            </w14:solidFill>
          </w14:textFill>
        </w:rPr>
      </w:pPr>
      <w:r>
        <w:rPr>
          <w:rFonts w:ascii="Times New Roman" w:hAnsi="Times New Roman" w:cs="Times New Roman"/>
          <w:b/>
          <w:color w:val="000000" w:themeColor="text1"/>
          <w:sz w:val="28"/>
          <w:szCs w:val="28"/>
          <w:lang w:val="en-GB"/>
          <w14:textFill>
            <w14:solidFill>
              <w14:schemeClr w14:val="tx1"/>
            </w14:solidFill>
          </w14:textFill>
        </w:rPr>
        <w:t>LCMB700</w:t>
      </w:r>
      <w:r>
        <w:rPr>
          <w:rFonts w:hint="default" w:ascii="Times New Roman" w:hAnsi="Times New Roman" w:cs="Times New Roman"/>
          <w:b/>
          <w:color w:val="000000" w:themeColor="text1"/>
          <w:sz w:val="28"/>
          <w:szCs w:val="28"/>
          <w:lang w:val="en-US"/>
          <w14:textFill>
            <w14:solidFill>
              <w14:schemeClr w14:val="tx1"/>
            </w14:solidFill>
          </w14:textFill>
        </w:rPr>
        <w:t>0</w:t>
      </w:r>
    </w:p>
    <w:p>
      <w:pPr>
        <w:spacing w:line="480" w:lineRule="auto"/>
        <w:jc w:val="center"/>
        <w:rPr>
          <w:rFonts w:hint="default" w:ascii="Times New Roman" w:hAnsi="Times New Roman" w:cs="Times New Roman"/>
          <w:b/>
          <w:color w:val="000000" w:themeColor="text1"/>
          <w:sz w:val="28"/>
          <w:szCs w:val="28"/>
          <w:lang w:val="en-US"/>
          <w14:textFill>
            <w14:solidFill>
              <w14:schemeClr w14:val="tx1"/>
            </w14:solidFill>
          </w14:textFill>
        </w:rPr>
      </w:pPr>
      <w:r>
        <w:rPr>
          <w:rFonts w:ascii="Times New Roman" w:hAnsi="Times New Roman" w:cs="Times New Roman"/>
          <w:b/>
          <w:color w:val="000000" w:themeColor="text1"/>
          <w:sz w:val="28"/>
          <w:szCs w:val="28"/>
          <w:lang w:val="en-GB"/>
          <w14:textFill>
            <w14:solidFill>
              <w14:schemeClr w14:val="tx1"/>
            </w14:solidFill>
          </w14:textFill>
        </w:rPr>
        <w:t xml:space="preserve">Lecturer: </w:t>
      </w:r>
      <w:r>
        <w:rPr>
          <w:rFonts w:hint="default" w:ascii="Times New Roman" w:hAnsi="Times New Roman" w:cs="Times New Roman"/>
          <w:b/>
          <w:color w:val="000000" w:themeColor="text1"/>
          <w:sz w:val="28"/>
          <w:szCs w:val="28"/>
          <w:lang w:val="en-US"/>
          <w14:textFill>
            <w14:solidFill>
              <w14:schemeClr w14:val="tx1"/>
            </w14:solidFill>
          </w14:textFill>
        </w:rPr>
        <w:t>Mushfiqur Rahman</w:t>
      </w:r>
    </w:p>
    <w:p>
      <w:pPr>
        <w:spacing w:line="480" w:lineRule="auto"/>
        <w:jc w:val="center"/>
        <w:rPr>
          <w:rFonts w:ascii="Times New Roman" w:hAnsi="Times New Roman" w:cs="Times New Roman"/>
          <w:b/>
          <w:color w:val="000000" w:themeColor="text1"/>
          <w:sz w:val="28"/>
          <w:szCs w:val="28"/>
          <w:lang w:val="en-GB"/>
          <w14:textFill>
            <w14:solidFill>
              <w14:schemeClr w14:val="tx1"/>
            </w14:solidFill>
          </w14:textFill>
        </w:rPr>
      </w:pPr>
    </w:p>
    <w:p>
      <w:pPr>
        <w:spacing w:line="480" w:lineRule="auto"/>
        <w:jc w:val="center"/>
        <w:rPr>
          <w:rFonts w:ascii="Times New Roman" w:hAnsi="Times New Roman" w:cs="Times New Roman"/>
          <w:b/>
          <w:color w:val="000000" w:themeColor="text1"/>
          <w:sz w:val="28"/>
          <w:szCs w:val="28"/>
          <w:lang w:val="en-GB"/>
          <w14:textFill>
            <w14:solidFill>
              <w14:schemeClr w14:val="tx1"/>
            </w14:solidFill>
          </w14:textFill>
        </w:rPr>
      </w:pPr>
    </w:p>
    <w:p>
      <w:pPr>
        <w:spacing w:line="480" w:lineRule="auto"/>
        <w:jc w:val="center"/>
        <w:rPr>
          <w:rFonts w:ascii="Times New Roman" w:hAnsi="Times New Roman" w:cs="Times New Roman"/>
          <w:b/>
          <w:color w:val="000000" w:themeColor="text1"/>
          <w:sz w:val="28"/>
          <w:szCs w:val="28"/>
          <w:lang w:val="en-GB"/>
          <w14:textFill>
            <w14:solidFill>
              <w14:schemeClr w14:val="tx1"/>
            </w14:solidFill>
          </w14:textFill>
        </w:rPr>
      </w:pPr>
      <w:r>
        <w:rPr>
          <w:rFonts w:ascii="Times New Roman" w:hAnsi="Times New Roman" w:cs="Times New Roman"/>
          <w:b/>
          <w:color w:val="000000" w:themeColor="text1"/>
          <w:sz w:val="28"/>
          <w:szCs w:val="28"/>
          <w:lang w:val="en-GB"/>
          <w14:textFill>
            <w14:solidFill>
              <w14:schemeClr w14:val="tx1"/>
            </w14:solidFill>
          </w14:textFill>
        </w:rPr>
        <w:t xml:space="preserve">Name of the Student: Rimpalben Ajitsinh Yadav </w:t>
      </w:r>
    </w:p>
    <w:p>
      <w:pPr>
        <w:spacing w:line="480" w:lineRule="auto"/>
        <w:jc w:val="center"/>
        <w:rPr>
          <w:rFonts w:ascii="Times New Roman" w:hAnsi="Times New Roman" w:cs="Times New Roman"/>
          <w:b/>
          <w:color w:val="000000" w:themeColor="text1"/>
          <w:sz w:val="28"/>
          <w:szCs w:val="28"/>
          <w:lang w:val="en-GB"/>
          <w14:textFill>
            <w14:solidFill>
              <w14:schemeClr w14:val="tx1"/>
            </w14:solidFill>
          </w14:textFill>
        </w:rPr>
      </w:pPr>
      <w:r>
        <w:rPr>
          <w:rFonts w:ascii="Times New Roman" w:hAnsi="Times New Roman" w:cs="Times New Roman"/>
          <w:b/>
          <w:color w:val="000000" w:themeColor="text1"/>
          <w:sz w:val="28"/>
          <w:szCs w:val="28"/>
          <w:lang w:val="en-GB"/>
          <w14:textFill>
            <w14:solidFill>
              <w14:schemeClr w14:val="tx1"/>
            </w14:solidFill>
          </w14:textFill>
        </w:rPr>
        <w:t>Student ID: 2132837</w:t>
      </w:r>
    </w:p>
    <w:p>
      <w:pPr>
        <w:jc w:val="center"/>
        <w:rPr>
          <w:rFonts w:ascii="Times New Roman" w:hAnsi="Times New Roman" w:eastAsia="Times New Roman" w:cs="Times New Roman"/>
          <w:b/>
          <w:sz w:val="32"/>
          <w:szCs w:val="24"/>
        </w:rPr>
      </w:pPr>
    </w:p>
    <w:p>
      <w:pPr>
        <w:jc w:val="center"/>
        <w:rPr>
          <w:rFonts w:ascii="Times New Roman" w:hAnsi="Times New Roman" w:eastAsia="Times New Roman" w:cs="Times New Roman"/>
          <w:b/>
          <w:sz w:val="32"/>
          <w:szCs w:val="24"/>
        </w:rPr>
      </w:pPr>
    </w:p>
    <w:p>
      <w:pPr>
        <w:jc w:val="center"/>
        <w:rPr>
          <w:rFonts w:ascii="Times New Roman" w:hAnsi="Times New Roman" w:eastAsia="Times New Roman" w:cs="Times New Roman"/>
          <w:b/>
          <w:sz w:val="32"/>
          <w:szCs w:val="24"/>
        </w:rPr>
      </w:pPr>
    </w:p>
    <w:p>
      <w:pPr>
        <w:jc w:val="center"/>
        <w:rPr>
          <w:rFonts w:ascii="Times New Roman" w:hAnsi="Times New Roman" w:eastAsia="Times New Roman" w:cs="Times New Roman"/>
          <w:b/>
          <w:sz w:val="32"/>
          <w:szCs w:val="24"/>
        </w:rPr>
      </w:pPr>
    </w:p>
    <w:p>
      <w:pPr>
        <w:jc w:val="center"/>
        <w:rPr>
          <w:rFonts w:ascii="Times New Roman" w:hAnsi="Times New Roman" w:eastAsia="Times New Roman" w:cs="Times New Roman"/>
          <w:b/>
          <w:sz w:val="32"/>
          <w:szCs w:val="24"/>
        </w:rPr>
      </w:pPr>
    </w:p>
    <w:p>
      <w:pPr>
        <w:jc w:val="center"/>
        <w:rPr>
          <w:rFonts w:ascii="Times New Roman" w:hAnsi="Times New Roman" w:eastAsia="Times New Roman" w:cs="Times New Roman"/>
          <w:b/>
          <w:sz w:val="32"/>
          <w:szCs w:val="24"/>
        </w:rPr>
      </w:pPr>
    </w:p>
    <w:p>
      <w:pPr>
        <w:jc w:val="center"/>
        <w:rPr>
          <w:rFonts w:ascii="Times New Roman" w:hAnsi="Times New Roman" w:eastAsia="Times New Roman" w:cs="Times New Roman"/>
          <w:b/>
          <w:sz w:val="32"/>
          <w:szCs w:val="24"/>
        </w:rPr>
      </w:pPr>
    </w:p>
    <w:p>
      <w:pPr>
        <w:jc w:val="center"/>
        <w:rPr>
          <w:rFonts w:ascii="Times New Roman" w:hAnsi="Times New Roman" w:eastAsia="Times New Roman" w:cs="Times New Roman"/>
          <w:b/>
          <w:sz w:val="32"/>
          <w:szCs w:val="24"/>
        </w:rPr>
      </w:pPr>
    </w:p>
    <w:p>
      <w:pPr>
        <w:jc w:val="center"/>
        <w:rPr>
          <w:rFonts w:ascii="Times New Roman" w:hAnsi="Times New Roman" w:eastAsia="Times New Roman" w:cs="Times New Roman"/>
          <w:b/>
          <w:sz w:val="32"/>
          <w:szCs w:val="24"/>
        </w:rPr>
      </w:pPr>
    </w:p>
    <w:p>
      <w:pPr>
        <w:jc w:val="center"/>
        <w:rPr>
          <w:rFonts w:ascii="Times New Roman" w:hAnsi="Times New Roman" w:eastAsia="Times New Roman" w:cs="Times New Roman"/>
          <w:b/>
          <w:sz w:val="32"/>
          <w:szCs w:val="24"/>
        </w:rPr>
      </w:pPr>
    </w:p>
    <w:p>
      <w:pPr>
        <w:jc w:val="center"/>
        <w:rPr>
          <w:rFonts w:ascii="Times New Roman" w:hAnsi="Times New Roman" w:eastAsia="Times New Roman" w:cs="Times New Roman"/>
          <w:b/>
          <w:sz w:val="32"/>
          <w:szCs w:val="24"/>
        </w:rPr>
      </w:pPr>
    </w:p>
    <w:p>
      <w:pPr>
        <w:jc w:val="center"/>
        <w:rPr>
          <w:rFonts w:ascii="Times New Roman" w:hAnsi="Times New Roman" w:eastAsia="Times New Roman" w:cs="Times New Roman"/>
          <w:b/>
          <w:sz w:val="24"/>
          <w:szCs w:val="24"/>
        </w:rPr>
      </w:pPr>
      <w:r>
        <w:rPr>
          <w:rFonts w:ascii="Times New Roman" w:hAnsi="Times New Roman" w:eastAsia="Times New Roman"/>
          <w:b/>
          <w:sz w:val="32"/>
          <w:szCs w:val="24"/>
        </w:rPr>
        <w:t>Assessment 1</w:t>
      </w:r>
      <w:r>
        <w:rPr>
          <w:rFonts w:ascii="Times New Roman" w:hAnsi="Times New Roman" w:eastAsia="Times New Roman"/>
          <w:b/>
          <w:sz w:val="32"/>
          <w:szCs w:val="24"/>
          <w:lang w:val="en-US"/>
        </w:rPr>
        <w:t xml:space="preserve">: </w:t>
      </w:r>
      <w:r>
        <w:rPr>
          <w:rFonts w:ascii="Times New Roman" w:hAnsi="Times New Roman" w:eastAsia="Times New Roman"/>
          <w:b/>
          <w:sz w:val="32"/>
          <w:szCs w:val="24"/>
        </w:rPr>
        <w:t>Human Resource Management</w:t>
      </w:r>
      <w:r>
        <w:rPr>
          <w:rFonts w:ascii="Times New Roman" w:hAnsi="Times New Roman" w:eastAsia="Times New Roman" w:cs="Times New Roman"/>
          <w:b/>
          <w:sz w:val="24"/>
          <w:szCs w:val="24"/>
        </w:rPr>
        <w:br w:type="page"/>
      </w:r>
    </w:p>
    <w:p>
      <w:pPr>
        <w:spacing w:line="36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8"/>
          <w:szCs w:val="24"/>
        </w:rPr>
        <w:t>Executive summary</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This report focuses on Human Resource Strategies and their effects on the business climate in the United Kingdom after the Covid and Brexit events. The United Kingdom's immigration rules, talent acquisition methods, and workforce planning have all undergone significant revisions as a direct result of Brexit. Companies now use creative methods like training and development programs, flexible work hours, and fresh ways to hire in order to stay ahead of the competition. Employing these methods, companies have been better able to respond to shifts in the labor market, stay ahead of the competition, and plan for the future.</w:t>
      </w:r>
    </w:p>
    <w:p>
      <w:pPr>
        <w:rPr>
          <w:rFonts w:ascii="Times New Roman" w:hAnsi="Times New Roman" w:eastAsia="Times New Roman" w:cs="Times New Roman"/>
          <w:sz w:val="24"/>
          <w:szCs w:val="24"/>
        </w:rPr>
      </w:pPr>
      <w:r>
        <w:rPr>
          <w:rFonts w:ascii="Times New Roman" w:hAnsi="Times New Roman" w:eastAsia="Times New Roman" w:cs="Times New Roman"/>
          <w:sz w:val="24"/>
          <w:szCs w:val="24"/>
        </w:rPr>
        <w:br w:type="page"/>
      </w:r>
    </w:p>
    <w:sdt>
      <w:sdtPr>
        <w:rPr>
          <w:rFonts w:ascii="Arial" w:hAnsi="Arial" w:eastAsia="Arial" w:cs="Arial"/>
          <w:color w:val="auto"/>
          <w:sz w:val="22"/>
          <w:szCs w:val="22"/>
          <w:lang w:val="en" w:eastAsia="en-IN"/>
        </w:rPr>
        <w:id w:val="1281765776"/>
        <w:docPartObj>
          <w:docPartGallery w:val="Table of Contents"/>
          <w:docPartUnique/>
        </w:docPartObj>
      </w:sdtPr>
      <w:sdtEndPr>
        <w:rPr>
          <w:rFonts w:ascii="Arial" w:hAnsi="Arial" w:eastAsia="Arial" w:cs="Arial"/>
          <w:b/>
          <w:bCs/>
          <w:color w:val="auto"/>
          <w:sz w:val="22"/>
          <w:szCs w:val="22"/>
          <w:lang w:val="en" w:eastAsia="en-IN"/>
        </w:rPr>
      </w:sdtEndPr>
      <w:sdtContent>
        <w:p>
          <w:pPr>
            <w:pStyle w:val="19"/>
            <w:spacing w:line="360" w:lineRule="auto"/>
            <w:jc w:val="center"/>
            <w:rPr>
              <w:rFonts w:ascii="Times New Roman" w:hAnsi="Times New Roman" w:cs="Times New Roman"/>
              <w:b/>
              <w:color w:val="000000" w:themeColor="text1"/>
              <w:sz w:val="28"/>
              <w14:textFill>
                <w14:solidFill>
                  <w14:schemeClr w14:val="tx1"/>
                </w14:solidFill>
              </w14:textFill>
            </w:rPr>
          </w:pPr>
          <w:r>
            <w:rPr>
              <w:rFonts w:ascii="Times New Roman" w:hAnsi="Times New Roman" w:cs="Times New Roman"/>
              <w:b/>
              <w:color w:val="000000" w:themeColor="text1"/>
              <w:sz w:val="28"/>
              <w14:textFill>
                <w14:solidFill>
                  <w14:schemeClr w14:val="tx1"/>
                </w14:solidFill>
              </w14:textFill>
            </w:rPr>
            <w:t>Table of Contents</w:t>
          </w:r>
        </w:p>
        <w:p>
          <w:pPr>
            <w:pStyle w:val="15"/>
            <w:tabs>
              <w:tab w:val="right" w:leader="dot" w:pos="9350"/>
            </w:tabs>
            <w:spacing w:line="360" w:lineRule="auto"/>
            <w:jc w:val="both"/>
            <w:rPr>
              <w:rFonts w:ascii="Times New Roman" w:hAnsi="Times New Roman" w:cs="Times New Roman"/>
              <w:sz w:val="24"/>
            </w:rPr>
          </w:pPr>
          <w:r>
            <w:rPr>
              <w:rFonts w:ascii="Times New Roman" w:hAnsi="Times New Roman" w:cs="Times New Roman"/>
              <w:b/>
              <w:bCs/>
              <w:sz w:val="24"/>
            </w:rPr>
            <w:fldChar w:fldCharType="begin"/>
          </w:r>
          <w:r>
            <w:rPr>
              <w:rFonts w:ascii="Times New Roman" w:hAnsi="Times New Roman" w:cs="Times New Roman"/>
              <w:b/>
              <w:bCs/>
              <w:sz w:val="24"/>
            </w:rPr>
            <w:instrText xml:space="preserve"> TOC \o "1-3" \h \z \u </w:instrText>
          </w:r>
          <w:r>
            <w:rPr>
              <w:rFonts w:ascii="Times New Roman" w:hAnsi="Times New Roman" w:cs="Times New Roman"/>
              <w:b/>
              <w:bCs/>
              <w:sz w:val="24"/>
            </w:rPr>
            <w:fldChar w:fldCharType="separate"/>
          </w:r>
          <w:r>
            <w:fldChar w:fldCharType="begin"/>
          </w:r>
          <w:r>
            <w:instrText xml:space="preserve"> HYPERLINK \l "_Toc133341999" </w:instrText>
          </w:r>
          <w:r>
            <w:fldChar w:fldCharType="separate"/>
          </w:r>
          <w:r>
            <w:rPr>
              <w:rStyle w:val="12"/>
              <w:rFonts w:ascii="Times New Roman" w:hAnsi="Times New Roman" w:cs="Times New Roman"/>
              <w:sz w:val="24"/>
            </w:rPr>
            <w:t>Introduction</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_Toc133341999 \h </w:instrText>
          </w:r>
          <w:r>
            <w:rPr>
              <w:rFonts w:ascii="Times New Roman" w:hAnsi="Times New Roman" w:cs="Times New Roman"/>
              <w:sz w:val="24"/>
            </w:rPr>
            <w:fldChar w:fldCharType="separate"/>
          </w:r>
          <w:r>
            <w:rPr>
              <w:rFonts w:ascii="Times New Roman" w:hAnsi="Times New Roman" w:cs="Times New Roman"/>
              <w:sz w:val="24"/>
            </w:rPr>
            <w:t>4</w:t>
          </w:r>
          <w:r>
            <w:rPr>
              <w:rFonts w:ascii="Times New Roman" w:hAnsi="Times New Roman" w:cs="Times New Roman"/>
              <w:sz w:val="24"/>
            </w:rPr>
            <w:fldChar w:fldCharType="end"/>
          </w:r>
          <w:r>
            <w:rPr>
              <w:rFonts w:ascii="Times New Roman" w:hAnsi="Times New Roman" w:cs="Times New Roman"/>
              <w:sz w:val="24"/>
            </w:rPr>
            <w:fldChar w:fldCharType="end"/>
          </w:r>
        </w:p>
        <w:p>
          <w:pPr>
            <w:pStyle w:val="15"/>
            <w:tabs>
              <w:tab w:val="right" w:leader="dot" w:pos="9350"/>
            </w:tabs>
            <w:spacing w:line="360" w:lineRule="auto"/>
            <w:jc w:val="both"/>
            <w:rPr>
              <w:rFonts w:ascii="Times New Roman" w:hAnsi="Times New Roman" w:cs="Times New Roman"/>
              <w:sz w:val="24"/>
            </w:rPr>
          </w:pPr>
          <w:r>
            <w:fldChar w:fldCharType="begin"/>
          </w:r>
          <w:r>
            <w:instrText xml:space="preserve"> HYPERLINK \l "_Toc133342000" </w:instrText>
          </w:r>
          <w:r>
            <w:fldChar w:fldCharType="separate"/>
          </w:r>
          <w:r>
            <w:rPr>
              <w:rStyle w:val="12"/>
              <w:rFonts w:ascii="Times New Roman" w:hAnsi="Times New Roman" w:cs="Times New Roman"/>
              <w:sz w:val="24"/>
            </w:rPr>
            <w:t>The current state of the labor market in the UK</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_Toc133342000 \h </w:instrText>
          </w:r>
          <w:r>
            <w:rPr>
              <w:rFonts w:ascii="Times New Roman" w:hAnsi="Times New Roman" w:cs="Times New Roman"/>
              <w:sz w:val="24"/>
            </w:rPr>
            <w:fldChar w:fldCharType="separate"/>
          </w:r>
          <w:r>
            <w:rPr>
              <w:rFonts w:ascii="Times New Roman" w:hAnsi="Times New Roman" w:cs="Times New Roman"/>
              <w:sz w:val="24"/>
            </w:rPr>
            <w:t>4</w:t>
          </w:r>
          <w:r>
            <w:rPr>
              <w:rFonts w:ascii="Times New Roman" w:hAnsi="Times New Roman" w:cs="Times New Roman"/>
              <w:sz w:val="24"/>
            </w:rPr>
            <w:fldChar w:fldCharType="end"/>
          </w:r>
          <w:r>
            <w:rPr>
              <w:rFonts w:ascii="Times New Roman" w:hAnsi="Times New Roman" w:cs="Times New Roman"/>
              <w:sz w:val="24"/>
            </w:rPr>
            <w:fldChar w:fldCharType="end"/>
          </w:r>
        </w:p>
        <w:p>
          <w:pPr>
            <w:pStyle w:val="16"/>
            <w:tabs>
              <w:tab w:val="right" w:leader="dot" w:pos="9350"/>
            </w:tabs>
            <w:spacing w:line="360" w:lineRule="auto"/>
            <w:jc w:val="both"/>
            <w:rPr>
              <w:rFonts w:ascii="Times New Roman" w:hAnsi="Times New Roman" w:cs="Times New Roman"/>
              <w:sz w:val="24"/>
            </w:rPr>
          </w:pPr>
          <w:r>
            <w:fldChar w:fldCharType="begin"/>
          </w:r>
          <w:r>
            <w:instrText xml:space="preserve"> HYPERLINK \l "_Toc133342001" </w:instrText>
          </w:r>
          <w:r>
            <w:fldChar w:fldCharType="separate"/>
          </w:r>
          <w:r>
            <w:rPr>
              <w:rStyle w:val="12"/>
              <w:rFonts w:ascii="Times New Roman" w:hAnsi="Times New Roman" w:cs="Times New Roman"/>
              <w:sz w:val="24"/>
            </w:rPr>
            <w:t>Wages and Benefits</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_Toc133342001 \h </w:instrText>
          </w:r>
          <w:r>
            <w:rPr>
              <w:rFonts w:ascii="Times New Roman" w:hAnsi="Times New Roman" w:cs="Times New Roman"/>
              <w:sz w:val="24"/>
            </w:rPr>
            <w:fldChar w:fldCharType="separate"/>
          </w:r>
          <w:r>
            <w:rPr>
              <w:rFonts w:ascii="Times New Roman" w:hAnsi="Times New Roman" w:cs="Times New Roman"/>
              <w:sz w:val="24"/>
            </w:rPr>
            <w:t>5</w:t>
          </w:r>
          <w:r>
            <w:rPr>
              <w:rFonts w:ascii="Times New Roman" w:hAnsi="Times New Roman" w:cs="Times New Roman"/>
              <w:sz w:val="24"/>
            </w:rPr>
            <w:fldChar w:fldCharType="end"/>
          </w:r>
          <w:r>
            <w:rPr>
              <w:rFonts w:ascii="Times New Roman" w:hAnsi="Times New Roman" w:cs="Times New Roman"/>
              <w:sz w:val="24"/>
            </w:rPr>
            <w:fldChar w:fldCharType="end"/>
          </w:r>
        </w:p>
        <w:p>
          <w:pPr>
            <w:pStyle w:val="16"/>
            <w:tabs>
              <w:tab w:val="right" w:leader="dot" w:pos="9350"/>
            </w:tabs>
            <w:spacing w:line="360" w:lineRule="auto"/>
            <w:jc w:val="both"/>
            <w:rPr>
              <w:rFonts w:ascii="Times New Roman" w:hAnsi="Times New Roman" w:cs="Times New Roman"/>
              <w:sz w:val="24"/>
            </w:rPr>
          </w:pPr>
          <w:r>
            <w:fldChar w:fldCharType="begin"/>
          </w:r>
          <w:r>
            <w:instrText xml:space="preserve"> HYPERLINK \l "_Toc133342002" </w:instrText>
          </w:r>
          <w:r>
            <w:fldChar w:fldCharType="separate"/>
          </w:r>
          <w:r>
            <w:rPr>
              <w:rStyle w:val="12"/>
              <w:rFonts w:ascii="Times New Roman" w:hAnsi="Times New Roman" w:cs="Times New Roman"/>
              <w:sz w:val="24"/>
            </w:rPr>
            <w:t>Future outlook</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_Toc133342002 \h </w:instrText>
          </w:r>
          <w:r>
            <w:rPr>
              <w:rFonts w:ascii="Times New Roman" w:hAnsi="Times New Roman" w:cs="Times New Roman"/>
              <w:sz w:val="24"/>
            </w:rPr>
            <w:fldChar w:fldCharType="separate"/>
          </w:r>
          <w:r>
            <w:rPr>
              <w:rFonts w:ascii="Times New Roman" w:hAnsi="Times New Roman" w:cs="Times New Roman"/>
              <w:sz w:val="24"/>
            </w:rPr>
            <w:t>6</w:t>
          </w:r>
          <w:r>
            <w:rPr>
              <w:rFonts w:ascii="Times New Roman" w:hAnsi="Times New Roman" w:cs="Times New Roman"/>
              <w:sz w:val="24"/>
            </w:rPr>
            <w:fldChar w:fldCharType="end"/>
          </w:r>
          <w:r>
            <w:rPr>
              <w:rFonts w:ascii="Times New Roman" w:hAnsi="Times New Roman" w:cs="Times New Roman"/>
              <w:sz w:val="24"/>
            </w:rPr>
            <w:fldChar w:fldCharType="end"/>
          </w:r>
        </w:p>
        <w:p>
          <w:pPr>
            <w:pStyle w:val="15"/>
            <w:tabs>
              <w:tab w:val="right" w:leader="dot" w:pos="9350"/>
            </w:tabs>
            <w:spacing w:line="360" w:lineRule="auto"/>
            <w:jc w:val="both"/>
            <w:rPr>
              <w:rFonts w:ascii="Times New Roman" w:hAnsi="Times New Roman" w:cs="Times New Roman"/>
              <w:sz w:val="24"/>
            </w:rPr>
          </w:pPr>
          <w:r>
            <w:fldChar w:fldCharType="begin"/>
          </w:r>
          <w:r>
            <w:instrText xml:space="preserve"> HYPERLINK \l "_Toc133342003" </w:instrText>
          </w:r>
          <w:r>
            <w:fldChar w:fldCharType="separate"/>
          </w:r>
          <w:r>
            <w:rPr>
              <w:rStyle w:val="12"/>
              <w:rFonts w:ascii="Times New Roman" w:hAnsi="Times New Roman" w:cs="Times New Roman"/>
              <w:sz w:val="24"/>
            </w:rPr>
            <w:t>The emerging changes in Human Resourcing Strategies in the post-Covid, post-Brexit external environment.</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_Toc133342003 \h </w:instrText>
          </w:r>
          <w:r>
            <w:rPr>
              <w:rFonts w:ascii="Times New Roman" w:hAnsi="Times New Roman" w:cs="Times New Roman"/>
              <w:sz w:val="24"/>
            </w:rPr>
            <w:fldChar w:fldCharType="separate"/>
          </w:r>
          <w:r>
            <w:rPr>
              <w:rFonts w:ascii="Times New Roman" w:hAnsi="Times New Roman" w:cs="Times New Roman"/>
              <w:sz w:val="24"/>
            </w:rPr>
            <w:t>7</w:t>
          </w:r>
          <w:r>
            <w:rPr>
              <w:rFonts w:ascii="Times New Roman" w:hAnsi="Times New Roman" w:cs="Times New Roman"/>
              <w:sz w:val="24"/>
            </w:rPr>
            <w:fldChar w:fldCharType="end"/>
          </w:r>
          <w:r>
            <w:rPr>
              <w:rFonts w:ascii="Times New Roman" w:hAnsi="Times New Roman" w:cs="Times New Roman"/>
              <w:sz w:val="24"/>
            </w:rPr>
            <w:fldChar w:fldCharType="end"/>
          </w:r>
        </w:p>
        <w:p>
          <w:pPr>
            <w:pStyle w:val="16"/>
            <w:tabs>
              <w:tab w:val="right" w:leader="dot" w:pos="9350"/>
            </w:tabs>
            <w:spacing w:line="360" w:lineRule="auto"/>
            <w:jc w:val="both"/>
            <w:rPr>
              <w:rFonts w:ascii="Times New Roman" w:hAnsi="Times New Roman" w:cs="Times New Roman"/>
              <w:sz w:val="24"/>
            </w:rPr>
          </w:pPr>
          <w:r>
            <w:fldChar w:fldCharType="begin"/>
          </w:r>
          <w:r>
            <w:instrText xml:space="preserve"> HYPERLINK \l "_Toc133342004" </w:instrText>
          </w:r>
          <w:r>
            <w:fldChar w:fldCharType="separate"/>
          </w:r>
          <w:r>
            <w:rPr>
              <w:rStyle w:val="12"/>
              <w:rFonts w:ascii="Times New Roman" w:hAnsi="Times New Roman" w:cs="Times New Roman"/>
              <w:sz w:val="24"/>
            </w:rPr>
            <w:t>Emerging change in post-COVID</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_Toc133342004 \h </w:instrText>
          </w:r>
          <w:r>
            <w:rPr>
              <w:rFonts w:ascii="Times New Roman" w:hAnsi="Times New Roman" w:cs="Times New Roman"/>
              <w:sz w:val="24"/>
            </w:rPr>
            <w:fldChar w:fldCharType="separate"/>
          </w:r>
          <w:r>
            <w:rPr>
              <w:rFonts w:ascii="Times New Roman" w:hAnsi="Times New Roman" w:cs="Times New Roman"/>
              <w:sz w:val="24"/>
            </w:rPr>
            <w:t>7</w:t>
          </w:r>
          <w:r>
            <w:rPr>
              <w:rFonts w:ascii="Times New Roman" w:hAnsi="Times New Roman" w:cs="Times New Roman"/>
              <w:sz w:val="24"/>
            </w:rPr>
            <w:fldChar w:fldCharType="end"/>
          </w:r>
          <w:r>
            <w:rPr>
              <w:rFonts w:ascii="Times New Roman" w:hAnsi="Times New Roman" w:cs="Times New Roman"/>
              <w:sz w:val="24"/>
            </w:rPr>
            <w:fldChar w:fldCharType="end"/>
          </w:r>
        </w:p>
        <w:p>
          <w:pPr>
            <w:pStyle w:val="16"/>
            <w:tabs>
              <w:tab w:val="right" w:leader="dot" w:pos="9350"/>
            </w:tabs>
            <w:spacing w:line="360" w:lineRule="auto"/>
            <w:jc w:val="both"/>
            <w:rPr>
              <w:rFonts w:ascii="Times New Roman" w:hAnsi="Times New Roman" w:cs="Times New Roman"/>
              <w:sz w:val="24"/>
            </w:rPr>
          </w:pPr>
          <w:r>
            <w:fldChar w:fldCharType="begin"/>
          </w:r>
          <w:r>
            <w:instrText xml:space="preserve"> HYPERLINK \l "_Toc133342005" </w:instrText>
          </w:r>
          <w:r>
            <w:fldChar w:fldCharType="separate"/>
          </w:r>
          <w:r>
            <w:rPr>
              <w:rStyle w:val="12"/>
              <w:rFonts w:ascii="Times New Roman" w:hAnsi="Times New Roman" w:cs="Times New Roman"/>
              <w:sz w:val="24"/>
            </w:rPr>
            <w:t>Remote work environment</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_Toc133342005 \h </w:instrText>
          </w:r>
          <w:r>
            <w:rPr>
              <w:rFonts w:ascii="Times New Roman" w:hAnsi="Times New Roman" w:cs="Times New Roman"/>
              <w:sz w:val="24"/>
            </w:rPr>
            <w:fldChar w:fldCharType="separate"/>
          </w:r>
          <w:r>
            <w:rPr>
              <w:rFonts w:ascii="Times New Roman" w:hAnsi="Times New Roman" w:cs="Times New Roman"/>
              <w:sz w:val="24"/>
            </w:rPr>
            <w:t>7</w:t>
          </w:r>
          <w:r>
            <w:rPr>
              <w:rFonts w:ascii="Times New Roman" w:hAnsi="Times New Roman" w:cs="Times New Roman"/>
              <w:sz w:val="24"/>
            </w:rPr>
            <w:fldChar w:fldCharType="end"/>
          </w:r>
          <w:r>
            <w:rPr>
              <w:rFonts w:ascii="Times New Roman" w:hAnsi="Times New Roman" w:cs="Times New Roman"/>
              <w:sz w:val="24"/>
            </w:rPr>
            <w:fldChar w:fldCharType="end"/>
          </w:r>
        </w:p>
        <w:p>
          <w:pPr>
            <w:pStyle w:val="16"/>
            <w:tabs>
              <w:tab w:val="right" w:leader="dot" w:pos="9350"/>
            </w:tabs>
            <w:spacing w:line="360" w:lineRule="auto"/>
            <w:jc w:val="both"/>
            <w:rPr>
              <w:rFonts w:ascii="Times New Roman" w:hAnsi="Times New Roman" w:cs="Times New Roman"/>
              <w:sz w:val="24"/>
            </w:rPr>
          </w:pPr>
          <w:r>
            <w:fldChar w:fldCharType="begin"/>
          </w:r>
          <w:r>
            <w:instrText xml:space="preserve"> HYPERLINK \l "_Toc133342006" </w:instrText>
          </w:r>
          <w:r>
            <w:fldChar w:fldCharType="separate"/>
          </w:r>
          <w:r>
            <w:rPr>
              <w:rStyle w:val="12"/>
              <w:rFonts w:ascii="Times New Roman" w:hAnsi="Times New Roman" w:cs="Times New Roman"/>
              <w:sz w:val="24"/>
            </w:rPr>
            <w:t>Changes in Recruitment Practices</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_Toc133342006 \h </w:instrText>
          </w:r>
          <w:r>
            <w:rPr>
              <w:rFonts w:ascii="Times New Roman" w:hAnsi="Times New Roman" w:cs="Times New Roman"/>
              <w:sz w:val="24"/>
            </w:rPr>
            <w:fldChar w:fldCharType="separate"/>
          </w:r>
          <w:r>
            <w:rPr>
              <w:rFonts w:ascii="Times New Roman" w:hAnsi="Times New Roman" w:cs="Times New Roman"/>
              <w:sz w:val="24"/>
            </w:rPr>
            <w:t>7</w:t>
          </w:r>
          <w:r>
            <w:rPr>
              <w:rFonts w:ascii="Times New Roman" w:hAnsi="Times New Roman" w:cs="Times New Roman"/>
              <w:sz w:val="24"/>
            </w:rPr>
            <w:fldChar w:fldCharType="end"/>
          </w:r>
          <w:r>
            <w:rPr>
              <w:rFonts w:ascii="Times New Roman" w:hAnsi="Times New Roman" w:cs="Times New Roman"/>
              <w:sz w:val="24"/>
            </w:rPr>
            <w:fldChar w:fldCharType="end"/>
          </w:r>
        </w:p>
        <w:p>
          <w:pPr>
            <w:pStyle w:val="16"/>
            <w:tabs>
              <w:tab w:val="right" w:leader="dot" w:pos="9350"/>
            </w:tabs>
            <w:spacing w:line="360" w:lineRule="auto"/>
            <w:jc w:val="both"/>
            <w:rPr>
              <w:rFonts w:ascii="Times New Roman" w:hAnsi="Times New Roman" w:cs="Times New Roman"/>
              <w:sz w:val="24"/>
            </w:rPr>
          </w:pPr>
          <w:r>
            <w:fldChar w:fldCharType="begin"/>
          </w:r>
          <w:r>
            <w:instrText xml:space="preserve"> HYPERLINK \l "_Toc133342007" </w:instrText>
          </w:r>
          <w:r>
            <w:fldChar w:fldCharType="separate"/>
          </w:r>
          <w:r>
            <w:rPr>
              <w:rStyle w:val="12"/>
              <w:rFonts w:ascii="Times New Roman" w:hAnsi="Times New Roman" w:cs="Times New Roman"/>
              <w:sz w:val="24"/>
            </w:rPr>
            <w:t>Mental health and well being</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_Toc133342007 \h </w:instrText>
          </w:r>
          <w:r>
            <w:rPr>
              <w:rFonts w:ascii="Times New Roman" w:hAnsi="Times New Roman" w:cs="Times New Roman"/>
              <w:sz w:val="24"/>
            </w:rPr>
            <w:fldChar w:fldCharType="separate"/>
          </w:r>
          <w:r>
            <w:rPr>
              <w:rFonts w:ascii="Times New Roman" w:hAnsi="Times New Roman" w:cs="Times New Roman"/>
              <w:sz w:val="24"/>
            </w:rPr>
            <w:t>8</w:t>
          </w:r>
          <w:r>
            <w:rPr>
              <w:rFonts w:ascii="Times New Roman" w:hAnsi="Times New Roman" w:cs="Times New Roman"/>
              <w:sz w:val="24"/>
            </w:rPr>
            <w:fldChar w:fldCharType="end"/>
          </w:r>
          <w:r>
            <w:rPr>
              <w:rFonts w:ascii="Times New Roman" w:hAnsi="Times New Roman" w:cs="Times New Roman"/>
              <w:sz w:val="24"/>
            </w:rPr>
            <w:fldChar w:fldCharType="end"/>
          </w:r>
        </w:p>
        <w:p>
          <w:pPr>
            <w:pStyle w:val="15"/>
            <w:tabs>
              <w:tab w:val="right" w:leader="dot" w:pos="9350"/>
            </w:tabs>
            <w:spacing w:line="360" w:lineRule="auto"/>
            <w:jc w:val="both"/>
            <w:rPr>
              <w:rFonts w:ascii="Times New Roman" w:hAnsi="Times New Roman" w:cs="Times New Roman"/>
              <w:sz w:val="24"/>
            </w:rPr>
          </w:pPr>
          <w:r>
            <w:fldChar w:fldCharType="begin"/>
          </w:r>
          <w:r>
            <w:instrText xml:space="preserve"> HYPERLINK \l "_Toc133342008" </w:instrText>
          </w:r>
          <w:r>
            <w:fldChar w:fldCharType="separate"/>
          </w:r>
          <w:r>
            <w:rPr>
              <w:rStyle w:val="12"/>
              <w:rFonts w:ascii="Times New Roman" w:hAnsi="Times New Roman" w:cs="Times New Roman"/>
              <w:sz w:val="24"/>
            </w:rPr>
            <w:t>Impacts of Brexit</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_Toc133342008 \h </w:instrText>
          </w:r>
          <w:r>
            <w:rPr>
              <w:rFonts w:ascii="Times New Roman" w:hAnsi="Times New Roman" w:cs="Times New Roman"/>
              <w:sz w:val="24"/>
            </w:rPr>
            <w:fldChar w:fldCharType="separate"/>
          </w:r>
          <w:r>
            <w:rPr>
              <w:rFonts w:ascii="Times New Roman" w:hAnsi="Times New Roman" w:cs="Times New Roman"/>
              <w:sz w:val="24"/>
            </w:rPr>
            <w:t>8</w:t>
          </w:r>
          <w:r>
            <w:rPr>
              <w:rFonts w:ascii="Times New Roman" w:hAnsi="Times New Roman" w:cs="Times New Roman"/>
              <w:sz w:val="24"/>
            </w:rPr>
            <w:fldChar w:fldCharType="end"/>
          </w:r>
          <w:r>
            <w:rPr>
              <w:rFonts w:ascii="Times New Roman" w:hAnsi="Times New Roman" w:cs="Times New Roman"/>
              <w:sz w:val="24"/>
            </w:rPr>
            <w:fldChar w:fldCharType="end"/>
          </w:r>
        </w:p>
        <w:p>
          <w:pPr>
            <w:pStyle w:val="16"/>
            <w:tabs>
              <w:tab w:val="right" w:leader="dot" w:pos="9350"/>
            </w:tabs>
            <w:spacing w:line="360" w:lineRule="auto"/>
            <w:jc w:val="both"/>
            <w:rPr>
              <w:rFonts w:ascii="Times New Roman" w:hAnsi="Times New Roman" w:cs="Times New Roman"/>
              <w:sz w:val="24"/>
            </w:rPr>
          </w:pPr>
          <w:r>
            <w:fldChar w:fldCharType="begin"/>
          </w:r>
          <w:r>
            <w:instrText xml:space="preserve"> HYPERLINK \l "_Toc133342009" </w:instrText>
          </w:r>
          <w:r>
            <w:fldChar w:fldCharType="separate"/>
          </w:r>
          <w:r>
            <w:rPr>
              <w:rStyle w:val="12"/>
              <w:rFonts w:ascii="Times New Roman" w:hAnsi="Times New Roman" w:cs="Times New Roman"/>
              <w:sz w:val="24"/>
            </w:rPr>
            <w:t>Immigration Policies</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_Toc133342009 \h </w:instrText>
          </w:r>
          <w:r>
            <w:rPr>
              <w:rFonts w:ascii="Times New Roman" w:hAnsi="Times New Roman" w:cs="Times New Roman"/>
              <w:sz w:val="24"/>
            </w:rPr>
            <w:fldChar w:fldCharType="separate"/>
          </w:r>
          <w:r>
            <w:rPr>
              <w:rFonts w:ascii="Times New Roman" w:hAnsi="Times New Roman" w:cs="Times New Roman"/>
              <w:sz w:val="24"/>
            </w:rPr>
            <w:t>8</w:t>
          </w:r>
          <w:r>
            <w:rPr>
              <w:rFonts w:ascii="Times New Roman" w:hAnsi="Times New Roman" w:cs="Times New Roman"/>
              <w:sz w:val="24"/>
            </w:rPr>
            <w:fldChar w:fldCharType="end"/>
          </w:r>
          <w:r>
            <w:rPr>
              <w:rFonts w:ascii="Times New Roman" w:hAnsi="Times New Roman" w:cs="Times New Roman"/>
              <w:sz w:val="24"/>
            </w:rPr>
            <w:fldChar w:fldCharType="end"/>
          </w:r>
        </w:p>
        <w:p>
          <w:pPr>
            <w:pStyle w:val="16"/>
            <w:tabs>
              <w:tab w:val="right" w:leader="dot" w:pos="9350"/>
            </w:tabs>
            <w:spacing w:line="360" w:lineRule="auto"/>
            <w:jc w:val="both"/>
            <w:rPr>
              <w:rFonts w:ascii="Times New Roman" w:hAnsi="Times New Roman" w:cs="Times New Roman"/>
              <w:sz w:val="24"/>
            </w:rPr>
          </w:pPr>
          <w:r>
            <w:fldChar w:fldCharType="begin"/>
          </w:r>
          <w:r>
            <w:instrText xml:space="preserve"> HYPERLINK \l "_Toc133342010" </w:instrText>
          </w:r>
          <w:r>
            <w:fldChar w:fldCharType="separate"/>
          </w:r>
          <w:r>
            <w:rPr>
              <w:rStyle w:val="12"/>
              <w:rFonts w:ascii="Times New Roman" w:hAnsi="Times New Roman" w:cs="Times New Roman"/>
              <w:sz w:val="24"/>
            </w:rPr>
            <w:t>Talent Acquisition</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_Toc133342010 \h </w:instrText>
          </w:r>
          <w:r>
            <w:rPr>
              <w:rFonts w:ascii="Times New Roman" w:hAnsi="Times New Roman" w:cs="Times New Roman"/>
              <w:sz w:val="24"/>
            </w:rPr>
            <w:fldChar w:fldCharType="separate"/>
          </w:r>
          <w:r>
            <w:rPr>
              <w:rFonts w:ascii="Times New Roman" w:hAnsi="Times New Roman" w:cs="Times New Roman"/>
              <w:sz w:val="24"/>
            </w:rPr>
            <w:t>8</w:t>
          </w:r>
          <w:r>
            <w:rPr>
              <w:rFonts w:ascii="Times New Roman" w:hAnsi="Times New Roman" w:cs="Times New Roman"/>
              <w:sz w:val="24"/>
            </w:rPr>
            <w:fldChar w:fldCharType="end"/>
          </w:r>
          <w:r>
            <w:rPr>
              <w:rFonts w:ascii="Times New Roman" w:hAnsi="Times New Roman" w:cs="Times New Roman"/>
              <w:sz w:val="24"/>
            </w:rPr>
            <w:fldChar w:fldCharType="end"/>
          </w:r>
        </w:p>
        <w:p>
          <w:pPr>
            <w:pStyle w:val="16"/>
            <w:tabs>
              <w:tab w:val="right" w:leader="dot" w:pos="9350"/>
            </w:tabs>
            <w:spacing w:line="360" w:lineRule="auto"/>
            <w:jc w:val="both"/>
            <w:rPr>
              <w:rFonts w:ascii="Times New Roman" w:hAnsi="Times New Roman" w:cs="Times New Roman"/>
              <w:sz w:val="24"/>
            </w:rPr>
          </w:pPr>
          <w:r>
            <w:fldChar w:fldCharType="begin"/>
          </w:r>
          <w:r>
            <w:instrText xml:space="preserve"> HYPERLINK \l "_Toc133342011" </w:instrText>
          </w:r>
          <w:r>
            <w:fldChar w:fldCharType="separate"/>
          </w:r>
          <w:r>
            <w:rPr>
              <w:rStyle w:val="12"/>
              <w:rFonts w:ascii="Times New Roman" w:hAnsi="Times New Roman" w:cs="Times New Roman"/>
              <w:sz w:val="24"/>
            </w:rPr>
            <w:t>Workforce planning</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_Toc133342011 \h </w:instrText>
          </w:r>
          <w:r>
            <w:rPr>
              <w:rFonts w:ascii="Times New Roman" w:hAnsi="Times New Roman" w:cs="Times New Roman"/>
              <w:sz w:val="24"/>
            </w:rPr>
            <w:fldChar w:fldCharType="separate"/>
          </w:r>
          <w:r>
            <w:rPr>
              <w:rFonts w:ascii="Times New Roman" w:hAnsi="Times New Roman" w:cs="Times New Roman"/>
              <w:sz w:val="24"/>
            </w:rPr>
            <w:t>9</w:t>
          </w:r>
          <w:r>
            <w:rPr>
              <w:rFonts w:ascii="Times New Roman" w:hAnsi="Times New Roman" w:cs="Times New Roman"/>
              <w:sz w:val="24"/>
            </w:rPr>
            <w:fldChar w:fldCharType="end"/>
          </w:r>
          <w:r>
            <w:rPr>
              <w:rFonts w:ascii="Times New Roman" w:hAnsi="Times New Roman" w:cs="Times New Roman"/>
              <w:sz w:val="24"/>
            </w:rPr>
            <w:fldChar w:fldCharType="end"/>
          </w:r>
        </w:p>
        <w:p>
          <w:pPr>
            <w:pStyle w:val="15"/>
            <w:tabs>
              <w:tab w:val="right" w:leader="dot" w:pos="9350"/>
            </w:tabs>
            <w:spacing w:line="360" w:lineRule="auto"/>
            <w:jc w:val="both"/>
            <w:rPr>
              <w:rFonts w:ascii="Times New Roman" w:hAnsi="Times New Roman" w:cs="Times New Roman"/>
              <w:sz w:val="24"/>
            </w:rPr>
          </w:pPr>
          <w:r>
            <w:fldChar w:fldCharType="begin"/>
          </w:r>
          <w:r>
            <w:instrText xml:space="preserve"> HYPERLINK \l "_Toc133342012" </w:instrText>
          </w:r>
          <w:r>
            <w:fldChar w:fldCharType="separate"/>
          </w:r>
          <w:r>
            <w:rPr>
              <w:rStyle w:val="12"/>
              <w:rFonts w:ascii="Times New Roman" w:hAnsi="Times New Roman" w:cs="Times New Roman"/>
              <w:sz w:val="24"/>
            </w:rPr>
            <w:t>Conclusion</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_Toc133342012 \h </w:instrText>
          </w:r>
          <w:r>
            <w:rPr>
              <w:rFonts w:ascii="Times New Roman" w:hAnsi="Times New Roman" w:cs="Times New Roman"/>
              <w:sz w:val="24"/>
            </w:rPr>
            <w:fldChar w:fldCharType="separate"/>
          </w:r>
          <w:r>
            <w:rPr>
              <w:rFonts w:ascii="Times New Roman" w:hAnsi="Times New Roman" w:cs="Times New Roman"/>
              <w:sz w:val="24"/>
            </w:rPr>
            <w:t>9</w:t>
          </w:r>
          <w:r>
            <w:rPr>
              <w:rFonts w:ascii="Times New Roman" w:hAnsi="Times New Roman" w:cs="Times New Roman"/>
              <w:sz w:val="24"/>
            </w:rPr>
            <w:fldChar w:fldCharType="end"/>
          </w:r>
          <w:r>
            <w:rPr>
              <w:rFonts w:ascii="Times New Roman" w:hAnsi="Times New Roman" w:cs="Times New Roman"/>
              <w:sz w:val="24"/>
            </w:rPr>
            <w:fldChar w:fldCharType="end"/>
          </w:r>
        </w:p>
        <w:p>
          <w:pPr>
            <w:pStyle w:val="15"/>
            <w:tabs>
              <w:tab w:val="right" w:leader="dot" w:pos="9350"/>
            </w:tabs>
            <w:spacing w:line="360" w:lineRule="auto"/>
            <w:jc w:val="both"/>
            <w:rPr>
              <w:rFonts w:ascii="Times New Roman" w:hAnsi="Times New Roman" w:cs="Times New Roman"/>
              <w:sz w:val="24"/>
            </w:rPr>
          </w:pPr>
          <w:r>
            <w:fldChar w:fldCharType="begin"/>
          </w:r>
          <w:r>
            <w:instrText xml:space="preserve"> HYPERLINK \l "_Toc133342013" </w:instrText>
          </w:r>
          <w:r>
            <w:fldChar w:fldCharType="separate"/>
          </w:r>
          <w:r>
            <w:rPr>
              <w:rStyle w:val="12"/>
              <w:rFonts w:ascii="Times New Roman" w:hAnsi="Times New Roman" w:cs="Times New Roman"/>
              <w:sz w:val="24"/>
            </w:rPr>
            <w:t>References</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_Toc133342013 \h </w:instrText>
          </w:r>
          <w:r>
            <w:rPr>
              <w:rFonts w:ascii="Times New Roman" w:hAnsi="Times New Roman" w:cs="Times New Roman"/>
              <w:sz w:val="24"/>
            </w:rPr>
            <w:fldChar w:fldCharType="separate"/>
          </w:r>
          <w:r>
            <w:rPr>
              <w:rFonts w:ascii="Times New Roman" w:hAnsi="Times New Roman" w:cs="Times New Roman"/>
              <w:sz w:val="24"/>
            </w:rPr>
            <w:t>11</w:t>
          </w:r>
          <w:r>
            <w:rPr>
              <w:rFonts w:ascii="Times New Roman" w:hAnsi="Times New Roman" w:cs="Times New Roman"/>
              <w:sz w:val="24"/>
            </w:rPr>
            <w:fldChar w:fldCharType="end"/>
          </w:r>
          <w:r>
            <w:rPr>
              <w:rFonts w:ascii="Times New Roman" w:hAnsi="Times New Roman" w:cs="Times New Roman"/>
              <w:sz w:val="24"/>
            </w:rPr>
            <w:fldChar w:fldCharType="end"/>
          </w:r>
        </w:p>
        <w:p>
          <w:pPr>
            <w:spacing w:line="360" w:lineRule="auto"/>
            <w:jc w:val="both"/>
          </w:pPr>
          <w:r>
            <w:rPr>
              <w:rFonts w:ascii="Times New Roman" w:hAnsi="Times New Roman" w:cs="Times New Roman"/>
              <w:b/>
              <w:bCs/>
              <w:sz w:val="24"/>
            </w:rPr>
            <w:fldChar w:fldCharType="end"/>
          </w:r>
        </w:p>
      </w:sdtContent>
    </w:sdt>
    <w:p>
      <w:pPr>
        <w:spacing w:line="360" w:lineRule="auto"/>
        <w:jc w:val="both"/>
        <w:rPr>
          <w:rFonts w:ascii="Times New Roman" w:hAnsi="Times New Roman" w:eastAsia="Times New Roman" w:cs="Times New Roman"/>
          <w:sz w:val="24"/>
          <w:szCs w:val="24"/>
        </w:rPr>
      </w:pPr>
    </w:p>
    <w:p>
      <w:pPr>
        <w:jc w:val="both"/>
        <w:rPr>
          <w:rFonts w:ascii="Times New Roman" w:hAnsi="Times New Roman" w:eastAsia="Times New Roman" w:cs="Times New Roman"/>
          <w:b/>
          <w:sz w:val="24"/>
          <w:szCs w:val="24"/>
        </w:rPr>
      </w:pPr>
    </w:p>
    <w:p>
      <w:pPr>
        <w:jc w:val="both"/>
        <w:rPr>
          <w:rFonts w:ascii="Times New Roman" w:hAnsi="Times New Roman" w:eastAsia="Times New Roman" w:cs="Times New Roman"/>
          <w:b/>
          <w:sz w:val="24"/>
          <w:szCs w:val="24"/>
        </w:rPr>
      </w:pPr>
    </w:p>
    <w:p>
      <w:pPr>
        <w:jc w:val="both"/>
        <w:rPr>
          <w:rFonts w:ascii="Times New Roman" w:hAnsi="Times New Roman" w:eastAsia="Times New Roman" w:cs="Times New Roman"/>
          <w:b/>
          <w:sz w:val="24"/>
          <w:szCs w:val="24"/>
        </w:rPr>
      </w:pPr>
    </w:p>
    <w:p>
      <w:pPr>
        <w:jc w:val="both"/>
        <w:rPr>
          <w:rFonts w:ascii="Times New Roman" w:hAnsi="Times New Roman" w:eastAsia="Times New Roman" w:cs="Times New Roman"/>
          <w:b/>
          <w:sz w:val="24"/>
          <w:szCs w:val="24"/>
        </w:rPr>
      </w:pPr>
    </w:p>
    <w:p>
      <w:pPr>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br w:type="page"/>
      </w:r>
    </w:p>
    <w:p>
      <w:pPr>
        <w:pStyle w:val="2"/>
      </w:pPr>
      <w:bookmarkStart w:id="0" w:name="_Toc133341999"/>
      <w:r>
        <w:t>Introduction</w:t>
      </w:r>
      <w:bookmarkEnd w:id="0"/>
      <w:r>
        <w:t xml:space="preserve"> </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Both the COVID-19 outbreak and Brexit have had major effects on the British labor market. The outbreak has caused a surge in the jobless rate since it has caused the closure of many enterprises and the loss of income for many people. Changes to immigration regulations and restrictions on the free movement of labor brought on by Brexit have made attracting and maintaining staff more difficult. Human Resources (HR) techniques have evolved in response to the current state of the labor market. Organizations are increasingly allocating resources towards advanced recruitment and retention tactics with the aim of attracting and retaining high-performing personnel, while also improving employee engagement and job contentment. With the increasing prevalence of remote work, companies are adjusting their policies and protocols to enable a workforce that is more flexible and capable of working from various locations. Furthermore, there is an increasing focus on advancing diversity and inclusivity within the professional setting, alongside prioritizing the enhancement of skills and knowledge of existing personnel to align with evolving labor market requirements. In the aftermath of the Covid-19 pandemic and Brexit, the labor market presents both challenges and opportunities for businesses. In this context, human resource strategies are expected to play a crucial role in facilitating the recovery of the economy.</w:t>
      </w:r>
    </w:p>
    <w:p>
      <w:pPr>
        <w:pStyle w:val="2"/>
      </w:pPr>
      <w:bookmarkStart w:id="1" w:name="_Toc133342000"/>
      <w:r>
        <w:t>The current state of the labor market in the UK</w:t>
      </w:r>
      <w:bookmarkEnd w:id="1"/>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unemployment rate is one of the greatest indicators of the British economy's health. As of January 2023, the United Kingdom's employment rate stood at 76.2%, indicating a decrease from its pre-pandemic peak of 76.6%. Following the onset of the COVID-19 pandemic in 2020, there was a decline in the rate to 75.1%. Nevertheless, there has been a gradual increase in the rate since then. The employment rate is a statistical measure that reflects the percentage of individuals aged 16 to 64 who are actively participating in the labor force. Several variables, including changes in government policy, economic expansion, and shifting demographics, have had an impact on this rate.</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employment rate in the UK has been rising steadily over the last several years. Since 2013, despite minor dips, the employment rate has generally been rising (</w:t>
      </w:r>
      <w:r>
        <w:rPr>
          <w:rFonts w:ascii="Times New Roman" w:hAnsi="Times New Roman" w:eastAsia="Times New Roman" w:cs="Times New Roman"/>
          <w:sz w:val="24"/>
          <w:szCs w:val="24"/>
          <w:lang w:val="en-IN"/>
        </w:rPr>
        <w:t xml:space="preserve">Blanchflower </w:t>
      </w:r>
      <w:r>
        <w:rPr>
          <w:rFonts w:ascii="Times New Roman" w:hAnsi="Times New Roman" w:eastAsia="Times New Roman" w:cs="Times New Roman"/>
          <w:i/>
          <w:sz w:val="24"/>
          <w:szCs w:val="24"/>
          <w:lang w:val="en-IN"/>
        </w:rPr>
        <w:t xml:space="preserve">et al. </w:t>
      </w:r>
      <w:r>
        <w:rPr>
          <w:rFonts w:ascii="Times New Roman" w:hAnsi="Times New Roman" w:eastAsia="Times New Roman" w:cs="Times New Roman"/>
          <w:sz w:val="24"/>
          <w:szCs w:val="24"/>
          <w:lang w:val="en-IN"/>
        </w:rPr>
        <w:t>2020</w:t>
      </w:r>
      <w:r>
        <w:rPr>
          <w:rFonts w:ascii="Times New Roman" w:hAnsi="Times New Roman" w:eastAsia="Times New Roman" w:cs="Times New Roman"/>
          <w:sz w:val="24"/>
          <w:szCs w:val="24"/>
        </w:rPr>
        <w:t>). The employment rate peaked at 71.5% in 2013, and it has been continuously rising since then. As a result of the COVID-19 pandemic in 2020, the employment rate dropped to 75.1%, the lowest level in seven years (</w:t>
      </w:r>
      <w:r>
        <w:rPr>
          <w:rFonts w:ascii="Times New Roman" w:hAnsi="Times New Roman" w:eastAsia="Times New Roman" w:cs="Times New Roman"/>
          <w:sz w:val="24"/>
          <w:szCs w:val="24"/>
          <w:lang w:val="en-IN"/>
        </w:rPr>
        <w:t>Lauder, 2020</w:t>
      </w:r>
      <w:r>
        <w:rPr>
          <w:rFonts w:ascii="Times New Roman" w:hAnsi="Times New Roman" w:eastAsia="Times New Roman" w:cs="Times New Roman"/>
          <w:sz w:val="24"/>
          <w:szCs w:val="24"/>
        </w:rPr>
        <w:t>). Since then, however, the rate has been rising, and it is now at 76.2%.</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spread of COVID-19 had a major effect on the British labor market. Lockdowns and social isolation tactics led to the temporary or permanent closure of numerous companies in the early stages of the epidemic. Unemployment rose sharply as a result, as did the number of people working. Although the government's furlough program reduced employment numbers, it did so by compensating workers for some of their lost pay while they were off sick. Since September 2021, the furlough system has been progressively phased away, and its full effect is likely to become obvious in the next months (</w:t>
      </w:r>
      <w:r>
        <w:rPr>
          <w:rFonts w:ascii="Times New Roman" w:hAnsi="Times New Roman" w:eastAsia="Times New Roman" w:cs="Times New Roman"/>
          <w:sz w:val="24"/>
          <w:szCs w:val="24"/>
          <w:lang w:val="en-IN"/>
        </w:rPr>
        <w:t xml:space="preserve">Dustmann </w:t>
      </w:r>
      <w:r>
        <w:rPr>
          <w:rFonts w:ascii="Times New Roman" w:hAnsi="Times New Roman" w:eastAsia="Times New Roman" w:cs="Times New Roman"/>
          <w:i/>
          <w:sz w:val="24"/>
          <w:szCs w:val="24"/>
          <w:lang w:val="en-IN"/>
        </w:rPr>
        <w:t xml:space="preserve">et al. </w:t>
      </w:r>
      <w:r>
        <w:rPr>
          <w:rFonts w:ascii="Times New Roman" w:hAnsi="Times New Roman" w:eastAsia="Times New Roman" w:cs="Times New Roman"/>
          <w:sz w:val="24"/>
          <w:szCs w:val="24"/>
          <w:lang w:val="en-IN"/>
        </w:rPr>
        <w:t>2020</w:t>
      </w:r>
      <w:r>
        <w:rPr>
          <w:rFonts w:ascii="Times New Roman" w:hAnsi="Times New Roman" w:eastAsia="Times New Roman" w:cs="Times New Roman"/>
          <w:sz w:val="24"/>
          <w:szCs w:val="24"/>
        </w:rPr>
        <w:t>). The United Kingdom's employment rate varies significantly among areas and demographic groups. The North Eastern region has the lowest employment rate (71.1%), while the Southeastern region has the highest (79.3%). There are also demographic disparities in employment rates, including age, gender, and race. For instance, the employment rate is greater for males than for women, and the employment rate is lower for persons of color than for whites. The existence of such gaps calls attention to the necessity for concerted action to reduce existing inequities.</w:t>
      </w:r>
    </w:p>
    <w:p>
      <w:pPr>
        <w:pStyle w:val="3"/>
      </w:pPr>
      <w:bookmarkStart w:id="2" w:name="_Toc133342001"/>
      <w:r>
        <w:t>Wages and Benefits</w:t>
      </w:r>
      <w:bookmarkEnd w:id="2"/>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current minimum wage for employees over the age of 23 in the United Kingdom is £8.91. Every year, the minimum wage is raised or lowered to account for inflation. In addition to paying at least the minimum wage, many companies also provide their employees with health insurance, retirement plans, and paid vacation. The scope of advantages provided might vary considerably across industries and businesses. In the United Kingdom, wage growth has been modest, with typical weekly wages growing by just around 3% annually (</w:t>
      </w:r>
      <w:r>
        <w:rPr>
          <w:rFonts w:ascii="Times New Roman" w:hAnsi="Times New Roman" w:eastAsia="Times New Roman" w:cs="Times New Roman"/>
          <w:sz w:val="24"/>
          <w:szCs w:val="24"/>
          <w:lang w:val="en-IN"/>
        </w:rPr>
        <w:t>Witteveen, 2020</w:t>
      </w:r>
      <w:r>
        <w:rPr>
          <w:rFonts w:ascii="Times New Roman" w:hAnsi="Times New Roman" w:eastAsia="Times New Roman" w:cs="Times New Roman"/>
          <w:sz w:val="24"/>
          <w:szCs w:val="24"/>
        </w:rPr>
        <w:t>). Nevertheless, during the course of the previous several years, there have been some variations in pay growth, with periods of somewhat greater and lower increase respectively. In response to the economic effect of the COVID-19 epidemic, wage growth has slowed or even reversed in several industries. As an example, Tesco is one of the biggest companies in the United Kingdom, employing over 300,000 (</w:t>
      </w:r>
      <w:r>
        <w:rPr>
          <w:rFonts w:ascii="Times New Roman" w:hAnsi="Times New Roman" w:eastAsia="Times New Roman" w:cs="Times New Roman"/>
          <w:sz w:val="24"/>
          <w:szCs w:val="24"/>
          <w:lang w:val="en-IN"/>
        </w:rPr>
        <w:t xml:space="preserve">Torrejón </w:t>
      </w:r>
      <w:r>
        <w:rPr>
          <w:rFonts w:ascii="Times New Roman" w:hAnsi="Times New Roman" w:eastAsia="Times New Roman" w:cs="Times New Roman"/>
          <w:i/>
          <w:sz w:val="24"/>
          <w:szCs w:val="24"/>
          <w:lang w:val="en-IN"/>
        </w:rPr>
        <w:t xml:space="preserve">et al. </w:t>
      </w:r>
      <w:r>
        <w:rPr>
          <w:rFonts w:ascii="Times New Roman" w:hAnsi="Times New Roman" w:eastAsia="Times New Roman" w:cs="Times New Roman"/>
          <w:sz w:val="24"/>
          <w:szCs w:val="24"/>
          <w:lang w:val="en-IN"/>
        </w:rPr>
        <w:t>2020</w:t>
      </w:r>
      <w:r>
        <w:rPr>
          <w:rFonts w:ascii="Times New Roman" w:hAnsi="Times New Roman" w:eastAsia="Times New Roman" w:cs="Times New Roman"/>
          <w:sz w:val="24"/>
          <w:szCs w:val="24"/>
        </w:rPr>
        <w:t>). Tesco made the announcement in 2021 that the company will be boosting the minimum hourly salary for its employees to £9.30 per hour, which is higher than the national minimum wage (</w:t>
      </w:r>
      <w:r>
        <w:rPr>
          <w:rFonts w:ascii="Times New Roman" w:hAnsi="Times New Roman" w:eastAsia="Times New Roman" w:cs="Times New Roman"/>
          <w:sz w:val="24"/>
          <w:szCs w:val="24"/>
          <w:lang w:val="en-IN"/>
        </w:rPr>
        <w:t xml:space="preserve">Psacharopoulos </w:t>
      </w:r>
      <w:r>
        <w:rPr>
          <w:rFonts w:ascii="Times New Roman" w:hAnsi="Times New Roman" w:eastAsia="Times New Roman" w:cs="Times New Roman"/>
          <w:i/>
          <w:sz w:val="24"/>
          <w:szCs w:val="24"/>
          <w:lang w:val="en-IN"/>
        </w:rPr>
        <w:t xml:space="preserve">et al. </w:t>
      </w:r>
      <w:r>
        <w:rPr>
          <w:rFonts w:ascii="Times New Roman" w:hAnsi="Times New Roman" w:eastAsia="Times New Roman" w:cs="Times New Roman"/>
          <w:sz w:val="24"/>
          <w:szCs w:val="24"/>
          <w:lang w:val="en-IN"/>
        </w:rPr>
        <w:t>2020</w:t>
      </w:r>
      <w:r>
        <w:rPr>
          <w:rFonts w:ascii="Times New Roman" w:hAnsi="Times New Roman" w:eastAsia="Times New Roman" w:cs="Times New Roman"/>
          <w:sz w:val="24"/>
          <w:szCs w:val="24"/>
        </w:rPr>
        <w:t xml:space="preserve">). Tesco provides its employees with a pension plan, employee discounts, and paid vacation. </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Goldman Sachs is an international investment bank with a significant presence in the United Kingdom. Employees, especially those in the investment banking department, get generous compensation from the corporation (</w:t>
      </w:r>
      <w:r>
        <w:rPr>
          <w:rFonts w:ascii="Times New Roman" w:hAnsi="Times New Roman" w:eastAsia="Times New Roman" w:cs="Times New Roman"/>
          <w:sz w:val="24"/>
          <w:szCs w:val="24"/>
          <w:lang w:val="en-IN"/>
        </w:rPr>
        <w:t xml:space="preserve">Graham </w:t>
      </w:r>
      <w:r>
        <w:rPr>
          <w:rFonts w:ascii="Times New Roman" w:hAnsi="Times New Roman" w:eastAsia="Times New Roman" w:cs="Times New Roman"/>
          <w:i/>
          <w:sz w:val="24"/>
          <w:szCs w:val="24"/>
          <w:lang w:val="en-IN"/>
        </w:rPr>
        <w:t xml:space="preserve">et al. </w:t>
      </w:r>
      <w:r>
        <w:rPr>
          <w:rFonts w:ascii="Times New Roman" w:hAnsi="Times New Roman" w:eastAsia="Times New Roman" w:cs="Times New Roman"/>
          <w:sz w:val="24"/>
          <w:szCs w:val="24"/>
          <w:lang w:val="en-IN"/>
        </w:rPr>
        <w:t>2019</w:t>
      </w:r>
      <w:r>
        <w:rPr>
          <w:rFonts w:ascii="Times New Roman" w:hAnsi="Times New Roman" w:eastAsia="Times New Roman" w:cs="Times New Roman"/>
          <w:sz w:val="24"/>
          <w:szCs w:val="24"/>
        </w:rPr>
        <w:t>). The business indicated in 2020 that beginning salaries for UK-based analysts will increase to £100,000 per year in 2021, a sum that is much more than the typical beginning income for graduates in the UK.</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Similarly, Deliveroo is a food delivery platform that has become increasingly popular in the UK. However, the company has faced criticism for its treatment of workers, many of whom are self-employed and do not receive benefits such as sick pay or pensions. In 2021, Deliveroo went public, and the company's IPO highlighted concerns about the company's treatment of workers and its lack of benefits.</w:t>
      </w:r>
    </w:p>
    <w:p>
      <w:pPr>
        <w:pStyle w:val="3"/>
      </w:pPr>
      <w:bookmarkStart w:id="3" w:name="_Toc133342002"/>
      <w:r>
        <w:t>Future outlook</w:t>
      </w:r>
      <w:bookmarkEnd w:id="3"/>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Factors like technological development, internationalization, and population growth or decline all have an impact on the UK labor market's prognosis in the future. The usage of automation and AI in the workplace is growing, marking a new development. This is likely to cause a shift in the kinds of skills that are in demand and the elimination of certain jobs. New positions in data analysis and cyber security are also anticipated to open up as a result.</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aging of the workforce is another difficulty for the British labor market. There may be a scarcity of workers in the healthcare and social service industries because of the growing elderly population. This calls for the creation of novel programs and policies aimed at attracting and retaining professionals in these sectors. The skills gap in some industries is another problem plaguing the UK labor market. This is especially apparent in technically oriented fields like building and engineering (</w:t>
      </w:r>
      <w:r>
        <w:rPr>
          <w:rFonts w:ascii="Times New Roman" w:hAnsi="Times New Roman" w:eastAsia="Times New Roman" w:cs="Times New Roman"/>
          <w:sz w:val="24"/>
          <w:szCs w:val="24"/>
          <w:lang w:val="en-IN"/>
        </w:rPr>
        <w:t>Bevelander, 2020</w:t>
      </w:r>
      <w:r>
        <w:rPr>
          <w:rFonts w:ascii="Times New Roman" w:hAnsi="Times New Roman" w:eastAsia="Times New Roman" w:cs="Times New Roman"/>
          <w:sz w:val="24"/>
          <w:szCs w:val="24"/>
        </w:rPr>
        <w:t xml:space="preserve">). Investment in education and training, as well as industry-led solutions like apprenticeships and internships, will be necessary to close this skills gap. </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There are a variety of remedies and policies that might be put in place to deal with these issues. One strategy is to finance educational and training programs with an eye on producing workers with in-demand abilities. Some examples of this kind of education include apprenticeships, online courses, and specialized degree programs. One way to deal with the aforementioned skills gap and labor scarcity is to encourage more diversity and inclusion in the workplace. (</w:t>
      </w:r>
      <w:r>
        <w:rPr>
          <w:rFonts w:ascii="Times New Roman" w:hAnsi="Times New Roman" w:eastAsia="Times New Roman" w:cs="Times New Roman"/>
          <w:sz w:val="24"/>
          <w:szCs w:val="24"/>
          <w:lang w:val="en-IN"/>
        </w:rPr>
        <w:t>Giazitzoglu, 2019</w:t>
      </w:r>
      <w:r>
        <w:rPr>
          <w:rFonts w:ascii="Times New Roman" w:hAnsi="Times New Roman" w:eastAsia="Times New Roman" w:cs="Times New Roman"/>
          <w:sz w:val="24"/>
          <w:szCs w:val="24"/>
        </w:rPr>
        <w:t>) When the government adopts measures to foster innovation and entrepreneurship, it may contribute to the expansion of the economy and the creation of new employment possibilities. Start-up tax credits, R&amp;D funding, and aid for medium and small businesses are all examples of what this may include.</w:t>
      </w:r>
    </w:p>
    <w:p>
      <w:pPr>
        <w:pStyle w:val="2"/>
      </w:pPr>
      <w:bookmarkStart w:id="4" w:name="_Toc133342003"/>
      <w:r>
        <w:t>The emerging changes in Human Resourcing Strategies in the post-Covid, post-Brexit external environment.</w:t>
      </w:r>
      <w:bookmarkEnd w:id="4"/>
    </w:p>
    <w:p>
      <w:pPr>
        <w:pStyle w:val="3"/>
      </w:pPr>
      <w:bookmarkStart w:id="5" w:name="_Toc133342004"/>
      <w:r>
        <w:t>Emerging change in post-COVID</w:t>
      </w:r>
      <w:bookmarkEnd w:id="5"/>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Human resource plans in the UK have been significantly affected by the COVID-19 epidemic. Companies have adjusted their personnel management, hiring practices, and benefits packages in response to the quick and widespread spread of the virus. </w:t>
      </w:r>
    </w:p>
    <w:p>
      <w:pPr>
        <w:pStyle w:val="3"/>
      </w:pPr>
      <w:bookmarkStart w:id="6" w:name="_Toc133342005"/>
      <w:r>
        <w:t>Remote work environment</w:t>
      </w:r>
      <w:bookmarkEnd w:id="6"/>
      <w:r>
        <w:t xml:space="preserve"> </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transition to remote work has been one of the most consequential effects of COVID-19 on human resource strategy in the UK. In response to government regulations and concerns about their workers' well-being, several businesses had to institute remote work arrangements during the pandemic (</w:t>
      </w:r>
      <w:r>
        <w:rPr>
          <w:rFonts w:ascii="Times New Roman" w:hAnsi="Times New Roman" w:eastAsia="Times New Roman" w:cs="Times New Roman"/>
          <w:sz w:val="24"/>
          <w:szCs w:val="24"/>
          <w:lang w:val="en-IN"/>
        </w:rPr>
        <w:t xml:space="preserve">Martinescu </w:t>
      </w:r>
      <w:r>
        <w:rPr>
          <w:rFonts w:ascii="Times New Roman" w:hAnsi="Times New Roman" w:eastAsia="Times New Roman" w:cs="Times New Roman"/>
          <w:i/>
          <w:sz w:val="24"/>
          <w:szCs w:val="24"/>
          <w:lang w:val="en-IN"/>
        </w:rPr>
        <w:t xml:space="preserve">et al. </w:t>
      </w:r>
      <w:r>
        <w:rPr>
          <w:rFonts w:ascii="Times New Roman" w:hAnsi="Times New Roman" w:eastAsia="Times New Roman" w:cs="Times New Roman"/>
          <w:sz w:val="24"/>
          <w:szCs w:val="24"/>
          <w:lang w:val="en-IN"/>
        </w:rPr>
        <w:t>2022</w:t>
      </w:r>
      <w:r>
        <w:rPr>
          <w:rFonts w:ascii="Times New Roman" w:hAnsi="Times New Roman" w:eastAsia="Times New Roman" w:cs="Times New Roman"/>
          <w:sz w:val="24"/>
          <w:szCs w:val="24"/>
        </w:rPr>
        <w:t>). Because of this change, businesses have had to make adjustments to their hiring procedures, such as using digital tools for interviews and evaluations, to accommodate remote workers. For example, HSBC, a global bank headquartered in the United Kingdom, has moved its graduate programs to online recruiting and remote onboarding.</w:t>
      </w:r>
    </w:p>
    <w:p>
      <w:pPr>
        <w:pStyle w:val="3"/>
      </w:pPr>
      <w:bookmarkStart w:id="7" w:name="_Toc133342006"/>
      <w:r>
        <w:t>Changes in Recruitment Practices</w:t>
      </w:r>
      <w:bookmarkEnd w:id="7"/>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recruitment practices in the United Kingdom have been affected by the COVID-19 pandemic as well. Due to limitations on mobility and assembly, numerous establishments have resorted to virtual recruitment techniques, such as video interviews and online evaluations, in order to entice and evaluate prospective personnel (</w:t>
      </w:r>
      <w:r>
        <w:rPr>
          <w:rFonts w:ascii="Times New Roman" w:hAnsi="Times New Roman" w:eastAsia="Times New Roman" w:cs="Times New Roman"/>
          <w:sz w:val="24"/>
          <w:szCs w:val="24"/>
          <w:lang w:val="en-IN"/>
        </w:rPr>
        <w:t xml:space="preserve">Moradlou </w:t>
      </w:r>
      <w:r>
        <w:rPr>
          <w:rFonts w:ascii="Times New Roman" w:hAnsi="Times New Roman" w:eastAsia="Times New Roman" w:cs="Times New Roman"/>
          <w:i/>
          <w:sz w:val="24"/>
          <w:szCs w:val="24"/>
          <w:lang w:val="en-IN"/>
        </w:rPr>
        <w:t xml:space="preserve">et al. </w:t>
      </w:r>
      <w:r>
        <w:rPr>
          <w:rFonts w:ascii="Times New Roman" w:hAnsi="Times New Roman" w:eastAsia="Times New Roman" w:cs="Times New Roman"/>
          <w:sz w:val="24"/>
          <w:szCs w:val="24"/>
          <w:lang w:val="en-IN"/>
        </w:rPr>
        <w:t>2022</w:t>
      </w:r>
      <w:r>
        <w:rPr>
          <w:rFonts w:ascii="Times New Roman" w:hAnsi="Times New Roman" w:eastAsia="Times New Roman" w:cs="Times New Roman"/>
          <w:sz w:val="24"/>
          <w:szCs w:val="24"/>
        </w:rPr>
        <w:t>). Organizations have had to modify their recruitment procedures to align with the evolving demands of their enterprises.  For example, Tesco, in the United Kingdom, declared its intention to recruit 20,000 temporary employees to manage the surge in demand caused by the pandemic. The organization implemented an accelerated hiring procedure to guarantee prompt onboarding of the newly hired workforce.</w:t>
      </w:r>
    </w:p>
    <w:p>
      <w:pPr>
        <w:pStyle w:val="3"/>
      </w:pPr>
      <w:bookmarkStart w:id="8" w:name="_Toc133342007"/>
      <w:r>
        <w:t>Mental health and well being</w:t>
      </w:r>
      <w:bookmarkEnd w:id="8"/>
      <w:r>
        <w:t xml:space="preserve"> </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Human resource management in the UK has had to adapt in light of the devastating effects the COVID-19 epidemic has had on the mental health of its workforce. Companies have had to help their staff through a time of great stress and unpredictability. For example, AstraZeneca, a UK pharmaceutical firm offers its workers a mental health program that includes virtual support groups, training, and therapy. The program is meant to help workers cope with the mental health issues that have arisen as a result of the epidemic.</w:t>
      </w:r>
    </w:p>
    <w:p>
      <w:pPr>
        <w:pStyle w:val="2"/>
      </w:pPr>
      <w:bookmarkStart w:id="9" w:name="_Toc133342008"/>
      <w:r>
        <w:t>Impacts of Brexit</w:t>
      </w:r>
      <w:bookmarkEnd w:id="9"/>
      <w:r>
        <w:t xml:space="preserve"> </w:t>
      </w:r>
    </w:p>
    <w:p>
      <w:pPr>
        <w:pStyle w:val="3"/>
      </w:pPr>
      <w:bookmarkStart w:id="10" w:name="_Toc133342009"/>
      <w:r>
        <w:t>Immigration Policies</w:t>
      </w:r>
      <w:bookmarkEnd w:id="10"/>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United Kingdom's immigration rules have been significantly altered as a result of Brexit. Because of its newfound partnership with the European Union, the nation has been forced to update its immigration rules. The implementation of a points-based system, which gives experience and education precedence over citizenship, is a major shift (</w:t>
      </w:r>
      <w:r>
        <w:rPr>
          <w:rFonts w:ascii="Times New Roman" w:hAnsi="Times New Roman" w:eastAsia="Times New Roman" w:cs="Times New Roman"/>
          <w:sz w:val="24"/>
          <w:szCs w:val="24"/>
          <w:lang w:val="en-IN"/>
        </w:rPr>
        <w:t xml:space="preserve">Pearce </w:t>
      </w:r>
      <w:r>
        <w:rPr>
          <w:rFonts w:ascii="Times New Roman" w:hAnsi="Times New Roman" w:eastAsia="Times New Roman" w:cs="Times New Roman"/>
          <w:i/>
          <w:sz w:val="24"/>
          <w:szCs w:val="24"/>
          <w:lang w:val="en-IN"/>
        </w:rPr>
        <w:t xml:space="preserve">et al. </w:t>
      </w:r>
      <w:r>
        <w:rPr>
          <w:rFonts w:ascii="Times New Roman" w:hAnsi="Times New Roman" w:eastAsia="Times New Roman" w:cs="Times New Roman"/>
          <w:sz w:val="24"/>
          <w:szCs w:val="24"/>
          <w:lang w:val="en-IN"/>
        </w:rPr>
        <w:t>2022</w:t>
      </w:r>
      <w:r>
        <w:rPr>
          <w:rFonts w:ascii="Times New Roman" w:hAnsi="Times New Roman" w:eastAsia="Times New Roman" w:cs="Times New Roman"/>
          <w:sz w:val="24"/>
          <w:szCs w:val="24"/>
        </w:rPr>
        <w:t>). Employers in the UK will need to alter their strategies for attracting foreign workers in light of the new system.</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UK institutions, for example, have traditionally depended largely on overseas students to enroll in their postgraduate programs. The Higher Education Policy Institute predicts that the number of foreign students enrolling in British universities might fall by as much as 60 percent as a direct result of Brexit (</w:t>
      </w:r>
      <w:r>
        <w:rPr>
          <w:rFonts w:ascii="Times New Roman" w:hAnsi="Times New Roman" w:eastAsia="Times New Roman" w:cs="Times New Roman"/>
          <w:sz w:val="24"/>
          <w:szCs w:val="24"/>
          <w:lang w:val="en-IN"/>
        </w:rPr>
        <w:t xml:space="preserve">Nandi </w:t>
      </w:r>
      <w:r>
        <w:rPr>
          <w:rFonts w:ascii="Times New Roman" w:hAnsi="Times New Roman" w:eastAsia="Times New Roman" w:cs="Times New Roman"/>
          <w:i/>
          <w:sz w:val="24"/>
          <w:szCs w:val="24"/>
          <w:lang w:val="en-IN"/>
        </w:rPr>
        <w:t xml:space="preserve">et al. </w:t>
      </w:r>
      <w:r>
        <w:rPr>
          <w:rFonts w:ascii="Times New Roman" w:hAnsi="Times New Roman" w:eastAsia="Times New Roman" w:cs="Times New Roman"/>
          <w:sz w:val="24"/>
          <w:szCs w:val="24"/>
          <w:lang w:val="en-IN"/>
        </w:rPr>
        <w:t>2021</w:t>
      </w:r>
      <w:r>
        <w:rPr>
          <w:rFonts w:ascii="Times New Roman" w:hAnsi="Times New Roman" w:eastAsia="Times New Roman" w:cs="Times New Roman"/>
          <w:sz w:val="24"/>
          <w:szCs w:val="24"/>
        </w:rPr>
        <w:t xml:space="preserve">). </w:t>
      </w:r>
    </w:p>
    <w:p>
      <w:pPr>
        <w:pStyle w:val="3"/>
      </w:pPr>
      <w:bookmarkStart w:id="11" w:name="_Toc133342010"/>
      <w:r>
        <w:t>Talent Acquisition</w:t>
      </w:r>
      <w:bookmarkEnd w:id="11"/>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Brexit has had an impact on talent acquisition in the United Kingdom. The recently implemented immigration policies are expected to pose challenges for corporations in their efforts to attract skilled professionals from the European Union, a demographic that has traditionally been a significant source of talent for them (</w:t>
      </w:r>
      <w:r>
        <w:rPr>
          <w:rFonts w:ascii="Times New Roman" w:hAnsi="Times New Roman" w:eastAsia="Times New Roman" w:cs="Times New Roman"/>
          <w:sz w:val="24"/>
          <w:szCs w:val="24"/>
          <w:lang w:val="en-IN"/>
        </w:rPr>
        <w:t xml:space="preserve">Vidmar </w:t>
      </w:r>
      <w:r>
        <w:rPr>
          <w:rFonts w:ascii="Times New Roman" w:hAnsi="Times New Roman" w:eastAsia="Times New Roman" w:cs="Times New Roman"/>
          <w:i/>
          <w:sz w:val="24"/>
          <w:szCs w:val="24"/>
          <w:lang w:val="en-IN"/>
        </w:rPr>
        <w:t xml:space="preserve">et al. </w:t>
      </w:r>
      <w:r>
        <w:rPr>
          <w:rFonts w:ascii="Times New Roman" w:hAnsi="Times New Roman" w:eastAsia="Times New Roman" w:cs="Times New Roman"/>
          <w:sz w:val="24"/>
          <w:szCs w:val="24"/>
          <w:lang w:val="en-IN"/>
        </w:rPr>
        <w:t>2020</w:t>
      </w:r>
      <w:r>
        <w:rPr>
          <w:rFonts w:ascii="Times New Roman" w:hAnsi="Times New Roman" w:eastAsia="Times New Roman" w:cs="Times New Roman"/>
          <w:sz w:val="24"/>
          <w:szCs w:val="24"/>
        </w:rPr>
        <w:t>). Numerous enterprises have initiated investments in training and development initiatives for their existing workforce to mitigate talent deficiencies.</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Jaguar Land Rover, the preeminent automotive manufacturer in the United Kingdom, has implemented a significant training and development initiative to facilitate the acquisition of new skills by its existing workforce (</w:t>
      </w:r>
      <w:r>
        <w:rPr>
          <w:rFonts w:ascii="Times New Roman" w:hAnsi="Times New Roman" w:eastAsia="Times New Roman" w:cs="Times New Roman"/>
          <w:sz w:val="24"/>
          <w:szCs w:val="24"/>
          <w:lang w:val="en-IN"/>
        </w:rPr>
        <w:t xml:space="preserve">Argilés </w:t>
      </w:r>
      <w:r>
        <w:rPr>
          <w:rFonts w:ascii="Times New Roman" w:hAnsi="Times New Roman" w:eastAsia="Times New Roman" w:cs="Times New Roman"/>
          <w:i/>
          <w:sz w:val="24"/>
          <w:szCs w:val="24"/>
          <w:lang w:val="en-IN"/>
        </w:rPr>
        <w:t xml:space="preserve">et al. </w:t>
      </w:r>
      <w:r>
        <w:rPr>
          <w:rFonts w:ascii="Times New Roman" w:hAnsi="Times New Roman" w:eastAsia="Times New Roman" w:cs="Times New Roman"/>
          <w:sz w:val="24"/>
          <w:szCs w:val="24"/>
          <w:lang w:val="en-IN"/>
        </w:rPr>
        <w:t>2021</w:t>
      </w:r>
      <w:r>
        <w:rPr>
          <w:rFonts w:ascii="Times New Roman" w:hAnsi="Times New Roman" w:eastAsia="Times New Roman" w:cs="Times New Roman"/>
          <w:sz w:val="24"/>
          <w:szCs w:val="24"/>
        </w:rPr>
        <w:t>). The corporation has established collaborations with academic organizations to offer its workforce educational courses aimed at endowing them with the expertise and proficiencies necessary to operate within the automotive sector.</w:t>
      </w:r>
    </w:p>
    <w:p>
      <w:pPr>
        <w:pStyle w:val="3"/>
      </w:pPr>
      <w:bookmarkStart w:id="12" w:name="_Toc133342011"/>
      <w:r>
        <w:t>Workforce planning</w:t>
      </w:r>
      <w:bookmarkEnd w:id="12"/>
      <w:r>
        <w:t xml:space="preserve"> </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Brexit has also had an impact on workforce planning in the United Kingdom. Organizations have modified their labor planning strategies in reaction to alterations in the external environment. Several corporations have implemented inventive tactics to maintain their existing workforce and attract fresh talent.</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For example, British aerospace firm Rolls-Royce has implemented a personnel planning approach aimed at attracting and keeping top employees (</w:t>
      </w:r>
      <w:r>
        <w:rPr>
          <w:rFonts w:ascii="Times New Roman" w:hAnsi="Times New Roman" w:eastAsia="Times New Roman" w:cs="Times New Roman"/>
          <w:sz w:val="24"/>
          <w:szCs w:val="24"/>
          <w:lang w:val="en-IN"/>
        </w:rPr>
        <w:t>Arnold, 2020</w:t>
      </w:r>
      <w:r>
        <w:rPr>
          <w:rFonts w:ascii="Times New Roman" w:hAnsi="Times New Roman" w:eastAsia="Times New Roman" w:cs="Times New Roman"/>
          <w:sz w:val="24"/>
          <w:szCs w:val="24"/>
        </w:rPr>
        <w:t>). The organization has instituted a strategy known as flexible working that gives workers the option of working from home or adjusting their hours as needed. The improved work-life balance that has resulted from the strategy has helped the organization recruit and retain top people.</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In summary, it is legitimate to claim that Brexit has profoundly affected the policies and procedures that pertain to human resources in the UK. In order for businesses to maintain their position in the market and remain competitive, they have been forced to reevaluate their approaches to immigration policy, talent acquisition, and workforce planning (</w:t>
      </w:r>
      <w:r>
        <w:rPr>
          <w:rFonts w:ascii="Times New Roman" w:hAnsi="Times New Roman" w:eastAsia="Times New Roman" w:cs="Times New Roman"/>
          <w:sz w:val="24"/>
          <w:szCs w:val="24"/>
          <w:lang w:val="en-IN"/>
        </w:rPr>
        <w:t>Caliendo, 2022</w:t>
      </w:r>
      <w:r>
        <w:rPr>
          <w:rFonts w:ascii="Times New Roman" w:hAnsi="Times New Roman" w:eastAsia="Times New Roman" w:cs="Times New Roman"/>
          <w:sz w:val="24"/>
          <w:szCs w:val="24"/>
        </w:rPr>
        <w:t>). In order to adapt to the alterations in the external environment, prosperous businesses have made investments in training and development programs, established flexible working arrangements, and adjusted their recruitment methods to attract talent from a wider variety of countries outside the EU (</w:t>
      </w:r>
      <w:r>
        <w:rPr>
          <w:rFonts w:ascii="Times New Roman" w:hAnsi="Times New Roman" w:eastAsia="Times New Roman" w:cs="Times New Roman"/>
          <w:sz w:val="24"/>
          <w:szCs w:val="24"/>
          <w:lang w:val="en-IN"/>
        </w:rPr>
        <w:t xml:space="preserve">Bratton </w:t>
      </w:r>
      <w:r>
        <w:rPr>
          <w:rFonts w:ascii="Times New Roman" w:hAnsi="Times New Roman" w:eastAsia="Times New Roman" w:cs="Times New Roman"/>
          <w:i/>
          <w:sz w:val="24"/>
          <w:szCs w:val="24"/>
          <w:lang w:val="en-IN"/>
        </w:rPr>
        <w:t xml:space="preserve">et al. </w:t>
      </w:r>
      <w:r>
        <w:rPr>
          <w:rFonts w:ascii="Times New Roman" w:hAnsi="Times New Roman" w:eastAsia="Times New Roman" w:cs="Times New Roman"/>
          <w:sz w:val="24"/>
          <w:szCs w:val="24"/>
          <w:lang w:val="en-IN"/>
        </w:rPr>
        <w:t>2021</w:t>
      </w:r>
      <w:r>
        <w:rPr>
          <w:rFonts w:ascii="Times New Roman" w:hAnsi="Times New Roman" w:eastAsia="Times New Roman" w:cs="Times New Roman"/>
          <w:sz w:val="24"/>
          <w:szCs w:val="24"/>
        </w:rPr>
        <w:t>). These strategies have assisted companies in retaining their already existing workforce while also bringing in new blood, both of which are essential to the continued success of the organizations in the long run.</w:t>
      </w:r>
    </w:p>
    <w:p>
      <w:pPr>
        <w:pStyle w:val="2"/>
      </w:pPr>
      <w:bookmarkStart w:id="13" w:name="_Toc133342012"/>
      <w:r>
        <w:t>Conclusion</w:t>
      </w:r>
      <w:bookmarkEnd w:id="13"/>
      <w:r>
        <w:t xml:space="preserve"> </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Overall, Changes in the external environment after Covid and Brexit have had a profound effect on the British labor market. In terms of human resource management, these shifts have presented both difficulties and possibilities for businesses. Companies have had to build new technology and communication methods to accommodate the growing tendency of distant work, which was hastened by the COVID-19 pandemic. This has presented businesses with additional issues, such as monitoring employee satisfaction and fostering unity across dispersed teams. The effects of Brexit on the British labor market have been substantial, especially in the areas of immigration policy and talent acquisition. Companies will need to modify their recruiting strategies to include candidates from outside the European Union in light of the new points-based immigration system. Consequently, enterprises are allocating greater resources towards providing training and educational opportunities to their existing workforce, with the aim of bridging the skills gap and mitigating the attrition of skilled personnel. The alterations have led to the adoption of novel human resource management strategies by enterprises. Organizations are increasingly prioritizing the cultivation of personnel possessing enhanced adaptability skills, enabling them to adeptly navigate novel circumstances. To achieve their objectives, they are prioritizing diversity, equality, and inclusion, alongside allocating resources towards digital technology. These techniques have enabled businesses to effectively adapt to the dynamic labor market, sustain their competitiveness, and strategize for the future. Presently, the labor market in the United Kingdom is characterized by a state of instability and unpredictability. The emergence of notable obstacles, such as the COVID-19 pandemic and Brexit, has compelled enterprises to reassess their human resource tactics and implement novel ones that are more appropriate for a constantly changing external milieu. Organizations that are capable of swiftly adjusting their human resource strategies are likely to attain a competitive advantage in the long run as the labor market undergoes changes.</w:t>
      </w:r>
    </w:p>
    <w:p>
      <w:pPr>
        <w:rPr>
          <w:rFonts w:ascii="Times New Roman" w:hAnsi="Times New Roman" w:eastAsia="Times New Roman" w:cs="Times New Roman"/>
          <w:sz w:val="24"/>
          <w:szCs w:val="24"/>
        </w:rPr>
      </w:pPr>
      <w:r>
        <w:rPr>
          <w:rFonts w:ascii="Times New Roman" w:hAnsi="Times New Roman" w:eastAsia="Times New Roman" w:cs="Times New Roman"/>
          <w:sz w:val="24"/>
          <w:szCs w:val="24"/>
        </w:rPr>
        <w:br w:type="page"/>
      </w:r>
    </w:p>
    <w:p>
      <w:pPr>
        <w:pStyle w:val="2"/>
      </w:pPr>
      <w:bookmarkStart w:id="14" w:name="_Toc133342013"/>
      <w:r>
        <w:t>References</w:t>
      </w:r>
      <w:bookmarkEnd w:id="14"/>
      <w:r>
        <w:t xml:space="preserve"> </w:t>
      </w:r>
    </w:p>
    <w:p>
      <w:pPr>
        <w:spacing w:line="360" w:lineRule="auto"/>
        <w:jc w:val="both"/>
        <w:rPr>
          <w:rFonts w:ascii="Times New Roman" w:hAnsi="Times New Roman" w:eastAsia="Times New Roman" w:cs="Times New Roman"/>
          <w:sz w:val="24"/>
          <w:szCs w:val="24"/>
          <w:lang w:val="en-IN"/>
        </w:rPr>
      </w:pPr>
      <w:r>
        <w:rPr>
          <w:rFonts w:ascii="Times New Roman" w:hAnsi="Times New Roman" w:eastAsia="Times New Roman" w:cs="Times New Roman"/>
          <w:sz w:val="24"/>
          <w:szCs w:val="24"/>
          <w:lang w:val="en-IN"/>
        </w:rPr>
        <w:t xml:space="preserve">Arnold, T., 2020. Policies for Agriculture and the Environment on the island of Ireland in the post-Brexit World. </w:t>
      </w:r>
      <w:r>
        <w:rPr>
          <w:rFonts w:ascii="Times New Roman" w:hAnsi="Times New Roman" w:eastAsia="Times New Roman" w:cs="Times New Roman"/>
          <w:i/>
          <w:iCs/>
          <w:sz w:val="24"/>
          <w:szCs w:val="24"/>
          <w:lang w:val="en-IN"/>
        </w:rPr>
        <w:t>THE JOURNAL OF CROSS BORDER STUDIES IN IRELAND</w:t>
      </w:r>
      <w:r>
        <w:rPr>
          <w:rFonts w:ascii="Times New Roman" w:hAnsi="Times New Roman" w:eastAsia="Times New Roman" w:cs="Times New Roman"/>
          <w:sz w:val="24"/>
          <w:szCs w:val="24"/>
          <w:lang w:val="en-IN"/>
        </w:rPr>
        <w:t>, p.123.</w:t>
      </w:r>
    </w:p>
    <w:p>
      <w:pPr>
        <w:spacing w:line="360" w:lineRule="auto"/>
        <w:jc w:val="both"/>
        <w:rPr>
          <w:rFonts w:ascii="Times New Roman" w:hAnsi="Times New Roman" w:eastAsia="Times New Roman" w:cs="Times New Roman"/>
          <w:sz w:val="24"/>
          <w:szCs w:val="24"/>
          <w:lang w:val="en-IN"/>
        </w:rPr>
      </w:pPr>
      <w:r>
        <w:rPr>
          <w:rFonts w:ascii="Times New Roman" w:hAnsi="Times New Roman" w:eastAsia="Times New Roman" w:cs="Times New Roman"/>
          <w:sz w:val="24"/>
          <w:szCs w:val="24"/>
          <w:lang w:val="en-IN"/>
        </w:rPr>
        <w:t>Bell, D.N. and Blanchflower, D.G., 2020. US and UK labour markets before and during the Covid-19 crash. </w:t>
      </w:r>
      <w:r>
        <w:rPr>
          <w:rFonts w:ascii="Times New Roman" w:hAnsi="Times New Roman" w:eastAsia="Times New Roman" w:cs="Times New Roman"/>
          <w:i/>
          <w:iCs/>
          <w:sz w:val="24"/>
          <w:szCs w:val="24"/>
          <w:lang w:val="en-IN"/>
        </w:rPr>
        <w:t>National Institute Economic Review</w:t>
      </w:r>
      <w:r>
        <w:rPr>
          <w:rFonts w:ascii="Times New Roman" w:hAnsi="Times New Roman" w:eastAsia="Times New Roman" w:cs="Times New Roman"/>
          <w:sz w:val="24"/>
          <w:szCs w:val="24"/>
          <w:lang w:val="en-IN"/>
        </w:rPr>
        <w:t>, </w:t>
      </w:r>
      <w:r>
        <w:rPr>
          <w:rFonts w:ascii="Times New Roman" w:hAnsi="Times New Roman" w:eastAsia="Times New Roman" w:cs="Times New Roman"/>
          <w:i/>
          <w:iCs/>
          <w:sz w:val="24"/>
          <w:szCs w:val="24"/>
          <w:lang w:val="en-IN"/>
        </w:rPr>
        <w:t>252</w:t>
      </w:r>
      <w:r>
        <w:rPr>
          <w:rFonts w:ascii="Times New Roman" w:hAnsi="Times New Roman" w:eastAsia="Times New Roman" w:cs="Times New Roman"/>
          <w:sz w:val="24"/>
          <w:szCs w:val="24"/>
          <w:lang w:val="en-IN"/>
        </w:rPr>
        <w:t>, pp.R52-R69.</w:t>
      </w:r>
    </w:p>
    <w:p>
      <w:pPr>
        <w:spacing w:line="360" w:lineRule="auto"/>
        <w:jc w:val="both"/>
        <w:rPr>
          <w:rFonts w:ascii="Times New Roman" w:hAnsi="Times New Roman" w:eastAsia="Times New Roman" w:cs="Times New Roman"/>
          <w:sz w:val="24"/>
          <w:szCs w:val="24"/>
          <w:lang w:val="en-IN"/>
        </w:rPr>
      </w:pPr>
      <w:r>
        <w:rPr>
          <w:rFonts w:ascii="Times New Roman" w:hAnsi="Times New Roman" w:eastAsia="Times New Roman" w:cs="Times New Roman"/>
          <w:sz w:val="24"/>
          <w:szCs w:val="24"/>
          <w:lang w:val="en-IN"/>
        </w:rPr>
        <w:t>Bevelander, P., 2020. Integrating refugees into labor markets. </w:t>
      </w:r>
      <w:r>
        <w:rPr>
          <w:rFonts w:ascii="Times New Roman" w:hAnsi="Times New Roman" w:eastAsia="Times New Roman" w:cs="Times New Roman"/>
          <w:i/>
          <w:iCs/>
          <w:sz w:val="24"/>
          <w:szCs w:val="24"/>
          <w:lang w:val="en-IN"/>
        </w:rPr>
        <w:t>iza World of Labor</w:t>
      </w:r>
      <w:r>
        <w:rPr>
          <w:rFonts w:ascii="Times New Roman" w:hAnsi="Times New Roman" w:eastAsia="Times New Roman" w:cs="Times New Roman"/>
          <w:sz w:val="24"/>
          <w:szCs w:val="24"/>
          <w:lang w:val="en-IN"/>
        </w:rPr>
        <w:t>.</w:t>
      </w:r>
    </w:p>
    <w:p>
      <w:pPr>
        <w:spacing w:line="360" w:lineRule="auto"/>
        <w:jc w:val="both"/>
        <w:rPr>
          <w:rFonts w:ascii="Times New Roman" w:hAnsi="Times New Roman" w:eastAsia="Times New Roman" w:cs="Times New Roman"/>
          <w:sz w:val="24"/>
          <w:szCs w:val="24"/>
          <w:lang w:val="en-IN"/>
        </w:rPr>
      </w:pPr>
      <w:r>
        <w:rPr>
          <w:rFonts w:ascii="Times New Roman" w:hAnsi="Times New Roman" w:eastAsia="Times New Roman" w:cs="Times New Roman"/>
          <w:sz w:val="24"/>
          <w:szCs w:val="24"/>
          <w:lang w:val="en-IN"/>
        </w:rPr>
        <w:t>Bratton, J., Gold, J., Bratton, A. and Steele, L., 2021. </w:t>
      </w:r>
      <w:r>
        <w:rPr>
          <w:rFonts w:ascii="Times New Roman" w:hAnsi="Times New Roman" w:eastAsia="Times New Roman" w:cs="Times New Roman"/>
          <w:i/>
          <w:iCs/>
          <w:sz w:val="24"/>
          <w:szCs w:val="24"/>
          <w:lang w:val="en-IN"/>
        </w:rPr>
        <w:t>Human resource management</w:t>
      </w:r>
      <w:r>
        <w:rPr>
          <w:rFonts w:ascii="Times New Roman" w:hAnsi="Times New Roman" w:eastAsia="Times New Roman" w:cs="Times New Roman"/>
          <w:sz w:val="24"/>
          <w:szCs w:val="24"/>
          <w:lang w:val="en-IN"/>
        </w:rPr>
        <w:t>. Bloomsbury Publishing.</w:t>
      </w:r>
    </w:p>
    <w:p>
      <w:pPr>
        <w:spacing w:line="360" w:lineRule="auto"/>
        <w:jc w:val="both"/>
        <w:rPr>
          <w:rFonts w:ascii="Times New Roman" w:hAnsi="Times New Roman" w:eastAsia="Times New Roman" w:cs="Times New Roman"/>
          <w:sz w:val="24"/>
          <w:szCs w:val="24"/>
          <w:lang w:val="en-IN"/>
        </w:rPr>
      </w:pPr>
      <w:r>
        <w:rPr>
          <w:rFonts w:ascii="Times New Roman" w:hAnsi="Times New Roman" w:eastAsia="Times New Roman" w:cs="Times New Roman"/>
          <w:sz w:val="24"/>
          <w:szCs w:val="24"/>
          <w:lang w:val="en-IN"/>
        </w:rPr>
        <w:t>Brell, C., Dustmann, C. and Preston, I., 2020. The labor market integration of refugee migrants in high-income countries. </w:t>
      </w:r>
      <w:r>
        <w:rPr>
          <w:rFonts w:ascii="Times New Roman" w:hAnsi="Times New Roman" w:eastAsia="Times New Roman" w:cs="Times New Roman"/>
          <w:i/>
          <w:iCs/>
          <w:sz w:val="24"/>
          <w:szCs w:val="24"/>
          <w:lang w:val="en-IN"/>
        </w:rPr>
        <w:t>Journal of Economic Perspectives</w:t>
      </w:r>
      <w:r>
        <w:rPr>
          <w:rFonts w:ascii="Times New Roman" w:hAnsi="Times New Roman" w:eastAsia="Times New Roman" w:cs="Times New Roman"/>
          <w:sz w:val="24"/>
          <w:szCs w:val="24"/>
          <w:lang w:val="en-IN"/>
        </w:rPr>
        <w:t>, </w:t>
      </w:r>
      <w:r>
        <w:rPr>
          <w:rFonts w:ascii="Times New Roman" w:hAnsi="Times New Roman" w:eastAsia="Times New Roman" w:cs="Times New Roman"/>
          <w:i/>
          <w:iCs/>
          <w:sz w:val="24"/>
          <w:szCs w:val="24"/>
          <w:lang w:val="en-IN"/>
        </w:rPr>
        <w:t>34</w:t>
      </w:r>
      <w:r>
        <w:rPr>
          <w:rFonts w:ascii="Times New Roman" w:hAnsi="Times New Roman" w:eastAsia="Times New Roman" w:cs="Times New Roman"/>
          <w:sz w:val="24"/>
          <w:szCs w:val="24"/>
          <w:lang w:val="en-IN"/>
        </w:rPr>
        <w:t>(1), pp.94-121.</w:t>
      </w:r>
    </w:p>
    <w:p>
      <w:pPr>
        <w:spacing w:line="360" w:lineRule="auto"/>
        <w:jc w:val="both"/>
        <w:rPr>
          <w:rFonts w:ascii="Times New Roman" w:hAnsi="Times New Roman" w:eastAsia="Times New Roman" w:cs="Times New Roman"/>
          <w:sz w:val="24"/>
          <w:szCs w:val="24"/>
          <w:lang w:val="en-IN"/>
        </w:rPr>
      </w:pPr>
      <w:r>
        <w:rPr>
          <w:rFonts w:ascii="Times New Roman" w:hAnsi="Times New Roman" w:eastAsia="Times New Roman" w:cs="Times New Roman"/>
          <w:sz w:val="24"/>
          <w:szCs w:val="24"/>
          <w:lang w:val="en-IN"/>
        </w:rPr>
        <w:t>Caliendo, G., 2022. Vaccine Nationalism or ‘Brexit Dividend’? Strategies of Legitimation in the EU-UK Post-Brexit Debate on COVID-19 Vaccination Campaigns. </w:t>
      </w:r>
      <w:r>
        <w:rPr>
          <w:rFonts w:ascii="Times New Roman" w:hAnsi="Times New Roman" w:eastAsia="Times New Roman" w:cs="Times New Roman"/>
          <w:i/>
          <w:iCs/>
          <w:sz w:val="24"/>
          <w:szCs w:val="24"/>
          <w:lang w:val="en-IN"/>
        </w:rPr>
        <w:t>Societies</w:t>
      </w:r>
      <w:r>
        <w:rPr>
          <w:rFonts w:ascii="Times New Roman" w:hAnsi="Times New Roman" w:eastAsia="Times New Roman" w:cs="Times New Roman"/>
          <w:sz w:val="24"/>
          <w:szCs w:val="24"/>
          <w:lang w:val="en-IN"/>
        </w:rPr>
        <w:t>, </w:t>
      </w:r>
      <w:r>
        <w:rPr>
          <w:rFonts w:ascii="Times New Roman" w:hAnsi="Times New Roman" w:eastAsia="Times New Roman" w:cs="Times New Roman"/>
          <w:i/>
          <w:iCs/>
          <w:sz w:val="24"/>
          <w:szCs w:val="24"/>
          <w:lang w:val="en-IN"/>
        </w:rPr>
        <w:t>12</w:t>
      </w:r>
      <w:r>
        <w:rPr>
          <w:rFonts w:ascii="Times New Roman" w:hAnsi="Times New Roman" w:eastAsia="Times New Roman" w:cs="Times New Roman"/>
          <w:sz w:val="24"/>
          <w:szCs w:val="24"/>
          <w:lang w:val="en-IN"/>
        </w:rPr>
        <w:t>(2), p.37.</w:t>
      </w:r>
    </w:p>
    <w:p>
      <w:pPr>
        <w:spacing w:line="360" w:lineRule="auto"/>
        <w:jc w:val="both"/>
        <w:rPr>
          <w:rFonts w:ascii="Times New Roman" w:hAnsi="Times New Roman" w:eastAsia="Times New Roman" w:cs="Times New Roman"/>
          <w:sz w:val="24"/>
          <w:szCs w:val="24"/>
          <w:lang w:val="en-IN"/>
        </w:rPr>
      </w:pPr>
      <w:r>
        <w:rPr>
          <w:rFonts w:ascii="Times New Roman" w:hAnsi="Times New Roman" w:eastAsia="Times New Roman" w:cs="Times New Roman"/>
          <w:sz w:val="24"/>
          <w:szCs w:val="24"/>
          <w:lang w:val="en-IN"/>
        </w:rPr>
        <w:t>Fana, M., Torrejón Pérez, S. and Fernández-Macías, E., 2020. Employment impact of Covid-19 crisis: from short term effects to long terms prospects. </w:t>
      </w:r>
      <w:r>
        <w:rPr>
          <w:rFonts w:ascii="Times New Roman" w:hAnsi="Times New Roman" w:eastAsia="Times New Roman" w:cs="Times New Roman"/>
          <w:i/>
          <w:iCs/>
          <w:sz w:val="24"/>
          <w:szCs w:val="24"/>
          <w:lang w:val="en-IN"/>
        </w:rPr>
        <w:t>Journal of Industrial and Business Economics</w:t>
      </w:r>
      <w:r>
        <w:rPr>
          <w:rFonts w:ascii="Times New Roman" w:hAnsi="Times New Roman" w:eastAsia="Times New Roman" w:cs="Times New Roman"/>
          <w:sz w:val="24"/>
          <w:szCs w:val="24"/>
          <w:lang w:val="en-IN"/>
        </w:rPr>
        <w:t>, </w:t>
      </w:r>
      <w:r>
        <w:rPr>
          <w:rFonts w:ascii="Times New Roman" w:hAnsi="Times New Roman" w:eastAsia="Times New Roman" w:cs="Times New Roman"/>
          <w:i/>
          <w:iCs/>
          <w:sz w:val="24"/>
          <w:szCs w:val="24"/>
          <w:lang w:val="en-IN"/>
        </w:rPr>
        <w:t>47</w:t>
      </w:r>
      <w:r>
        <w:rPr>
          <w:rFonts w:ascii="Times New Roman" w:hAnsi="Times New Roman" w:eastAsia="Times New Roman" w:cs="Times New Roman"/>
          <w:sz w:val="24"/>
          <w:szCs w:val="24"/>
          <w:lang w:val="en-IN"/>
        </w:rPr>
        <w:t>, pp.391-410.</w:t>
      </w:r>
    </w:p>
    <w:p>
      <w:pPr>
        <w:spacing w:line="360" w:lineRule="auto"/>
        <w:jc w:val="both"/>
        <w:rPr>
          <w:rFonts w:ascii="Times New Roman" w:hAnsi="Times New Roman" w:eastAsia="Times New Roman" w:cs="Times New Roman"/>
          <w:sz w:val="24"/>
          <w:szCs w:val="24"/>
          <w:lang w:val="en-IN"/>
        </w:rPr>
      </w:pPr>
      <w:r>
        <w:rPr>
          <w:rFonts w:ascii="Times New Roman" w:hAnsi="Times New Roman" w:eastAsia="Times New Roman" w:cs="Times New Roman"/>
          <w:sz w:val="24"/>
          <w:szCs w:val="24"/>
          <w:lang w:val="en-IN"/>
        </w:rPr>
        <w:t>Graham, M. and Anwar, M., 2019. The global gig economy: Towards a planetary labour market?. </w:t>
      </w:r>
      <w:r>
        <w:rPr>
          <w:rFonts w:ascii="Times New Roman" w:hAnsi="Times New Roman" w:eastAsia="Times New Roman" w:cs="Times New Roman"/>
          <w:i/>
          <w:iCs/>
          <w:sz w:val="24"/>
          <w:szCs w:val="24"/>
          <w:lang w:val="en-IN"/>
        </w:rPr>
        <w:t>First Monday</w:t>
      </w:r>
      <w:r>
        <w:rPr>
          <w:rFonts w:ascii="Times New Roman" w:hAnsi="Times New Roman" w:eastAsia="Times New Roman" w:cs="Times New Roman"/>
          <w:sz w:val="24"/>
          <w:szCs w:val="24"/>
          <w:lang w:val="en-IN"/>
        </w:rPr>
        <w:t>, </w:t>
      </w:r>
      <w:r>
        <w:rPr>
          <w:rFonts w:ascii="Times New Roman" w:hAnsi="Times New Roman" w:eastAsia="Times New Roman" w:cs="Times New Roman"/>
          <w:i/>
          <w:iCs/>
          <w:sz w:val="24"/>
          <w:szCs w:val="24"/>
          <w:lang w:val="en-IN"/>
        </w:rPr>
        <w:t>24</w:t>
      </w:r>
      <w:r>
        <w:rPr>
          <w:rFonts w:ascii="Times New Roman" w:hAnsi="Times New Roman" w:eastAsia="Times New Roman" w:cs="Times New Roman"/>
          <w:sz w:val="24"/>
          <w:szCs w:val="24"/>
          <w:lang w:val="en-IN"/>
        </w:rPr>
        <w:t>(4).</w:t>
      </w:r>
    </w:p>
    <w:p>
      <w:pPr>
        <w:spacing w:line="360" w:lineRule="auto"/>
        <w:jc w:val="both"/>
        <w:rPr>
          <w:rFonts w:ascii="Times New Roman" w:hAnsi="Times New Roman" w:eastAsia="Times New Roman" w:cs="Times New Roman"/>
          <w:sz w:val="24"/>
          <w:szCs w:val="24"/>
          <w:lang w:val="en-IN"/>
        </w:rPr>
      </w:pPr>
      <w:r>
        <w:rPr>
          <w:rFonts w:ascii="Times New Roman" w:hAnsi="Times New Roman" w:eastAsia="Times New Roman" w:cs="Times New Roman"/>
          <w:sz w:val="24"/>
          <w:szCs w:val="24"/>
          <w:lang w:val="en-IN"/>
        </w:rPr>
        <w:t>Hosein, R., Gookool, R., Saridakis, G. and Sookram, S., 2023. Leveraging growth spillovers to navigate CARICOM trade relations in the post-COVID-19 global space. </w:t>
      </w:r>
      <w:r>
        <w:rPr>
          <w:rFonts w:ascii="Times New Roman" w:hAnsi="Times New Roman" w:eastAsia="Times New Roman" w:cs="Times New Roman"/>
          <w:i/>
          <w:iCs/>
          <w:sz w:val="24"/>
          <w:szCs w:val="24"/>
          <w:lang w:val="en-IN"/>
        </w:rPr>
        <w:t>EuroMed Journal of Business</w:t>
      </w:r>
      <w:r>
        <w:rPr>
          <w:rFonts w:ascii="Times New Roman" w:hAnsi="Times New Roman" w:eastAsia="Times New Roman" w:cs="Times New Roman"/>
          <w:sz w:val="24"/>
          <w:szCs w:val="24"/>
          <w:lang w:val="en-IN"/>
        </w:rPr>
        <w:t>.</w:t>
      </w:r>
    </w:p>
    <w:p>
      <w:pPr>
        <w:spacing w:line="360" w:lineRule="auto"/>
        <w:jc w:val="both"/>
        <w:rPr>
          <w:rFonts w:ascii="Times New Roman" w:hAnsi="Times New Roman" w:eastAsia="Times New Roman" w:cs="Times New Roman"/>
          <w:sz w:val="24"/>
          <w:szCs w:val="24"/>
          <w:lang w:val="en-IN"/>
        </w:rPr>
      </w:pPr>
      <w:r>
        <w:rPr>
          <w:rFonts w:ascii="Times New Roman" w:hAnsi="Times New Roman" w:eastAsia="Times New Roman" w:cs="Times New Roman"/>
          <w:sz w:val="24"/>
          <w:szCs w:val="24"/>
          <w:lang w:val="en-IN"/>
        </w:rPr>
        <w:t>Lauder, H. and Mayhew, K., 2020. Higher education and the labour market: an introduction. </w:t>
      </w:r>
      <w:r>
        <w:rPr>
          <w:rFonts w:ascii="Times New Roman" w:hAnsi="Times New Roman" w:eastAsia="Times New Roman" w:cs="Times New Roman"/>
          <w:i/>
          <w:iCs/>
          <w:sz w:val="24"/>
          <w:szCs w:val="24"/>
          <w:lang w:val="en-IN"/>
        </w:rPr>
        <w:t>Oxford Review of Education</w:t>
      </w:r>
      <w:r>
        <w:rPr>
          <w:rFonts w:ascii="Times New Roman" w:hAnsi="Times New Roman" w:eastAsia="Times New Roman" w:cs="Times New Roman"/>
          <w:sz w:val="24"/>
          <w:szCs w:val="24"/>
          <w:lang w:val="en-IN"/>
        </w:rPr>
        <w:t>, </w:t>
      </w:r>
      <w:r>
        <w:rPr>
          <w:rFonts w:ascii="Times New Roman" w:hAnsi="Times New Roman" w:eastAsia="Times New Roman" w:cs="Times New Roman"/>
          <w:i/>
          <w:iCs/>
          <w:sz w:val="24"/>
          <w:szCs w:val="24"/>
          <w:lang w:val="en-IN"/>
        </w:rPr>
        <w:t>46</w:t>
      </w:r>
      <w:r>
        <w:rPr>
          <w:rFonts w:ascii="Times New Roman" w:hAnsi="Times New Roman" w:eastAsia="Times New Roman" w:cs="Times New Roman"/>
          <w:sz w:val="24"/>
          <w:szCs w:val="24"/>
          <w:lang w:val="en-IN"/>
        </w:rPr>
        <w:t>(1), pp.1-9.</w:t>
      </w:r>
    </w:p>
    <w:p>
      <w:pPr>
        <w:spacing w:line="360" w:lineRule="auto"/>
        <w:jc w:val="both"/>
        <w:rPr>
          <w:rFonts w:ascii="Times New Roman" w:hAnsi="Times New Roman" w:eastAsia="Times New Roman" w:cs="Times New Roman"/>
          <w:sz w:val="24"/>
          <w:szCs w:val="24"/>
          <w:lang w:val="en-IN"/>
        </w:rPr>
      </w:pPr>
      <w:r>
        <w:rPr>
          <w:rFonts w:ascii="Times New Roman" w:hAnsi="Times New Roman" w:eastAsia="Times New Roman" w:cs="Times New Roman"/>
          <w:sz w:val="24"/>
          <w:szCs w:val="24"/>
          <w:lang w:val="en-IN"/>
        </w:rPr>
        <w:t>MacDonald, R. and Giazitzoglu, A., 2019. Youth, enterprise and precarity: or, what is, and what is wrong with, the ‘gig economy’?. </w:t>
      </w:r>
      <w:r>
        <w:rPr>
          <w:rFonts w:ascii="Times New Roman" w:hAnsi="Times New Roman" w:eastAsia="Times New Roman" w:cs="Times New Roman"/>
          <w:i/>
          <w:iCs/>
          <w:sz w:val="24"/>
          <w:szCs w:val="24"/>
          <w:lang w:val="en-IN"/>
        </w:rPr>
        <w:t>Journal of Sociology</w:t>
      </w:r>
      <w:r>
        <w:rPr>
          <w:rFonts w:ascii="Times New Roman" w:hAnsi="Times New Roman" w:eastAsia="Times New Roman" w:cs="Times New Roman"/>
          <w:sz w:val="24"/>
          <w:szCs w:val="24"/>
          <w:lang w:val="en-IN"/>
        </w:rPr>
        <w:t>, </w:t>
      </w:r>
      <w:r>
        <w:rPr>
          <w:rFonts w:ascii="Times New Roman" w:hAnsi="Times New Roman" w:eastAsia="Times New Roman" w:cs="Times New Roman"/>
          <w:i/>
          <w:iCs/>
          <w:sz w:val="24"/>
          <w:szCs w:val="24"/>
          <w:lang w:val="en-IN"/>
        </w:rPr>
        <w:t>55</w:t>
      </w:r>
      <w:r>
        <w:rPr>
          <w:rFonts w:ascii="Times New Roman" w:hAnsi="Times New Roman" w:eastAsia="Times New Roman" w:cs="Times New Roman"/>
          <w:sz w:val="24"/>
          <w:szCs w:val="24"/>
          <w:lang w:val="en-IN"/>
        </w:rPr>
        <w:t>(4), pp.724-740.</w:t>
      </w:r>
    </w:p>
    <w:p>
      <w:pPr>
        <w:spacing w:line="360" w:lineRule="auto"/>
        <w:jc w:val="both"/>
        <w:rPr>
          <w:rFonts w:ascii="Times New Roman" w:hAnsi="Times New Roman" w:eastAsia="Times New Roman" w:cs="Times New Roman"/>
          <w:sz w:val="24"/>
          <w:szCs w:val="24"/>
          <w:lang w:val="en-IN"/>
        </w:rPr>
      </w:pPr>
      <w:r>
        <w:rPr>
          <w:rFonts w:ascii="Times New Roman" w:hAnsi="Times New Roman" w:eastAsia="Times New Roman" w:cs="Times New Roman"/>
          <w:sz w:val="24"/>
          <w:szCs w:val="24"/>
          <w:lang w:val="en-IN"/>
        </w:rPr>
        <w:t>Martinescu, E., Edwards, M.R., Leite, A.C., Randsley de Moura, G., Marques, A.G. and Abrams, D., 2022. The interactive effect of job skill level and citizenship status on job depression, work engagement and turnover intentions: A moderated mediation model in the context of macro‐level turbulence (of ‘Brexit’). </w:t>
      </w:r>
      <w:r>
        <w:rPr>
          <w:rFonts w:ascii="Times New Roman" w:hAnsi="Times New Roman" w:eastAsia="Times New Roman" w:cs="Times New Roman"/>
          <w:i/>
          <w:iCs/>
          <w:sz w:val="24"/>
          <w:szCs w:val="24"/>
          <w:lang w:val="en-IN"/>
        </w:rPr>
        <w:t>Human Resource Management Journal</w:t>
      </w:r>
      <w:r>
        <w:rPr>
          <w:rFonts w:ascii="Times New Roman" w:hAnsi="Times New Roman" w:eastAsia="Times New Roman" w:cs="Times New Roman"/>
          <w:sz w:val="24"/>
          <w:szCs w:val="24"/>
          <w:lang w:val="en-IN"/>
        </w:rPr>
        <w:t>.</w:t>
      </w:r>
    </w:p>
    <w:p>
      <w:pPr>
        <w:spacing w:line="360" w:lineRule="auto"/>
        <w:jc w:val="both"/>
        <w:rPr>
          <w:rFonts w:ascii="Times New Roman" w:hAnsi="Times New Roman" w:eastAsia="Times New Roman" w:cs="Times New Roman"/>
          <w:sz w:val="24"/>
          <w:szCs w:val="24"/>
          <w:lang w:val="en-IN"/>
        </w:rPr>
      </w:pPr>
      <w:r>
        <w:rPr>
          <w:rFonts w:ascii="Times New Roman" w:hAnsi="Times New Roman" w:eastAsia="Times New Roman" w:cs="Times New Roman"/>
          <w:sz w:val="24"/>
          <w:szCs w:val="24"/>
          <w:lang w:val="en-IN"/>
        </w:rPr>
        <w:t>McCann, P., Ortega-Argilés, R., Sevinc, D. and Cepeda-Zorrilla, M., 2021. Rebalancing UK regional and industrial policy post-Brexit and post-COVID-19: Lessons learned and priorities for the future. </w:t>
      </w:r>
      <w:r>
        <w:rPr>
          <w:rFonts w:ascii="Times New Roman" w:hAnsi="Times New Roman" w:eastAsia="Times New Roman" w:cs="Times New Roman"/>
          <w:i/>
          <w:iCs/>
          <w:sz w:val="24"/>
          <w:szCs w:val="24"/>
          <w:lang w:val="en-IN"/>
        </w:rPr>
        <w:t>Regional Studies</w:t>
      </w:r>
      <w:r>
        <w:rPr>
          <w:rFonts w:ascii="Times New Roman" w:hAnsi="Times New Roman" w:eastAsia="Times New Roman" w:cs="Times New Roman"/>
          <w:sz w:val="24"/>
          <w:szCs w:val="24"/>
          <w:lang w:val="en-IN"/>
        </w:rPr>
        <w:t>, pp.1-13.</w:t>
      </w:r>
    </w:p>
    <w:p>
      <w:pPr>
        <w:spacing w:line="360" w:lineRule="auto"/>
        <w:jc w:val="both"/>
        <w:rPr>
          <w:rFonts w:ascii="Times New Roman" w:hAnsi="Times New Roman" w:eastAsia="Times New Roman" w:cs="Times New Roman"/>
          <w:sz w:val="24"/>
          <w:szCs w:val="24"/>
          <w:lang w:val="en-IN"/>
        </w:rPr>
      </w:pPr>
      <w:r>
        <w:rPr>
          <w:rFonts w:ascii="Times New Roman" w:hAnsi="Times New Roman" w:eastAsia="Times New Roman" w:cs="Times New Roman"/>
          <w:sz w:val="24"/>
          <w:szCs w:val="24"/>
          <w:lang w:val="en-IN"/>
        </w:rPr>
        <w:t>Moradlou, H., Fratocchi, L., Skipworth, H. and Ghadge, A., 2022. Post-Brexit back-shoring strategies: what UK manufacturing companies could learn from the past?. </w:t>
      </w:r>
      <w:r>
        <w:rPr>
          <w:rFonts w:ascii="Times New Roman" w:hAnsi="Times New Roman" w:eastAsia="Times New Roman" w:cs="Times New Roman"/>
          <w:i/>
          <w:iCs/>
          <w:sz w:val="24"/>
          <w:szCs w:val="24"/>
          <w:lang w:val="en-IN"/>
        </w:rPr>
        <w:t>Production Planning &amp; Control</w:t>
      </w:r>
      <w:r>
        <w:rPr>
          <w:rFonts w:ascii="Times New Roman" w:hAnsi="Times New Roman" w:eastAsia="Times New Roman" w:cs="Times New Roman"/>
          <w:sz w:val="24"/>
          <w:szCs w:val="24"/>
          <w:lang w:val="en-IN"/>
        </w:rPr>
        <w:t>, </w:t>
      </w:r>
      <w:r>
        <w:rPr>
          <w:rFonts w:ascii="Times New Roman" w:hAnsi="Times New Roman" w:eastAsia="Times New Roman" w:cs="Times New Roman"/>
          <w:i/>
          <w:iCs/>
          <w:sz w:val="24"/>
          <w:szCs w:val="24"/>
          <w:lang w:val="en-IN"/>
        </w:rPr>
        <w:t>33</w:t>
      </w:r>
      <w:r>
        <w:rPr>
          <w:rFonts w:ascii="Times New Roman" w:hAnsi="Times New Roman" w:eastAsia="Times New Roman" w:cs="Times New Roman"/>
          <w:sz w:val="24"/>
          <w:szCs w:val="24"/>
          <w:lang w:val="en-IN"/>
        </w:rPr>
        <w:t>(14), pp.1319-1336.</w:t>
      </w:r>
    </w:p>
    <w:p>
      <w:pPr>
        <w:spacing w:line="360" w:lineRule="auto"/>
        <w:jc w:val="both"/>
        <w:rPr>
          <w:rFonts w:ascii="Times New Roman" w:hAnsi="Times New Roman" w:eastAsia="Times New Roman" w:cs="Times New Roman"/>
          <w:sz w:val="24"/>
          <w:szCs w:val="24"/>
          <w:lang w:val="en-IN"/>
        </w:rPr>
      </w:pPr>
      <w:r>
        <w:rPr>
          <w:rFonts w:ascii="Times New Roman" w:hAnsi="Times New Roman" w:eastAsia="Times New Roman" w:cs="Times New Roman"/>
          <w:sz w:val="24"/>
          <w:szCs w:val="24"/>
          <w:lang w:val="en-IN"/>
        </w:rPr>
        <w:t>Nandi, S., Sarkis, J., Hervani, A. and Helms, M., 2021. Do blockchain and circular economy practices improve post COVID-19 supply chains? A resource-based and resource dependence perspective. </w:t>
      </w:r>
      <w:r>
        <w:rPr>
          <w:rFonts w:ascii="Times New Roman" w:hAnsi="Times New Roman" w:eastAsia="Times New Roman" w:cs="Times New Roman"/>
          <w:i/>
          <w:iCs/>
          <w:sz w:val="24"/>
          <w:szCs w:val="24"/>
          <w:lang w:val="en-IN"/>
        </w:rPr>
        <w:t>Industrial Management &amp; Data Systems</w:t>
      </w:r>
      <w:r>
        <w:rPr>
          <w:rFonts w:ascii="Times New Roman" w:hAnsi="Times New Roman" w:eastAsia="Times New Roman" w:cs="Times New Roman"/>
          <w:sz w:val="24"/>
          <w:szCs w:val="24"/>
          <w:lang w:val="en-IN"/>
        </w:rPr>
        <w:t>, </w:t>
      </w:r>
      <w:r>
        <w:rPr>
          <w:rFonts w:ascii="Times New Roman" w:hAnsi="Times New Roman" w:eastAsia="Times New Roman" w:cs="Times New Roman"/>
          <w:i/>
          <w:iCs/>
          <w:sz w:val="24"/>
          <w:szCs w:val="24"/>
          <w:lang w:val="en-IN"/>
        </w:rPr>
        <w:t>121</w:t>
      </w:r>
      <w:r>
        <w:rPr>
          <w:rFonts w:ascii="Times New Roman" w:hAnsi="Times New Roman" w:eastAsia="Times New Roman" w:cs="Times New Roman"/>
          <w:sz w:val="24"/>
          <w:szCs w:val="24"/>
          <w:lang w:val="en-IN"/>
        </w:rPr>
        <w:t>(2), pp.333-363.</w:t>
      </w:r>
    </w:p>
    <w:p>
      <w:pPr>
        <w:spacing w:line="360" w:lineRule="auto"/>
        <w:jc w:val="both"/>
        <w:rPr>
          <w:rFonts w:ascii="Times New Roman" w:hAnsi="Times New Roman" w:eastAsia="Times New Roman" w:cs="Times New Roman"/>
          <w:sz w:val="24"/>
          <w:szCs w:val="24"/>
          <w:lang w:val="en-IN"/>
        </w:rPr>
      </w:pPr>
      <w:r>
        <w:rPr>
          <w:rFonts w:ascii="Times New Roman" w:hAnsi="Times New Roman" w:eastAsia="Times New Roman" w:cs="Times New Roman"/>
          <w:sz w:val="24"/>
          <w:szCs w:val="24"/>
          <w:lang w:val="en-IN"/>
        </w:rPr>
        <w:t>Pearce, A., Quan, R. and Dziewanowska, K., 2022. Lundgren Tours: Out of the Frying Pan and into the Fire. A young entrepreneur survives and thrives after the ‘double-whammy’of Brexit and Coronavirus. </w:t>
      </w:r>
      <w:r>
        <w:rPr>
          <w:rFonts w:ascii="Times New Roman" w:hAnsi="Times New Roman" w:eastAsia="Times New Roman" w:cs="Times New Roman"/>
          <w:i/>
          <w:iCs/>
          <w:sz w:val="24"/>
          <w:szCs w:val="24"/>
          <w:lang w:val="en-IN"/>
        </w:rPr>
        <w:t>The International Journal of Entrepreneurship and Innovation</w:t>
      </w:r>
      <w:r>
        <w:rPr>
          <w:rFonts w:ascii="Times New Roman" w:hAnsi="Times New Roman" w:eastAsia="Times New Roman" w:cs="Times New Roman"/>
          <w:sz w:val="24"/>
          <w:szCs w:val="24"/>
          <w:lang w:val="en-IN"/>
        </w:rPr>
        <w:t>, </w:t>
      </w:r>
      <w:r>
        <w:rPr>
          <w:rFonts w:ascii="Times New Roman" w:hAnsi="Times New Roman" w:eastAsia="Times New Roman" w:cs="Times New Roman"/>
          <w:i/>
          <w:iCs/>
          <w:sz w:val="24"/>
          <w:szCs w:val="24"/>
          <w:lang w:val="en-IN"/>
        </w:rPr>
        <w:t>23</w:t>
      </w:r>
      <w:r>
        <w:rPr>
          <w:rFonts w:ascii="Times New Roman" w:hAnsi="Times New Roman" w:eastAsia="Times New Roman" w:cs="Times New Roman"/>
          <w:sz w:val="24"/>
          <w:szCs w:val="24"/>
          <w:lang w:val="en-IN"/>
        </w:rPr>
        <w:t>(2), pp.86-98.</w:t>
      </w:r>
    </w:p>
    <w:p>
      <w:pPr>
        <w:spacing w:line="360" w:lineRule="auto"/>
        <w:jc w:val="both"/>
        <w:rPr>
          <w:rFonts w:ascii="Times New Roman" w:hAnsi="Times New Roman" w:eastAsia="Times New Roman" w:cs="Times New Roman"/>
          <w:sz w:val="24"/>
          <w:szCs w:val="24"/>
          <w:lang w:val="en-IN"/>
        </w:rPr>
      </w:pPr>
      <w:r>
        <w:rPr>
          <w:rFonts w:ascii="Times New Roman" w:hAnsi="Times New Roman" w:eastAsia="Times New Roman" w:cs="Times New Roman"/>
          <w:sz w:val="24"/>
          <w:szCs w:val="24"/>
          <w:lang w:val="en-IN"/>
        </w:rPr>
        <w:t>Psacharopoulos, G., Collis, V., Patrinos, H.A. and Vegas, E., 2020. Lost wages: The COVID-19 cost of school closures. </w:t>
      </w:r>
      <w:r>
        <w:rPr>
          <w:rFonts w:ascii="Times New Roman" w:hAnsi="Times New Roman" w:eastAsia="Times New Roman" w:cs="Times New Roman"/>
          <w:i/>
          <w:iCs/>
          <w:sz w:val="24"/>
          <w:szCs w:val="24"/>
          <w:lang w:val="en-IN"/>
        </w:rPr>
        <w:t>Available at SSRN 3682160</w:t>
      </w:r>
      <w:r>
        <w:rPr>
          <w:rFonts w:ascii="Times New Roman" w:hAnsi="Times New Roman" w:eastAsia="Times New Roman" w:cs="Times New Roman"/>
          <w:sz w:val="24"/>
          <w:szCs w:val="24"/>
          <w:lang w:val="en-IN"/>
        </w:rPr>
        <w:t>.</w:t>
      </w:r>
    </w:p>
    <w:p>
      <w:pPr>
        <w:spacing w:line="360" w:lineRule="auto"/>
        <w:jc w:val="both"/>
        <w:rPr>
          <w:rFonts w:ascii="Times New Roman" w:hAnsi="Times New Roman" w:eastAsia="Times New Roman" w:cs="Times New Roman"/>
          <w:sz w:val="24"/>
          <w:szCs w:val="24"/>
          <w:lang w:val="en-IN"/>
        </w:rPr>
      </w:pPr>
      <w:r>
        <w:rPr>
          <w:rFonts w:ascii="Times New Roman" w:hAnsi="Times New Roman" w:eastAsia="Times New Roman" w:cs="Times New Roman"/>
          <w:sz w:val="24"/>
          <w:szCs w:val="24"/>
          <w:lang w:val="en-IN"/>
        </w:rPr>
        <w:t>Reichelt, M., Makovi, K. and Sargsyan, A., 2021. The impact of COVID-19 on gender inequality in the labor market and gender-role attitudes. </w:t>
      </w:r>
      <w:r>
        <w:rPr>
          <w:rFonts w:ascii="Times New Roman" w:hAnsi="Times New Roman" w:eastAsia="Times New Roman" w:cs="Times New Roman"/>
          <w:i/>
          <w:iCs/>
          <w:sz w:val="24"/>
          <w:szCs w:val="24"/>
          <w:lang w:val="en-IN"/>
        </w:rPr>
        <w:t>European Societies</w:t>
      </w:r>
      <w:r>
        <w:rPr>
          <w:rFonts w:ascii="Times New Roman" w:hAnsi="Times New Roman" w:eastAsia="Times New Roman" w:cs="Times New Roman"/>
          <w:sz w:val="24"/>
          <w:szCs w:val="24"/>
          <w:lang w:val="en-IN"/>
        </w:rPr>
        <w:t>, </w:t>
      </w:r>
      <w:r>
        <w:rPr>
          <w:rFonts w:ascii="Times New Roman" w:hAnsi="Times New Roman" w:eastAsia="Times New Roman" w:cs="Times New Roman"/>
          <w:i/>
          <w:iCs/>
          <w:sz w:val="24"/>
          <w:szCs w:val="24"/>
          <w:lang w:val="en-IN"/>
        </w:rPr>
        <w:t>23</w:t>
      </w:r>
      <w:r>
        <w:rPr>
          <w:rFonts w:ascii="Times New Roman" w:hAnsi="Times New Roman" w:eastAsia="Times New Roman" w:cs="Times New Roman"/>
          <w:sz w:val="24"/>
          <w:szCs w:val="24"/>
          <w:lang w:val="en-IN"/>
        </w:rPr>
        <w:t>(sup1), pp.S228-S245.</w:t>
      </w:r>
    </w:p>
    <w:p>
      <w:pPr>
        <w:spacing w:line="360" w:lineRule="auto"/>
        <w:jc w:val="both"/>
        <w:rPr>
          <w:rFonts w:ascii="Times New Roman" w:hAnsi="Times New Roman" w:eastAsia="Times New Roman" w:cs="Times New Roman"/>
          <w:sz w:val="24"/>
          <w:szCs w:val="24"/>
          <w:lang w:val="en-IN"/>
        </w:rPr>
      </w:pPr>
      <w:r>
        <w:rPr>
          <w:rFonts w:ascii="Times New Roman" w:hAnsi="Times New Roman" w:eastAsia="Times New Roman" w:cs="Times New Roman"/>
          <w:sz w:val="24"/>
          <w:szCs w:val="24"/>
          <w:lang w:val="en-IN"/>
        </w:rPr>
        <w:t>Shittu, E., Kantamaneni, K. and Campos, L.C., 2022. Investigating how COVID‐19 has challenged the Eurocentric concept of ‘development’: a case for sustainable food systems in the UK. </w:t>
      </w:r>
      <w:r>
        <w:rPr>
          <w:rFonts w:ascii="Times New Roman" w:hAnsi="Times New Roman" w:eastAsia="Times New Roman" w:cs="Times New Roman"/>
          <w:i/>
          <w:iCs/>
          <w:sz w:val="24"/>
          <w:szCs w:val="24"/>
          <w:lang w:val="en-IN"/>
        </w:rPr>
        <w:t>Food and Energy Security</w:t>
      </w:r>
      <w:r>
        <w:rPr>
          <w:rFonts w:ascii="Times New Roman" w:hAnsi="Times New Roman" w:eastAsia="Times New Roman" w:cs="Times New Roman"/>
          <w:sz w:val="24"/>
          <w:szCs w:val="24"/>
          <w:lang w:val="en-IN"/>
        </w:rPr>
        <w:t>, </w:t>
      </w:r>
      <w:r>
        <w:rPr>
          <w:rFonts w:ascii="Times New Roman" w:hAnsi="Times New Roman" w:eastAsia="Times New Roman" w:cs="Times New Roman"/>
          <w:i/>
          <w:iCs/>
          <w:sz w:val="24"/>
          <w:szCs w:val="24"/>
          <w:lang w:val="en-IN"/>
        </w:rPr>
        <w:t>11</w:t>
      </w:r>
      <w:r>
        <w:rPr>
          <w:rFonts w:ascii="Times New Roman" w:hAnsi="Times New Roman" w:eastAsia="Times New Roman" w:cs="Times New Roman"/>
          <w:sz w:val="24"/>
          <w:szCs w:val="24"/>
          <w:lang w:val="en-IN"/>
        </w:rPr>
        <w:t>(4), p.e416.</w:t>
      </w:r>
    </w:p>
    <w:p>
      <w:pPr>
        <w:spacing w:line="360" w:lineRule="auto"/>
        <w:jc w:val="both"/>
        <w:rPr>
          <w:rFonts w:ascii="Times New Roman" w:hAnsi="Times New Roman" w:eastAsia="Times New Roman" w:cs="Times New Roman"/>
          <w:sz w:val="24"/>
          <w:szCs w:val="24"/>
          <w:lang w:val="en-IN"/>
        </w:rPr>
      </w:pPr>
      <w:r>
        <w:rPr>
          <w:rFonts w:ascii="Times New Roman" w:hAnsi="Times New Roman" w:eastAsia="Times New Roman" w:cs="Times New Roman"/>
          <w:sz w:val="24"/>
          <w:szCs w:val="24"/>
          <w:lang w:val="en-IN"/>
        </w:rPr>
        <w:t>Vidmar, M., Rosiello, A. and Golra, O., 2020. Resilience of new space firms in the United Kingdom During the early stages of COVID-19 crisis: The case for strategic agility. </w:t>
      </w:r>
      <w:r>
        <w:rPr>
          <w:rFonts w:ascii="Times New Roman" w:hAnsi="Times New Roman" w:eastAsia="Times New Roman" w:cs="Times New Roman"/>
          <w:i/>
          <w:iCs/>
          <w:sz w:val="24"/>
          <w:szCs w:val="24"/>
          <w:lang w:val="en-IN"/>
        </w:rPr>
        <w:t>New Space</w:t>
      </w:r>
      <w:r>
        <w:rPr>
          <w:rFonts w:ascii="Times New Roman" w:hAnsi="Times New Roman" w:eastAsia="Times New Roman" w:cs="Times New Roman"/>
          <w:sz w:val="24"/>
          <w:szCs w:val="24"/>
          <w:lang w:val="en-IN"/>
        </w:rPr>
        <w:t>, </w:t>
      </w:r>
      <w:r>
        <w:rPr>
          <w:rFonts w:ascii="Times New Roman" w:hAnsi="Times New Roman" w:eastAsia="Times New Roman" w:cs="Times New Roman"/>
          <w:i/>
          <w:iCs/>
          <w:sz w:val="24"/>
          <w:szCs w:val="24"/>
          <w:lang w:val="en-IN"/>
        </w:rPr>
        <w:t>8</w:t>
      </w:r>
      <w:r>
        <w:rPr>
          <w:rFonts w:ascii="Times New Roman" w:hAnsi="Times New Roman" w:eastAsia="Times New Roman" w:cs="Times New Roman"/>
          <w:sz w:val="24"/>
          <w:szCs w:val="24"/>
          <w:lang w:val="en-IN"/>
        </w:rPr>
        <w:t>(4), pp.172-178.</w:t>
      </w:r>
    </w:p>
    <w:p>
      <w:pPr>
        <w:spacing w:line="360" w:lineRule="auto"/>
        <w:jc w:val="both"/>
        <w:rPr>
          <w:rFonts w:ascii="Times New Roman" w:hAnsi="Times New Roman" w:eastAsia="Times New Roman" w:cs="Times New Roman"/>
          <w:sz w:val="24"/>
          <w:szCs w:val="24"/>
          <w:lang w:val="en-IN"/>
        </w:rPr>
      </w:pPr>
      <w:r>
        <w:rPr>
          <w:rFonts w:ascii="Times New Roman" w:hAnsi="Times New Roman" w:eastAsia="Times New Roman" w:cs="Times New Roman"/>
          <w:sz w:val="24"/>
          <w:szCs w:val="24"/>
          <w:lang w:val="en-IN"/>
        </w:rPr>
        <w:t>Witteveen, D., 2020. Sociodemographic inequality in exposure to COVID-19-induced economic hardship in the United Kingdom. </w:t>
      </w:r>
      <w:r>
        <w:rPr>
          <w:rFonts w:ascii="Times New Roman" w:hAnsi="Times New Roman" w:eastAsia="Times New Roman" w:cs="Times New Roman"/>
          <w:i/>
          <w:iCs/>
          <w:sz w:val="24"/>
          <w:szCs w:val="24"/>
          <w:lang w:val="en-IN"/>
        </w:rPr>
        <w:t>Research in Social Stratification and Mobility</w:t>
      </w:r>
      <w:r>
        <w:rPr>
          <w:rFonts w:ascii="Times New Roman" w:hAnsi="Times New Roman" w:eastAsia="Times New Roman" w:cs="Times New Roman"/>
          <w:sz w:val="24"/>
          <w:szCs w:val="24"/>
          <w:lang w:val="en-IN"/>
        </w:rPr>
        <w:t>, </w:t>
      </w:r>
      <w:r>
        <w:rPr>
          <w:rFonts w:ascii="Times New Roman" w:hAnsi="Times New Roman" w:eastAsia="Times New Roman" w:cs="Times New Roman"/>
          <w:i/>
          <w:iCs/>
          <w:sz w:val="24"/>
          <w:szCs w:val="24"/>
          <w:lang w:val="en-IN"/>
        </w:rPr>
        <w:t>69</w:t>
      </w:r>
      <w:r>
        <w:rPr>
          <w:rFonts w:ascii="Times New Roman" w:hAnsi="Times New Roman" w:eastAsia="Times New Roman" w:cs="Times New Roman"/>
          <w:sz w:val="24"/>
          <w:szCs w:val="24"/>
          <w:lang w:val="en-IN"/>
        </w:rPr>
        <w:t>, p.100551.</w:t>
      </w:r>
    </w:p>
    <w:p>
      <w:pPr>
        <w:spacing w:line="360" w:lineRule="auto"/>
        <w:jc w:val="both"/>
        <w:rPr>
          <w:rFonts w:ascii="Times New Roman" w:hAnsi="Times New Roman" w:eastAsia="Times New Roman" w:cs="Times New Roman"/>
          <w:sz w:val="24"/>
          <w:szCs w:val="24"/>
        </w:rPr>
      </w:pPr>
    </w:p>
    <w:sectPr>
      <w:footerReference r:id="rId5" w:type="default"/>
      <w:pgSz w:w="12240" w:h="15840"/>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pgNumType w:start="1"/>
      <w:cols w:space="720" w:num="1"/>
      <w:titlePg/>
      <w:docGrid w:linePitch="29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86"/>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0210269"/>
      <w:docPartObj>
        <w:docPartGallery w:val="autotext"/>
      </w:docPartObj>
    </w:sdtPr>
    <w:sdtContent>
      <w:p>
        <w:pPr>
          <w:pStyle w:val="10"/>
          <w:jc w:val="right"/>
        </w:pPr>
        <w:r>
          <w:fldChar w:fldCharType="begin"/>
        </w:r>
        <w:r>
          <w:instrText xml:space="preserve"> PAGE   \* MERGEFORMAT </w:instrText>
        </w:r>
        <w:r>
          <w:fldChar w:fldCharType="separate"/>
        </w:r>
        <w:r>
          <w:t>2</w:t>
        </w:r>
        <w:r>
          <w:fldChar w:fldCharType="end"/>
        </w:r>
      </w:p>
    </w:sdtContent>
  </w:sdt>
  <w:p>
    <w:pPr>
      <w:pStyle w:val="1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76" w:lineRule="auto"/>
      </w:pPr>
      <w:r>
        <w:separator/>
      </w:r>
    </w:p>
  </w:footnote>
  <w:footnote w:type="continuationSeparator" w:id="1">
    <w:p>
      <w:pPr>
        <w:spacing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web"/>
  <w:zoom w:percent="165"/>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6F0D"/>
    <w:rsid w:val="000034F2"/>
    <w:rsid w:val="00042828"/>
    <w:rsid w:val="00044268"/>
    <w:rsid w:val="0008461F"/>
    <w:rsid w:val="000911DA"/>
    <w:rsid w:val="000A0EAE"/>
    <w:rsid w:val="0018507C"/>
    <w:rsid w:val="001D3E52"/>
    <w:rsid w:val="00270756"/>
    <w:rsid w:val="0028582D"/>
    <w:rsid w:val="002A4FD0"/>
    <w:rsid w:val="002B6609"/>
    <w:rsid w:val="002E1D9E"/>
    <w:rsid w:val="002E4583"/>
    <w:rsid w:val="003D7188"/>
    <w:rsid w:val="003E778E"/>
    <w:rsid w:val="004A3318"/>
    <w:rsid w:val="004B3B81"/>
    <w:rsid w:val="005364E3"/>
    <w:rsid w:val="00617281"/>
    <w:rsid w:val="00764D21"/>
    <w:rsid w:val="0085599B"/>
    <w:rsid w:val="00876DFB"/>
    <w:rsid w:val="0096703F"/>
    <w:rsid w:val="009876AF"/>
    <w:rsid w:val="009C6231"/>
    <w:rsid w:val="009E7BA8"/>
    <w:rsid w:val="00A9016A"/>
    <w:rsid w:val="00AD44C4"/>
    <w:rsid w:val="00AF4C2E"/>
    <w:rsid w:val="00B27726"/>
    <w:rsid w:val="00B677D2"/>
    <w:rsid w:val="00BA5BEF"/>
    <w:rsid w:val="00BB15AF"/>
    <w:rsid w:val="00BE0A2A"/>
    <w:rsid w:val="00BF0C89"/>
    <w:rsid w:val="00C41F3A"/>
    <w:rsid w:val="00CF2B37"/>
    <w:rsid w:val="00D16F0D"/>
    <w:rsid w:val="00D271DF"/>
    <w:rsid w:val="00D5253B"/>
    <w:rsid w:val="00DE196D"/>
    <w:rsid w:val="00DF38F0"/>
    <w:rsid w:val="00E36DE9"/>
    <w:rsid w:val="00E71AFB"/>
    <w:rsid w:val="00E91DD7"/>
    <w:rsid w:val="00ED78BB"/>
    <w:rsid w:val="00F13E8E"/>
    <w:rsid w:val="00FB7FC0"/>
    <w:rsid w:val="00FE263D"/>
    <w:rsid w:val="5E0A6347"/>
    <w:rsid w:val="6F660B5C"/>
    <w:rsid w:val="6FB2108A"/>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spacing w:line="276" w:lineRule="auto"/>
    </w:pPr>
    <w:rPr>
      <w:rFonts w:ascii="Arial" w:hAnsi="Arial" w:eastAsia="Arial" w:cs="Arial"/>
      <w:sz w:val="22"/>
      <w:szCs w:val="22"/>
      <w:lang w:val="en" w:eastAsia="en-IN" w:bidi="ar-SA"/>
    </w:rPr>
  </w:style>
  <w:style w:type="paragraph" w:styleId="2">
    <w:name w:val="heading 1"/>
    <w:basedOn w:val="1"/>
    <w:next w:val="1"/>
    <w:qFormat/>
    <w:uiPriority w:val="0"/>
    <w:pPr>
      <w:keepNext/>
      <w:keepLines/>
      <w:spacing w:before="400" w:after="120"/>
      <w:outlineLvl w:val="0"/>
    </w:pPr>
    <w:rPr>
      <w:rFonts w:ascii="Times New Roman" w:hAnsi="Times New Roman"/>
      <w:b/>
      <w:color w:val="000000" w:themeColor="text1"/>
      <w:sz w:val="28"/>
      <w:szCs w:val="40"/>
      <w14:textFill>
        <w14:solidFill>
          <w14:schemeClr w14:val="tx1"/>
        </w14:solidFill>
      </w14:textFill>
    </w:rPr>
  </w:style>
  <w:style w:type="paragraph" w:styleId="3">
    <w:name w:val="heading 2"/>
    <w:basedOn w:val="1"/>
    <w:next w:val="1"/>
    <w:uiPriority w:val="0"/>
    <w:pPr>
      <w:keepNext/>
      <w:keepLines/>
      <w:spacing w:before="360" w:after="120"/>
      <w:outlineLvl w:val="1"/>
    </w:pPr>
    <w:rPr>
      <w:rFonts w:ascii="Times New Roman" w:hAnsi="Times New Roman"/>
      <w:b/>
      <w:color w:val="000000" w:themeColor="text1"/>
      <w:sz w:val="24"/>
      <w:szCs w:val="32"/>
      <w14:textFill>
        <w14:solidFill>
          <w14:schemeClr w14:val="tx1"/>
        </w14:solidFill>
      </w14:textFill>
    </w:rPr>
  </w:style>
  <w:style w:type="paragraph" w:styleId="4">
    <w:name w:val="heading 3"/>
    <w:basedOn w:val="1"/>
    <w:next w:val="1"/>
    <w:qFormat/>
    <w:uiPriority w:val="0"/>
    <w:pPr>
      <w:keepNext/>
      <w:keepLines/>
      <w:spacing w:before="320" w:after="80"/>
      <w:outlineLvl w:val="2"/>
    </w:pPr>
    <w:rPr>
      <w:color w:val="434343"/>
      <w:sz w:val="28"/>
      <w:szCs w:val="28"/>
    </w:rPr>
  </w:style>
  <w:style w:type="paragraph" w:styleId="5">
    <w:name w:val="heading 4"/>
    <w:basedOn w:val="1"/>
    <w:next w:val="1"/>
    <w:qFormat/>
    <w:uiPriority w:val="0"/>
    <w:pPr>
      <w:keepNext/>
      <w:keepLines/>
      <w:spacing w:before="280" w:after="80"/>
      <w:outlineLvl w:val="3"/>
    </w:pPr>
    <w:rPr>
      <w:color w:val="666666"/>
      <w:sz w:val="24"/>
      <w:szCs w:val="24"/>
    </w:rPr>
  </w:style>
  <w:style w:type="paragraph" w:styleId="6">
    <w:name w:val="heading 5"/>
    <w:basedOn w:val="1"/>
    <w:next w:val="1"/>
    <w:qFormat/>
    <w:uiPriority w:val="0"/>
    <w:pPr>
      <w:keepNext/>
      <w:keepLines/>
      <w:spacing w:before="240" w:after="80"/>
      <w:outlineLvl w:val="4"/>
    </w:pPr>
    <w:rPr>
      <w:color w:val="666666"/>
    </w:rPr>
  </w:style>
  <w:style w:type="paragraph" w:styleId="7">
    <w:name w:val="heading 6"/>
    <w:basedOn w:val="1"/>
    <w:next w:val="1"/>
    <w:qFormat/>
    <w:uiPriority w:val="0"/>
    <w:pPr>
      <w:keepNext/>
      <w:keepLines/>
      <w:spacing w:before="240" w:after="80"/>
      <w:outlineLvl w:val="5"/>
    </w:pPr>
    <w:rPr>
      <w:i/>
      <w:color w:val="666666"/>
    </w:rPr>
  </w:style>
  <w:style w:type="character" w:default="1" w:styleId="8">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10">
    <w:name w:val="footer"/>
    <w:basedOn w:val="1"/>
    <w:link w:val="18"/>
    <w:unhideWhenUsed/>
    <w:qFormat/>
    <w:uiPriority w:val="99"/>
    <w:pPr>
      <w:tabs>
        <w:tab w:val="center" w:pos="4513"/>
        <w:tab w:val="right" w:pos="9026"/>
      </w:tabs>
      <w:spacing w:line="240" w:lineRule="auto"/>
    </w:pPr>
  </w:style>
  <w:style w:type="paragraph" w:styleId="11">
    <w:name w:val="header"/>
    <w:basedOn w:val="1"/>
    <w:link w:val="17"/>
    <w:unhideWhenUsed/>
    <w:qFormat/>
    <w:uiPriority w:val="99"/>
    <w:pPr>
      <w:tabs>
        <w:tab w:val="center" w:pos="4513"/>
        <w:tab w:val="right" w:pos="9026"/>
      </w:tabs>
      <w:spacing w:line="240" w:lineRule="auto"/>
    </w:pPr>
  </w:style>
  <w:style w:type="character" w:styleId="12">
    <w:name w:val="Hyperlink"/>
    <w:basedOn w:val="8"/>
    <w:unhideWhenUsed/>
    <w:uiPriority w:val="99"/>
    <w:rPr>
      <w:color w:val="0000FF" w:themeColor="hyperlink"/>
      <w:u w:val="single"/>
      <w14:textFill>
        <w14:solidFill>
          <w14:schemeClr w14:val="hlink"/>
        </w14:solidFill>
      </w14:textFill>
    </w:rPr>
  </w:style>
  <w:style w:type="paragraph" w:styleId="13">
    <w:name w:val="Subtitle"/>
    <w:basedOn w:val="1"/>
    <w:next w:val="1"/>
    <w:qFormat/>
    <w:uiPriority w:val="0"/>
    <w:pPr>
      <w:keepNext/>
      <w:keepLines/>
      <w:spacing w:after="320"/>
    </w:pPr>
    <w:rPr>
      <w:color w:val="666666"/>
      <w:sz w:val="30"/>
      <w:szCs w:val="30"/>
    </w:rPr>
  </w:style>
  <w:style w:type="paragraph" w:styleId="14">
    <w:name w:val="Title"/>
    <w:basedOn w:val="1"/>
    <w:next w:val="1"/>
    <w:qFormat/>
    <w:uiPriority w:val="0"/>
    <w:pPr>
      <w:keepNext/>
      <w:keepLines/>
      <w:spacing w:after="60"/>
    </w:pPr>
    <w:rPr>
      <w:sz w:val="52"/>
      <w:szCs w:val="52"/>
    </w:rPr>
  </w:style>
  <w:style w:type="paragraph" w:styleId="15">
    <w:name w:val="toc 1"/>
    <w:basedOn w:val="1"/>
    <w:next w:val="1"/>
    <w:unhideWhenUsed/>
    <w:qFormat/>
    <w:uiPriority w:val="39"/>
    <w:pPr>
      <w:spacing w:after="100"/>
    </w:pPr>
  </w:style>
  <w:style w:type="paragraph" w:styleId="16">
    <w:name w:val="toc 2"/>
    <w:basedOn w:val="1"/>
    <w:next w:val="1"/>
    <w:unhideWhenUsed/>
    <w:qFormat/>
    <w:uiPriority w:val="39"/>
    <w:pPr>
      <w:spacing w:after="100"/>
      <w:ind w:left="220"/>
    </w:pPr>
  </w:style>
  <w:style w:type="character" w:customStyle="1" w:styleId="17">
    <w:name w:val="Header Char"/>
    <w:basedOn w:val="8"/>
    <w:link w:val="11"/>
    <w:qFormat/>
    <w:uiPriority w:val="99"/>
  </w:style>
  <w:style w:type="character" w:customStyle="1" w:styleId="18">
    <w:name w:val="Footer Char"/>
    <w:basedOn w:val="8"/>
    <w:link w:val="10"/>
    <w:qFormat/>
    <w:uiPriority w:val="99"/>
  </w:style>
  <w:style w:type="paragraph" w:customStyle="1" w:styleId="19">
    <w:name w:val="TOC Heading1"/>
    <w:basedOn w:val="2"/>
    <w:next w:val="1"/>
    <w:unhideWhenUsed/>
    <w:qFormat/>
    <w:uiPriority w:val="39"/>
    <w:pPr>
      <w:spacing w:before="240" w:after="0" w:line="259" w:lineRule="auto"/>
      <w:outlineLvl w:val="9"/>
    </w:pPr>
    <w:rPr>
      <w:rFonts w:asciiTheme="majorHAnsi" w:hAnsiTheme="majorHAnsi" w:eastAsiaTheme="majorEastAsia" w:cstheme="majorBidi"/>
      <w:b w:val="0"/>
      <w:color w:val="376092" w:themeColor="accent1" w:themeShade="BF"/>
      <w:sz w:val="32"/>
      <w:szCs w:val="32"/>
      <w:lang w:val="en-US" w:eastAsia="en-U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DDF880-8665-4B9A-BFCB-CE4FB8E82C9E}">
  <ds:schemaRefs/>
</ds:datastoreItem>
</file>

<file path=docProps/app.xml><?xml version="1.0" encoding="utf-8"?>
<Properties xmlns="http://schemas.openxmlformats.org/officeDocument/2006/extended-properties" xmlns:vt="http://schemas.openxmlformats.org/officeDocument/2006/docPropsVTypes">
  <Template>Normal</Template>
  <Pages>13</Pages>
  <Words>3186</Words>
  <Characters>18076</Characters>
  <Lines>156</Lines>
  <Paragraphs>44</Paragraphs>
  <TotalTime>8</TotalTime>
  <ScaleCrop>false</ScaleCrop>
  <LinksUpToDate>false</LinksUpToDate>
  <CharactersWithSpaces>21252</CharactersWithSpaces>
  <Application>WPS Office_11.2.0.11536_F1E327BC-269C-435d-A152-05C5408002CA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2023-05-10T13:49:00Z</dcterms:created>
  <dc:creator>Rimpal Yadav</dc:creator>
  <cp:lastModifiedBy>Rimpal Yadav</cp:lastModifiedBy>
  <dcterms:modified xsi:type="dcterms:W3CDTF">2023-05-10T14:02:25Z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1033-11.2.0.11536</vt:lpwstr>
  </property>
  <property fmtid="{D5CDD505-2E9C-101B-9397-08002B2CF9AE}" pid="3" name="ICV">
    <vt:lpwstr>2DFBBA09681B41339B5A315210A6B0DE</vt:lpwstr>
  </property>
</Properties>
</file>