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webextensions/webextension3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2A87B0" w14:textId="10A41D11" w:rsidR="00982814" w:rsidRDefault="00711304" w:rsidP="00982814">
      <w:pPr>
        <w:pStyle w:val="Heading1"/>
      </w:pPr>
      <w:r>
        <w:t>Introduction</w:t>
      </w:r>
    </w:p>
    <w:p w14:paraId="0146DBF2" w14:textId="77777777" w:rsidR="00441FF6" w:rsidRDefault="00441FF6" w:rsidP="00441FF6"/>
    <w:p w14:paraId="23C1B3C2" w14:textId="4662B23F" w:rsidR="004701B9" w:rsidRDefault="00441FF6" w:rsidP="00EC2AFB">
      <w:pPr>
        <w:spacing w:line="480" w:lineRule="auto"/>
        <w:jc w:val="both"/>
      </w:pPr>
      <w:r w:rsidRPr="004701B9">
        <w:rPr>
          <w:rFonts w:cstheme="minorHAnsi"/>
        </w:rPr>
        <w:t>Kecia</w:t>
      </w:r>
      <w:r>
        <w:t xml:space="preserve"> Ali, in her </w:t>
      </w:r>
      <w:r w:rsidR="009D57C3">
        <w:t>chapter</w:t>
      </w:r>
      <w:r>
        <w:t xml:space="preserve"> </w:t>
      </w:r>
      <w:r w:rsidRPr="00441FF6">
        <w:t>‘Progressive Muslims and Islamic Jurisprudence</w:t>
      </w:r>
      <w:r>
        <w:t>:</w:t>
      </w:r>
      <w:r w:rsidRPr="00441FF6">
        <w:t xml:space="preserve"> The Necessity for Critical Engagement with Marriage and Divorce Law</w:t>
      </w:r>
      <w:r>
        <w:t>,</w:t>
      </w:r>
      <w:r w:rsidRPr="00441FF6">
        <w:t>’</w:t>
      </w:r>
      <w:r>
        <w:t xml:space="preserve"> </w:t>
      </w:r>
      <w:r w:rsidR="005B6CA3">
        <w:t xml:space="preserve">has made </w:t>
      </w:r>
      <w:r w:rsidR="00353B3F">
        <w:t>several</w:t>
      </w:r>
      <w:r w:rsidR="005B6CA3">
        <w:t xml:space="preserve"> arguments. She has argued that Islamic marriage and divorce laws have been influenced by slavery in the </w:t>
      </w:r>
      <w:r w:rsidR="00A94CDB">
        <w:t>third-century</w:t>
      </w:r>
      <w:r w:rsidR="005B6CA3">
        <w:t xml:space="preserve"> </w:t>
      </w:r>
      <w:r w:rsidR="00A94CDB">
        <w:t>Hijri</w:t>
      </w:r>
      <w:r w:rsidR="005B6CA3">
        <w:t>.</w:t>
      </w:r>
      <w:r w:rsidR="000001B7">
        <w:t xml:space="preserve"> For example</w:t>
      </w:r>
      <w:r w:rsidR="0054145F">
        <w:t>,</w:t>
      </w:r>
      <w:r w:rsidR="000001B7">
        <w:t xml:space="preserve"> she demonstrates that the exchange of the dower grants the husband a form of ownership over the wife, </w:t>
      </w:r>
      <w:r w:rsidR="0054145F">
        <w:t>resembling the master-salve relationship (</w:t>
      </w:r>
      <w:r w:rsidR="0054145F">
        <w:rPr>
          <w:rFonts w:ascii="Calibri" w:eastAsia="Times New Roman" w:hAnsi="Calibri" w:cs="Calibri"/>
          <w:color w:val="000000"/>
        </w:rPr>
        <w:t>Ali, 2003, p. 169)</w:t>
      </w:r>
      <w:r w:rsidR="0054145F">
        <w:t xml:space="preserve">, although there are some differences. She primarily relies on the </w:t>
      </w:r>
      <w:r w:rsidR="00A94CDB">
        <w:t>third-century</w:t>
      </w:r>
      <w:r w:rsidR="0054145F">
        <w:t xml:space="preserve"> Islamic law texts for her arguments.</w:t>
      </w:r>
      <w:r w:rsidR="005B6CA3">
        <w:t xml:space="preserve"> Secondly, she argues that neo-conservative</w:t>
      </w:r>
      <w:r w:rsidR="00353B3F">
        <w:t xml:space="preserve"> scholars</w:t>
      </w:r>
      <w:r w:rsidR="000001B7">
        <w:t xml:space="preserve"> </w:t>
      </w:r>
      <w:r w:rsidR="009D57C3">
        <w:t xml:space="preserve">present views which do not reflect </w:t>
      </w:r>
      <w:r w:rsidR="00353B3F">
        <w:t>the traditional understanding of Islamic law in many aspects</w:t>
      </w:r>
      <w:r w:rsidR="009D57C3">
        <w:t>, s</w:t>
      </w:r>
      <w:r w:rsidR="00353B3F">
        <w:t xml:space="preserve">uch as the role of a woman in the house (ibid, </w:t>
      </w:r>
      <w:r w:rsidR="005F0C24">
        <w:t xml:space="preserve">p. 173). Thirdly she has argued that the approach of feminist apologetics “misses the forest for the trees” (ibid, p. 165). </w:t>
      </w:r>
      <w:r w:rsidR="0042167B">
        <w:t>For example, t</w:t>
      </w:r>
      <w:r w:rsidR="005F0C24">
        <w:t>hey advocate that wom</w:t>
      </w:r>
      <w:r w:rsidR="00EC308C">
        <w:t>e</w:t>
      </w:r>
      <w:r w:rsidR="005F0C24">
        <w:t xml:space="preserve">n can secure </w:t>
      </w:r>
      <w:r w:rsidR="00EC308C">
        <w:t>their</w:t>
      </w:r>
      <w:r w:rsidR="005F0C24">
        <w:t xml:space="preserve"> rights by modifying the marriage contract (ibid)</w:t>
      </w:r>
      <w:r w:rsidR="00EC308C">
        <w:t xml:space="preserve">. </w:t>
      </w:r>
      <w:r w:rsidR="005F0C24">
        <w:t xml:space="preserve">However, by adopting such an approach, they fail to address the core of the matter, i.e. the premise on which the marriage contract is based.  </w:t>
      </w:r>
      <w:r w:rsidR="00EC308C">
        <w:t xml:space="preserve">Ali believes that Islamic marriage law is “compromised beyond </w:t>
      </w:r>
      <w:r w:rsidR="00AF3A4A">
        <w:t>repaired</w:t>
      </w:r>
      <w:r w:rsidR="00EC308C">
        <w:t xml:space="preserve">” (ibid, p. 183) and therefore </w:t>
      </w:r>
      <w:r w:rsidR="00752EAB">
        <w:t>in need of a much more fundamental rethinking.</w:t>
      </w:r>
    </w:p>
    <w:p w14:paraId="3CD13937" w14:textId="1AA1235E" w:rsidR="00982814" w:rsidRDefault="004701B9" w:rsidP="00982814">
      <w:pPr>
        <w:spacing w:line="480" w:lineRule="auto"/>
        <w:jc w:val="both"/>
        <w:rPr>
          <w:rFonts w:cstheme="minorHAnsi"/>
        </w:rPr>
      </w:pPr>
      <w:r w:rsidRPr="00707BFA">
        <w:rPr>
          <w:rFonts w:cstheme="minorHAnsi"/>
        </w:rPr>
        <w:t xml:space="preserve">In this reaction paper, I will be </w:t>
      </w:r>
      <w:r w:rsidR="00752EAB">
        <w:rPr>
          <w:rFonts w:cstheme="minorHAnsi"/>
        </w:rPr>
        <w:t xml:space="preserve">evaluating </w:t>
      </w:r>
      <w:r w:rsidR="0042167B">
        <w:rPr>
          <w:rFonts w:cstheme="minorHAnsi"/>
        </w:rPr>
        <w:t>this</w:t>
      </w:r>
      <w:r w:rsidR="00752EAB">
        <w:rPr>
          <w:rFonts w:cstheme="minorHAnsi"/>
        </w:rPr>
        <w:t xml:space="preserve"> need for a fundamental rethinking of Islamic marriage law.</w:t>
      </w:r>
      <w:r w:rsidR="000F2507">
        <w:rPr>
          <w:rFonts w:cstheme="minorHAnsi"/>
        </w:rPr>
        <w:t xml:space="preserve"> </w:t>
      </w:r>
      <w:r w:rsidR="0016692C">
        <w:rPr>
          <w:rFonts w:cstheme="minorHAnsi"/>
        </w:rPr>
        <w:t xml:space="preserve"> </w:t>
      </w:r>
    </w:p>
    <w:p w14:paraId="3CEB4CFC" w14:textId="11BAD261" w:rsidR="00E058BE" w:rsidRDefault="00EC2AFB" w:rsidP="00E058BE">
      <w:pPr>
        <w:pStyle w:val="Heading1"/>
        <w:rPr>
          <w:rFonts w:cstheme="minorHAnsi"/>
        </w:rPr>
      </w:pPr>
      <w:r>
        <w:rPr>
          <w:rFonts w:cstheme="minorHAnsi"/>
        </w:rPr>
        <w:t>Analysis</w:t>
      </w:r>
    </w:p>
    <w:p w14:paraId="4FC0F799" w14:textId="77777777" w:rsidR="00726AC9" w:rsidRDefault="00726AC9" w:rsidP="0080380F">
      <w:pPr>
        <w:spacing w:line="480" w:lineRule="auto"/>
        <w:jc w:val="both"/>
      </w:pPr>
    </w:p>
    <w:p w14:paraId="0516D626" w14:textId="25F7896E" w:rsidR="00FA6A79" w:rsidRPr="008D60F3" w:rsidRDefault="00AF3A4A" w:rsidP="008D60F3">
      <w:pPr>
        <w:spacing w:line="480" w:lineRule="auto"/>
        <w:jc w:val="both"/>
      </w:pPr>
      <w:r>
        <w:t xml:space="preserve">Ali is correct in her claim that the institution of slavery has </w:t>
      </w:r>
      <w:r w:rsidR="00A94CDB">
        <w:t>influenced</w:t>
      </w:r>
      <w:r>
        <w:t xml:space="preserve"> Islamic marriage law. An examination of the early law manuals, as she has cited, will reveal as such. </w:t>
      </w:r>
      <w:r w:rsidR="006C475C">
        <w:t>I</w:t>
      </w:r>
      <w:r w:rsidR="00A94CDB">
        <w:t>t</w:t>
      </w:r>
      <w:r w:rsidR="006C475C">
        <w:t xml:space="preserve"> can be confidently said that many would not disagree that it is a good thing that slavery was </w:t>
      </w:r>
      <w:r w:rsidR="006C475C">
        <w:lastRenderedPageBreak/>
        <w:t xml:space="preserve">abolished. </w:t>
      </w:r>
      <w:r w:rsidR="00726AC9">
        <w:t>Although, its influence continues to be enshrined in the laws, as she points out, no attempt, thus far has been made to re-examine them.</w:t>
      </w:r>
      <w:r w:rsidR="00FA6A79">
        <w:t xml:space="preserve"> Furthermore, Ali</w:t>
      </w:r>
      <w:r w:rsidR="008D60F3">
        <w:t xml:space="preserve"> </w:t>
      </w:r>
      <w:r w:rsidR="00FA6A79">
        <w:t xml:space="preserve">has also demonstrated the divine </w:t>
      </w:r>
      <w:r w:rsidR="008D60F3">
        <w:t>nature</w:t>
      </w:r>
      <w:r w:rsidR="00FA6A79">
        <w:t xml:space="preserve"> of the </w:t>
      </w:r>
      <w:r w:rsidR="00A94CDB">
        <w:rPr>
          <w:i/>
          <w:iCs/>
        </w:rPr>
        <w:t>Shariah</w:t>
      </w:r>
      <w:r w:rsidR="00D13ACC">
        <w:rPr>
          <w:i/>
          <w:iCs/>
        </w:rPr>
        <w:t xml:space="preserve"> </w:t>
      </w:r>
      <w:r w:rsidR="00D13ACC">
        <w:t>(ibid, p.167)</w:t>
      </w:r>
      <w:r w:rsidR="008D60F3">
        <w:t>. All attempts to understand it (</w:t>
      </w:r>
      <w:proofErr w:type="spellStart"/>
      <w:r w:rsidR="0042167B">
        <w:rPr>
          <w:i/>
          <w:iCs/>
        </w:rPr>
        <w:t>fiqh</w:t>
      </w:r>
      <w:proofErr w:type="spellEnd"/>
      <w:r w:rsidR="008D60F3">
        <w:t xml:space="preserve">) will be human, therefore, fallible, and subject to flaws (ibid). Drawing on this notion of Islamic marriage law not being divine, Saleem </w:t>
      </w:r>
      <w:r w:rsidR="00622333">
        <w:t xml:space="preserve">(2023, p. 294) has posited the possibility of opening the door to debates and discussions around amending such family laws in </w:t>
      </w:r>
      <w:r w:rsidR="00A94CDB">
        <w:t>nation-states</w:t>
      </w:r>
      <w:r w:rsidR="00622333">
        <w:t xml:space="preserve"> where </w:t>
      </w:r>
      <w:r w:rsidR="0042167B">
        <w:t>these laws</w:t>
      </w:r>
      <w:r w:rsidR="00622333">
        <w:t xml:space="preserve"> </w:t>
      </w:r>
      <w:proofErr w:type="gramStart"/>
      <w:r w:rsidR="00622333">
        <w:t>are considered to be</w:t>
      </w:r>
      <w:proofErr w:type="gramEnd"/>
      <w:r w:rsidR="00622333">
        <w:t xml:space="preserve"> divine.</w:t>
      </w:r>
    </w:p>
    <w:p w14:paraId="135B1AD5" w14:textId="582231BE" w:rsidR="00AF3A4A" w:rsidRDefault="00AF3A4A" w:rsidP="0080380F">
      <w:pPr>
        <w:spacing w:line="480" w:lineRule="auto"/>
        <w:jc w:val="both"/>
      </w:pPr>
    </w:p>
    <w:p w14:paraId="66EAE552" w14:textId="74A334B8" w:rsidR="0021649D" w:rsidRDefault="00622333" w:rsidP="0080380F">
      <w:pPr>
        <w:spacing w:line="480" w:lineRule="auto"/>
        <w:jc w:val="both"/>
      </w:pPr>
      <w:r>
        <w:t>Th</w:t>
      </w:r>
      <w:r w:rsidR="00D13ACC">
        <w:t>at</w:t>
      </w:r>
      <w:r>
        <w:t xml:space="preserve"> said</w:t>
      </w:r>
      <w:r w:rsidR="000F2507">
        <w:t>,</w:t>
      </w:r>
      <w:r>
        <w:t xml:space="preserve"> Ali is advocating for the rethinking of Islamic marriage law due to the influence of the institution of slavery. However,</w:t>
      </w:r>
      <w:r w:rsidR="0030107D" w:rsidRPr="0030107D">
        <w:t xml:space="preserve"> </w:t>
      </w:r>
      <w:r w:rsidR="000F2507">
        <w:t>many</w:t>
      </w:r>
      <w:r w:rsidR="0030107D">
        <w:t xml:space="preserve"> of the other laws have also been influenced by the circumstances of the earlier period.</w:t>
      </w:r>
      <w:r>
        <w:t xml:space="preserve"> Therefore, </w:t>
      </w:r>
      <w:r w:rsidR="0030107D">
        <w:t>they would also require the same scrutiny as the marriage laws. To attempt a rethinking of the entire corpus of Islamic law is a momentous task. Whil</w:t>
      </w:r>
      <w:r w:rsidR="00D13ACC">
        <w:t>st</w:t>
      </w:r>
      <w:r w:rsidR="0030107D">
        <w:t xml:space="preserve"> this may not be a weakness to her argument, there will most surely be limitations in </w:t>
      </w:r>
      <w:r w:rsidR="00D13ACC">
        <w:t>attempting</w:t>
      </w:r>
      <w:r w:rsidR="0030107D">
        <w:t xml:space="preserve"> this. </w:t>
      </w:r>
      <w:r w:rsidR="00D13ACC">
        <w:t xml:space="preserve">Furthermore, </w:t>
      </w:r>
      <w:r w:rsidR="0030107D">
        <w:t xml:space="preserve">Ali has not provided a clear methodology </w:t>
      </w:r>
      <w:r w:rsidR="000F2507">
        <w:t>for</w:t>
      </w:r>
      <w:r w:rsidR="0030107D">
        <w:t xml:space="preserve"> achieving this, there is much clarification required</w:t>
      </w:r>
      <w:r w:rsidR="00AD3F5D">
        <w:t xml:space="preserve"> </w:t>
      </w:r>
      <w:r w:rsidR="000F2507">
        <w:t>for</w:t>
      </w:r>
      <w:r w:rsidR="00AD3F5D">
        <w:t xml:space="preserve"> many crucial questions</w:t>
      </w:r>
      <w:r w:rsidR="0030107D">
        <w:t xml:space="preserve">. For example, Ali has </w:t>
      </w:r>
      <w:r w:rsidR="00A72F57">
        <w:t xml:space="preserve">suggested </w:t>
      </w:r>
      <w:r w:rsidR="000F2507">
        <w:t>starting</w:t>
      </w:r>
      <w:r w:rsidR="00A72F57">
        <w:t xml:space="preserve"> with a “fresh approach to the Qur’an” (Ali, 2003, p. 181). </w:t>
      </w:r>
      <w:r w:rsidR="0021649D">
        <w:t>However, a methodology for this approach has not been suggested.</w:t>
      </w:r>
    </w:p>
    <w:p w14:paraId="016BAC1A" w14:textId="77777777" w:rsidR="00892396" w:rsidRDefault="00892396" w:rsidP="0080380F">
      <w:pPr>
        <w:spacing w:line="480" w:lineRule="auto"/>
        <w:jc w:val="both"/>
      </w:pPr>
    </w:p>
    <w:p w14:paraId="452C5AB9" w14:textId="5BF155E8" w:rsidR="0001468E" w:rsidRDefault="00A72F57" w:rsidP="0001468E">
      <w:pPr>
        <w:spacing w:line="480" w:lineRule="auto"/>
        <w:jc w:val="both"/>
        <w:rPr>
          <w:rFonts w:ascii="Calibri" w:eastAsia="Times New Roman" w:hAnsi="Calibri" w:cs="Calibri"/>
          <w:color w:val="000000"/>
        </w:rPr>
      </w:pPr>
      <w:r>
        <w:t>On the one hand</w:t>
      </w:r>
      <w:r w:rsidR="000F2507">
        <w:t>,</w:t>
      </w:r>
      <w:r>
        <w:t xml:space="preserve"> is the approach of </w:t>
      </w:r>
      <w:proofErr w:type="spellStart"/>
      <w:r w:rsidR="00AD3F5D">
        <w:t>Esack</w:t>
      </w:r>
      <w:proofErr w:type="spellEnd"/>
      <w:r w:rsidR="00AD3F5D">
        <w:t xml:space="preserve"> </w:t>
      </w:r>
      <w:r w:rsidR="0084148C">
        <w:t>(</w:t>
      </w:r>
      <w:proofErr w:type="spellStart"/>
      <w:r w:rsidR="0084148C" w:rsidRPr="0084148C">
        <w:t>Rahemtulla</w:t>
      </w:r>
      <w:proofErr w:type="spellEnd"/>
      <w:r w:rsidR="0084148C">
        <w:t>, 2017, p.16)</w:t>
      </w:r>
      <w:r w:rsidR="00AD3F5D">
        <w:t xml:space="preserve">, who is primarily interested in the </w:t>
      </w:r>
      <w:r w:rsidR="00D13ACC">
        <w:t>‘</w:t>
      </w:r>
      <w:r w:rsidR="00AD3F5D">
        <w:t>immediate present</w:t>
      </w:r>
      <w:r w:rsidR="00D13ACC">
        <w:t>’</w:t>
      </w:r>
      <w:r w:rsidR="00AD3F5D">
        <w:t xml:space="preserve"> in his</w:t>
      </w:r>
      <w:r w:rsidR="008F30EF">
        <w:t xml:space="preserve"> hermeneutical</w:t>
      </w:r>
      <w:r w:rsidR="00AD3F5D">
        <w:t xml:space="preserve"> approach.</w:t>
      </w:r>
      <w:r w:rsidR="0084148C">
        <w:t xml:space="preserve"> </w:t>
      </w:r>
      <w:proofErr w:type="spellStart"/>
      <w:r w:rsidR="0084148C">
        <w:t>Esack</w:t>
      </w:r>
      <w:proofErr w:type="spellEnd"/>
      <w:r w:rsidR="0084148C">
        <w:t xml:space="preserve"> actively privileges, in his reading of the Qur’an, the </w:t>
      </w:r>
      <w:r w:rsidR="005A7D91">
        <w:t>context</w:t>
      </w:r>
      <w:r w:rsidR="0084148C">
        <w:t xml:space="preserve"> of the poor and the </w:t>
      </w:r>
      <w:r w:rsidR="0021649D">
        <w:t xml:space="preserve">oppressed over others </w:t>
      </w:r>
      <w:r w:rsidR="0084148C">
        <w:t>(ibid, p. 19</w:t>
      </w:r>
      <w:r w:rsidR="00924E53">
        <w:t xml:space="preserve">). </w:t>
      </w:r>
      <w:r w:rsidR="0021649D">
        <w:t>On the other hand, is the double movement theory of Fazlur Rahman</w:t>
      </w:r>
      <w:r w:rsidR="0021649D">
        <w:rPr>
          <w:rFonts w:ascii="Calibri" w:eastAsia="Times New Roman" w:hAnsi="Calibri" w:cs="Calibri"/>
          <w:color w:val="000000"/>
        </w:rPr>
        <w:t xml:space="preserve">, who </w:t>
      </w:r>
      <w:r w:rsidR="005A7D91">
        <w:rPr>
          <w:rFonts w:ascii="Calibri" w:eastAsia="Times New Roman" w:hAnsi="Calibri" w:cs="Calibri"/>
          <w:color w:val="000000"/>
        </w:rPr>
        <w:t>favours the</w:t>
      </w:r>
      <w:r w:rsidR="0021649D">
        <w:rPr>
          <w:rFonts w:ascii="Calibri" w:eastAsia="Times New Roman" w:hAnsi="Calibri" w:cs="Calibri"/>
          <w:color w:val="000000"/>
        </w:rPr>
        <w:t xml:space="preserve"> context</w:t>
      </w:r>
      <w:r w:rsidR="005A7D91">
        <w:rPr>
          <w:rFonts w:ascii="Calibri" w:eastAsia="Times New Roman" w:hAnsi="Calibri" w:cs="Calibri"/>
          <w:color w:val="000000"/>
        </w:rPr>
        <w:t xml:space="preserve"> of the time of revelation,</w:t>
      </w:r>
      <w:r w:rsidR="0021649D">
        <w:rPr>
          <w:rFonts w:ascii="Calibri" w:eastAsia="Times New Roman" w:hAnsi="Calibri" w:cs="Calibri"/>
          <w:color w:val="000000"/>
        </w:rPr>
        <w:t xml:space="preserve"> as opposed to </w:t>
      </w:r>
      <w:proofErr w:type="spellStart"/>
      <w:r w:rsidR="0021649D">
        <w:rPr>
          <w:rFonts w:ascii="Calibri" w:eastAsia="Times New Roman" w:hAnsi="Calibri" w:cs="Calibri"/>
          <w:color w:val="000000"/>
        </w:rPr>
        <w:t>Esack</w:t>
      </w:r>
      <w:proofErr w:type="spellEnd"/>
      <w:r w:rsidR="0021649D">
        <w:rPr>
          <w:rFonts w:ascii="Calibri" w:eastAsia="Times New Roman" w:hAnsi="Calibri" w:cs="Calibri"/>
          <w:color w:val="000000"/>
        </w:rPr>
        <w:t xml:space="preserve">. Rahman’s (1982, p.5) </w:t>
      </w:r>
      <w:r w:rsidR="001055EE">
        <w:rPr>
          <w:rFonts w:ascii="Calibri" w:eastAsia="Times New Roman" w:hAnsi="Calibri" w:cs="Calibri"/>
          <w:color w:val="000000"/>
        </w:rPr>
        <w:t>theory</w:t>
      </w:r>
      <w:r w:rsidR="0001468E">
        <w:rPr>
          <w:rFonts w:ascii="Calibri" w:eastAsia="Times New Roman" w:hAnsi="Calibri" w:cs="Calibri"/>
          <w:color w:val="000000"/>
        </w:rPr>
        <w:t xml:space="preserve"> is</w:t>
      </w:r>
      <w:r w:rsidR="00CC61E4">
        <w:rPr>
          <w:rFonts w:ascii="Calibri" w:eastAsia="Times New Roman" w:hAnsi="Calibri" w:cs="Calibri"/>
          <w:color w:val="000000"/>
        </w:rPr>
        <w:t xml:space="preserve"> the hermeneutic ‘movement’</w:t>
      </w:r>
      <w:r w:rsidR="001055EE">
        <w:rPr>
          <w:rFonts w:ascii="Calibri" w:eastAsia="Times New Roman" w:hAnsi="Calibri" w:cs="Calibri"/>
          <w:color w:val="000000"/>
        </w:rPr>
        <w:t xml:space="preserve"> “from </w:t>
      </w:r>
      <w:r w:rsidR="0001468E">
        <w:rPr>
          <w:rFonts w:ascii="Calibri" w:eastAsia="Times New Roman" w:hAnsi="Calibri" w:cs="Calibri"/>
          <w:color w:val="000000"/>
        </w:rPr>
        <w:t xml:space="preserve">the present situation to the Qur’anic times, then back to the </w:t>
      </w:r>
      <w:r w:rsidR="0001468E">
        <w:rPr>
          <w:rFonts w:ascii="Calibri" w:eastAsia="Times New Roman" w:hAnsi="Calibri" w:cs="Calibri"/>
          <w:color w:val="000000"/>
        </w:rPr>
        <w:lastRenderedPageBreak/>
        <w:t xml:space="preserve">present.” Then there is the ‘First Message &amp; Second Message’ theory of Taha  </w:t>
      </w:r>
      <w:sdt>
        <w:sdtPr>
          <w:rPr>
            <w:rFonts w:ascii="Calibri" w:eastAsia="Times New Roman" w:hAnsi="Calibri" w:cs="Calibri"/>
            <w:color w:val="000000"/>
            <w:highlight w:val="white"/>
          </w:rPr>
          <w:alias w:val="Citation"/>
          <w:tag w:val="{&quot;referencesIds&quot;:[&quot;doc:6578cf80bbedef09c0c2ce96&quot;],&quot;referencesOptions&quot;:{&quot;doc:6578cf80bbedef09c0c2ce9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25134764"/>
          <w:placeholder>
            <w:docPart w:val="F42930D2AE738844898C9D5C42961AFD"/>
          </w:placeholder>
        </w:sdtPr>
        <w:sdtContent>
          <w:r w:rsidR="006D3AF7">
            <w:rPr>
              <w:rFonts w:ascii="Calibri" w:eastAsia="Times New Roman" w:hAnsi="Calibri" w:cs="Calibri"/>
              <w:color w:val="000000"/>
            </w:rPr>
            <w:t>(Taha &amp; An-</w:t>
          </w:r>
          <w:proofErr w:type="gramStart"/>
          <w:r w:rsidR="006D3AF7">
            <w:rPr>
              <w:rFonts w:ascii="Calibri" w:eastAsia="Times New Roman" w:hAnsi="Calibri" w:cs="Calibri"/>
              <w:color w:val="000000"/>
            </w:rPr>
            <w:t>Na‘</w:t>
          </w:r>
          <w:proofErr w:type="gramEnd"/>
          <w:r w:rsidR="006D3AF7">
            <w:rPr>
              <w:rFonts w:ascii="Calibri" w:eastAsia="Times New Roman" w:hAnsi="Calibri" w:cs="Calibri"/>
              <w:color w:val="000000"/>
            </w:rPr>
            <w:t>im, 1987)</w:t>
          </w:r>
        </w:sdtContent>
      </w:sdt>
      <w:r w:rsidR="0001468E">
        <w:rPr>
          <w:rFonts w:ascii="Calibri" w:eastAsia="Times New Roman" w:hAnsi="Calibri" w:cs="Calibri"/>
          <w:color w:val="000000"/>
        </w:rPr>
        <w:t xml:space="preserve"> in which he believes that the Meccan verses are to be privileged. This </w:t>
      </w:r>
      <w:r w:rsidR="00F43B25">
        <w:rPr>
          <w:rFonts w:ascii="Calibri" w:eastAsia="Times New Roman" w:hAnsi="Calibri" w:cs="Calibri"/>
          <w:color w:val="000000"/>
        </w:rPr>
        <w:t>demonstrates</w:t>
      </w:r>
      <w:r w:rsidR="0001468E">
        <w:rPr>
          <w:rFonts w:ascii="Calibri" w:eastAsia="Times New Roman" w:hAnsi="Calibri" w:cs="Calibri"/>
          <w:color w:val="000000"/>
        </w:rPr>
        <w:t xml:space="preserve"> the </w:t>
      </w:r>
      <w:r w:rsidR="00F43B25" w:rsidRPr="00F43B25">
        <w:rPr>
          <w:rFonts w:ascii="Calibri" w:eastAsia="Times New Roman" w:hAnsi="Calibri" w:cs="Calibri"/>
          <w:color w:val="000000"/>
        </w:rPr>
        <w:t>diversity of hermeneutical approaches amongst progressive scholars</w:t>
      </w:r>
      <w:r w:rsidR="00F43B25">
        <w:rPr>
          <w:rFonts w:ascii="Calibri" w:eastAsia="Times New Roman" w:hAnsi="Calibri" w:cs="Calibri"/>
          <w:color w:val="000000"/>
        </w:rPr>
        <w:t xml:space="preserve"> with which they can reach very different interpretations</w:t>
      </w:r>
      <w:r w:rsidR="00F43B25" w:rsidRPr="00F43B25">
        <w:rPr>
          <w:rFonts w:ascii="Calibri" w:eastAsia="Times New Roman" w:hAnsi="Calibri" w:cs="Calibri"/>
          <w:color w:val="000000"/>
        </w:rPr>
        <w:t>.</w:t>
      </w:r>
      <w:r w:rsidR="00F43B25">
        <w:rPr>
          <w:rFonts w:ascii="Calibri" w:eastAsia="Times New Roman" w:hAnsi="Calibri" w:cs="Calibri"/>
          <w:color w:val="000000"/>
        </w:rPr>
        <w:t xml:space="preserve"> Thus, the fresh approach to the Qur’an is not a straightforward task.</w:t>
      </w:r>
    </w:p>
    <w:p w14:paraId="6D35A585" w14:textId="6C9D96AE" w:rsidR="009E7096" w:rsidRDefault="009E7096" w:rsidP="0021649D">
      <w:pPr>
        <w:spacing w:line="480" w:lineRule="auto"/>
        <w:jc w:val="both"/>
      </w:pPr>
    </w:p>
    <w:p w14:paraId="226816A5" w14:textId="2DB4D2C2" w:rsidR="002D3D97" w:rsidRDefault="00F43B25" w:rsidP="00274E28">
      <w:pPr>
        <w:spacing w:line="480" w:lineRule="auto"/>
        <w:jc w:val="both"/>
      </w:pPr>
      <w:r>
        <w:t>There remains a fundamental question to be asked</w:t>
      </w:r>
      <w:r w:rsidR="00236EA7">
        <w:t>,</w:t>
      </w:r>
      <w:r>
        <w:t xml:space="preserve"> </w:t>
      </w:r>
      <w:r w:rsidR="00236EA7">
        <w:t>i</w:t>
      </w:r>
      <w:r>
        <w:t xml:space="preserve">s there a real need to rethink </w:t>
      </w:r>
      <w:r w:rsidR="00236EA7">
        <w:t>Islamic laws?</w:t>
      </w:r>
      <w:r w:rsidR="00096BAB">
        <w:t xml:space="preserve"> </w:t>
      </w:r>
      <w:r w:rsidR="00CA4C8C">
        <w:t>The foundational themes in progress</w:t>
      </w:r>
      <w:r w:rsidR="0042167B">
        <w:t xml:space="preserve"> Muslim</w:t>
      </w:r>
      <w:r w:rsidR="00CA4C8C">
        <w:t xml:space="preserve"> discourses are that of social justice, plurality, and gender justice</w:t>
      </w:r>
      <w:r w:rsidR="005A7D91">
        <w:rPr>
          <w:rFonts w:ascii="Calibri" w:eastAsia="Times New Roman" w:hAnsi="Calibri" w:cs="Calibri"/>
          <w:color w:val="000000"/>
        </w:rPr>
        <w:t xml:space="preserve"> (Safi, 2003, p. 2)</w:t>
      </w:r>
      <w:r w:rsidR="00CA4C8C">
        <w:t xml:space="preserve">. </w:t>
      </w:r>
      <w:r w:rsidR="005A7D91">
        <w:t xml:space="preserve">The assumption is that Ali is looking for an alternative set of marriage laws </w:t>
      </w:r>
      <w:r w:rsidR="000F2507">
        <w:t>that</w:t>
      </w:r>
      <w:r w:rsidR="005A7D91">
        <w:t xml:space="preserve"> will embody these fundamental themes. Hence, i</w:t>
      </w:r>
      <w:r w:rsidR="00CA4C8C">
        <w:t xml:space="preserve">f these themes can be realised in secular law, </w:t>
      </w:r>
      <w:r w:rsidR="0042167B">
        <w:t>it is not clear in the need for rethinking of these laws is warranted.</w:t>
      </w:r>
      <w:r w:rsidR="005A7D91">
        <w:t xml:space="preserve"> For example, the marriage laws in the United Kingdom. </w:t>
      </w:r>
      <w:r w:rsidR="007A1E92">
        <w:t>Removing</w:t>
      </w:r>
      <w:r w:rsidR="005A7D91">
        <w:t xml:space="preserve"> the Islamic concept of the dower, British marriage </w:t>
      </w:r>
      <w:r w:rsidR="002D3D97">
        <w:t xml:space="preserve">law denies </w:t>
      </w:r>
      <w:r w:rsidR="00274E28" w:rsidRPr="00274E28">
        <w:t>both spouses the 'right' for unilateral divorce</w:t>
      </w:r>
      <w:r w:rsidR="0024276D">
        <w:t xml:space="preserve">, </w:t>
      </w:r>
      <w:r w:rsidR="00274E28" w:rsidRPr="00274E28">
        <w:t xml:space="preserve">unlike in classical Islamic </w:t>
      </w:r>
      <w:proofErr w:type="spellStart"/>
      <w:r w:rsidR="00274E28" w:rsidRPr="00274E28">
        <w:rPr>
          <w:i/>
          <w:iCs/>
        </w:rPr>
        <w:t>fiqh</w:t>
      </w:r>
      <w:proofErr w:type="spellEnd"/>
      <w:r w:rsidR="00274E28" w:rsidRPr="00274E28">
        <w:t xml:space="preserve"> which </w:t>
      </w:r>
      <w:r w:rsidR="0024276D">
        <w:t xml:space="preserve">only </w:t>
      </w:r>
      <w:r w:rsidR="00274E28" w:rsidRPr="00274E28">
        <w:t>awards the husband this right</w:t>
      </w:r>
      <w:r w:rsidR="00FA6AB8">
        <w:t xml:space="preserve"> (Ali, 2003, p.168)</w:t>
      </w:r>
      <w:r w:rsidR="007A1E92">
        <w:t xml:space="preserve">. </w:t>
      </w:r>
      <w:r w:rsidR="005A7D91">
        <w:t xml:space="preserve"> </w:t>
      </w:r>
      <w:r w:rsidR="002D3D97">
        <w:t>Considering the above</w:t>
      </w:r>
      <w:r w:rsidR="007A1E92">
        <w:t xml:space="preserve">, </w:t>
      </w:r>
      <w:r w:rsidR="002D3D97">
        <w:t>I think these secular laws can be adopted instead of having to rethink Islamic law.</w:t>
      </w:r>
    </w:p>
    <w:p w14:paraId="3338D571" w14:textId="77777777" w:rsidR="007A1E92" w:rsidRDefault="007A1E92" w:rsidP="005A7D91">
      <w:pPr>
        <w:spacing w:line="480" w:lineRule="auto"/>
        <w:jc w:val="both"/>
      </w:pPr>
    </w:p>
    <w:p w14:paraId="22A52D25" w14:textId="29B05125" w:rsidR="00AD4EAE" w:rsidRDefault="007A1E92" w:rsidP="00892396">
      <w:pPr>
        <w:spacing w:line="480" w:lineRule="auto"/>
        <w:jc w:val="both"/>
      </w:pPr>
      <w:r>
        <w:t xml:space="preserve">This then leads to another discussion. </w:t>
      </w:r>
      <w:r w:rsidR="00AD4EAE">
        <w:t xml:space="preserve">Given that certain secular laws, such as those relating to marriage and divorce, are in line with the </w:t>
      </w:r>
      <w:r w:rsidR="003658E4">
        <w:t>progressive Muslim understanding, and therefore, revelation-based may not be required to uphold this worldview and values (aforementioned).</w:t>
      </w:r>
    </w:p>
    <w:p w14:paraId="2315E738" w14:textId="62A30289" w:rsidR="00F43B25" w:rsidRDefault="007A1E92" w:rsidP="00892396">
      <w:pPr>
        <w:spacing w:line="480" w:lineRule="auto"/>
        <w:jc w:val="both"/>
      </w:pPr>
      <w:r>
        <w:t xml:space="preserve">If the progressive Islamic worldview </w:t>
      </w:r>
      <w:r w:rsidR="00892396">
        <w:t xml:space="preserve">is reflected in secular laws, then is revelation needed to uphold </w:t>
      </w:r>
      <w:r w:rsidR="00AD4EAE">
        <w:t>this worldview which is founded on the values mentioned above</w:t>
      </w:r>
      <w:r w:rsidR="00892396">
        <w:t xml:space="preserve"> in the form of laws? Therefore, coming back to the question, is there a need for the rethinking of Islamic law from a progressive paradigm? This is not to imply that the Qur’an is made </w:t>
      </w:r>
      <w:r w:rsidR="00A62904">
        <w:t xml:space="preserve">redundant but perhaps </w:t>
      </w:r>
      <w:r w:rsidR="00A62904">
        <w:lastRenderedPageBreak/>
        <w:t>from the progressive worldview, it is no longer the source of specific legislation. The Quran will continue to play a huge role, but in a non-legislative manner, such as promoting kindness, love, mercy, etc.</w:t>
      </w:r>
    </w:p>
    <w:p w14:paraId="1AB60C62" w14:textId="04C000F7" w:rsidR="00892396" w:rsidRDefault="00892396" w:rsidP="00892396">
      <w:pPr>
        <w:pStyle w:val="Heading1"/>
        <w:rPr>
          <w:rFonts w:cstheme="minorHAnsi"/>
        </w:rPr>
      </w:pPr>
      <w:r>
        <w:rPr>
          <w:rFonts w:cstheme="minorHAnsi"/>
        </w:rPr>
        <w:t>Conclusion</w:t>
      </w:r>
    </w:p>
    <w:p w14:paraId="249B1CDA" w14:textId="77777777" w:rsidR="00F43B25" w:rsidRDefault="00F43B25" w:rsidP="0080380F">
      <w:pPr>
        <w:spacing w:line="480" w:lineRule="auto"/>
        <w:jc w:val="both"/>
      </w:pPr>
    </w:p>
    <w:p w14:paraId="5C8094DA" w14:textId="0DD4E126" w:rsidR="00F43B25" w:rsidRDefault="00A62904" w:rsidP="002E7280">
      <w:pPr>
        <w:spacing w:line="480" w:lineRule="auto"/>
        <w:jc w:val="both"/>
      </w:pPr>
      <w:r>
        <w:t xml:space="preserve">Ali has made a very compelling academic argument about the influence </w:t>
      </w:r>
      <w:r w:rsidR="002E7280" w:rsidRPr="002E7280">
        <w:t>of slavery on classical Islamic marriage and divorce laws</w:t>
      </w:r>
      <w:r>
        <w:t>. However, he</w:t>
      </w:r>
      <w:r w:rsidR="00D67847">
        <w:t>r</w:t>
      </w:r>
      <w:r>
        <w:t xml:space="preserve"> proposal of rethinking Islamic marriage law, and by extension the entire body of Islamic law, is not without its limitations and challenges. </w:t>
      </w:r>
      <w:r w:rsidR="00D67847">
        <w:t>Further clarification is required for many vital questions.</w:t>
      </w:r>
      <w:r w:rsidR="00A94CDB">
        <w:t xml:space="preserve"> To list a few:</w:t>
      </w:r>
      <w:r w:rsidR="00D67847">
        <w:t xml:space="preserve"> </w:t>
      </w:r>
      <w:r w:rsidR="00A94CDB">
        <w:t>w</w:t>
      </w:r>
      <w:r w:rsidR="00D67847">
        <w:t xml:space="preserve">hich hermeneutical approach is to be </w:t>
      </w:r>
      <w:r w:rsidR="002E7280">
        <w:t>used</w:t>
      </w:r>
      <w:r w:rsidR="00D67847">
        <w:t xml:space="preserve"> when engaging the Qur’an? What is to be done with the corpus of Hadith? It is well known that the classical jurists would approach the texts applying </w:t>
      </w:r>
      <w:proofErr w:type="spellStart"/>
      <w:r w:rsidR="00D67847">
        <w:rPr>
          <w:i/>
          <w:iCs/>
        </w:rPr>
        <w:t>usool</w:t>
      </w:r>
      <w:proofErr w:type="spellEnd"/>
      <w:r w:rsidR="00D67847">
        <w:rPr>
          <w:i/>
          <w:iCs/>
        </w:rPr>
        <w:t xml:space="preserve"> al-</w:t>
      </w:r>
      <w:proofErr w:type="spellStart"/>
      <w:r w:rsidR="00D67847">
        <w:rPr>
          <w:i/>
          <w:iCs/>
        </w:rPr>
        <w:t>fiqh</w:t>
      </w:r>
      <w:proofErr w:type="spellEnd"/>
      <w:r w:rsidR="00D67847">
        <w:t>, albeit it was influenced by slavery, nevertheless</w:t>
      </w:r>
      <w:r w:rsidR="000F2507">
        <w:t>,</w:t>
      </w:r>
      <w:r w:rsidR="00D67847">
        <w:t xml:space="preserve"> it was a systematic approach. </w:t>
      </w:r>
      <w:proofErr w:type="gramStart"/>
      <w:r w:rsidR="002E7280">
        <w:t>In light of</w:t>
      </w:r>
      <w:proofErr w:type="gramEnd"/>
      <w:r w:rsidR="002E7280">
        <w:t xml:space="preserve"> the arguments developed in this reaction paper, there remains the question </w:t>
      </w:r>
      <w:r w:rsidR="006D3AF7">
        <w:t>of the</w:t>
      </w:r>
      <w:r w:rsidR="002E7280">
        <w:t xml:space="preserve"> achievability of the rethinking of classical </w:t>
      </w:r>
      <w:proofErr w:type="spellStart"/>
      <w:r w:rsidR="002E7280">
        <w:rPr>
          <w:i/>
          <w:iCs/>
        </w:rPr>
        <w:t>fiqh</w:t>
      </w:r>
      <w:proofErr w:type="spellEnd"/>
      <w:r w:rsidR="002E7280">
        <w:t>.</w:t>
      </w:r>
      <w:r w:rsidR="00A94CDB">
        <w:t xml:space="preserve">  </w:t>
      </w:r>
      <w:r>
        <w:t xml:space="preserve">Perhaps, it is for this very reason </w:t>
      </w:r>
      <w:r w:rsidR="000E4989">
        <w:t>she has abstained from suggesting a methodology to achieve this</w:t>
      </w:r>
      <w:r w:rsidR="00A94CDB">
        <w:t xml:space="preserve"> rethinking</w:t>
      </w:r>
      <w:r w:rsidR="000E4989">
        <w:t xml:space="preserve">. </w:t>
      </w:r>
      <w:r w:rsidR="002E7280">
        <w:t xml:space="preserve"> </w:t>
      </w:r>
      <w:r w:rsidR="006D3AF7">
        <w:t xml:space="preserve">   </w:t>
      </w:r>
    </w:p>
    <w:p w14:paraId="79F5FBCA" w14:textId="1EDCC825" w:rsidR="008D60F3" w:rsidRDefault="00A94CDB" w:rsidP="00A94CDB">
      <w:pPr>
        <w:pStyle w:val="NormalWeb"/>
        <w:spacing w:line="480" w:lineRule="auto"/>
        <w:jc w:val="center"/>
        <w:divId w:val="2049062706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References</w:t>
      </w:r>
    </w:p>
    <w:p w14:paraId="1743776B" w14:textId="638886C7" w:rsidR="0016692C" w:rsidRPr="00A94CDB" w:rsidRDefault="0016692C" w:rsidP="0016692C">
      <w:pPr>
        <w:pStyle w:val="NormalWeb"/>
        <w:spacing w:line="480" w:lineRule="auto"/>
        <w:ind w:left="450" w:hanging="450"/>
        <w:divId w:val="2049062706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Ali, K. (2003). </w:t>
      </w:r>
      <w:r w:rsidR="002E7280">
        <w:rPr>
          <w:rFonts w:ascii="Calibri" w:hAnsi="Calibri" w:cs="Calibri"/>
          <w:color w:val="000000"/>
        </w:rPr>
        <w:t>‘</w:t>
      </w:r>
      <w:r>
        <w:rPr>
          <w:rFonts w:ascii="Calibri" w:hAnsi="Calibri" w:cs="Calibri"/>
          <w:color w:val="000000"/>
        </w:rPr>
        <w:t>Progressive Muslims and Islamic Jurisprudence: The Necessity for Critical Engagement with Marriage and Divorce Law.</w:t>
      </w:r>
      <w:r w:rsidR="002E7280">
        <w:rPr>
          <w:rFonts w:ascii="Calibri" w:hAnsi="Calibri" w:cs="Calibri"/>
          <w:color w:val="000000"/>
        </w:rPr>
        <w:t>’</w:t>
      </w:r>
      <w:r>
        <w:rPr>
          <w:rFonts w:ascii="Calibri" w:hAnsi="Calibri" w:cs="Calibri"/>
          <w:color w:val="000000"/>
        </w:rPr>
        <w:t xml:space="preserve"> In O. Safi (Ed.), </w:t>
      </w:r>
      <w:r>
        <w:rPr>
          <w:rFonts w:ascii="Calibri" w:hAnsi="Calibri" w:cs="Calibri"/>
          <w:i/>
          <w:iCs/>
          <w:color w:val="000000"/>
        </w:rPr>
        <w:t>Progressive Muslims</w:t>
      </w:r>
      <w:r>
        <w:rPr>
          <w:rFonts w:ascii="Calibri" w:hAnsi="Calibri" w:cs="Calibri"/>
          <w:color w:val="000000"/>
        </w:rPr>
        <w:t xml:space="preserve"> (pp. 163-189). </w:t>
      </w:r>
      <w:proofErr w:type="spellStart"/>
      <w:r>
        <w:rPr>
          <w:rFonts w:ascii="Calibri" w:hAnsi="Calibri" w:cs="Calibri"/>
          <w:color w:val="000000"/>
        </w:rPr>
        <w:t>OneWorld</w:t>
      </w:r>
      <w:proofErr w:type="spellEnd"/>
      <w:r>
        <w:rPr>
          <w:rFonts w:ascii="Calibri" w:hAnsi="Calibri" w:cs="Calibri"/>
          <w:color w:val="000000"/>
        </w:rPr>
        <w:t xml:space="preserve">. </w:t>
      </w:r>
    </w:p>
    <w:p w14:paraId="1AFB9D66" w14:textId="2237BB32" w:rsidR="0044489B" w:rsidRDefault="0044489B" w:rsidP="0044489B">
      <w:pPr>
        <w:pStyle w:val="NormalWeb"/>
        <w:spacing w:line="480" w:lineRule="auto"/>
        <w:ind w:left="450" w:hanging="450"/>
        <w:divId w:val="2049062706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Rahman, F. (1982). </w:t>
      </w:r>
      <w:r>
        <w:rPr>
          <w:rFonts w:ascii="Calibri" w:hAnsi="Calibri" w:cs="Calibri"/>
          <w:i/>
          <w:iCs/>
          <w:color w:val="000000"/>
        </w:rPr>
        <w:t>Islam and modernity: Transformation of an intellectual tradition</w:t>
      </w:r>
      <w:r>
        <w:rPr>
          <w:rFonts w:ascii="Calibri" w:hAnsi="Calibri" w:cs="Calibri"/>
          <w:color w:val="000000"/>
        </w:rPr>
        <w:t xml:space="preserve">. University of Chicago Press. </w:t>
      </w:r>
    </w:p>
    <w:p w14:paraId="73120980" w14:textId="730E7CB3" w:rsidR="006D3AF7" w:rsidRDefault="006D3AF7" w:rsidP="006D3AF7">
      <w:pPr>
        <w:pStyle w:val="NormalWeb"/>
        <w:spacing w:line="480" w:lineRule="auto"/>
        <w:ind w:left="450" w:hanging="450"/>
        <w:divId w:val="2049062706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lastRenderedPageBreak/>
        <w:t xml:space="preserve">Safi, O. (2003). </w:t>
      </w:r>
      <w:r>
        <w:rPr>
          <w:rFonts w:ascii="Calibri" w:hAnsi="Calibri" w:cs="Calibri"/>
          <w:color w:val="000000"/>
        </w:rPr>
        <w:t>‘</w:t>
      </w:r>
      <w:r>
        <w:rPr>
          <w:rFonts w:ascii="Calibri" w:hAnsi="Calibri" w:cs="Calibri"/>
          <w:color w:val="000000"/>
        </w:rPr>
        <w:t>Introduction: The times they are a-</w:t>
      </w:r>
      <w:proofErr w:type="spellStart"/>
      <w:r>
        <w:rPr>
          <w:rFonts w:ascii="Calibri" w:hAnsi="Calibri" w:cs="Calibri"/>
          <w:color w:val="000000"/>
        </w:rPr>
        <w:t>changin</w:t>
      </w:r>
      <w:proofErr w:type="spellEnd"/>
      <w:r>
        <w:rPr>
          <w:rFonts w:ascii="Calibri" w:hAnsi="Calibri" w:cs="Calibri"/>
          <w:color w:val="000000"/>
        </w:rPr>
        <w:t>' - a Muslim quest for justice, gender equality, and pluralism.</w:t>
      </w:r>
      <w:r>
        <w:rPr>
          <w:rFonts w:ascii="Calibri" w:hAnsi="Calibri" w:cs="Calibri"/>
          <w:color w:val="000000"/>
        </w:rPr>
        <w:t>’</w:t>
      </w:r>
      <w:r>
        <w:rPr>
          <w:rFonts w:ascii="Calibri" w:hAnsi="Calibri" w:cs="Calibri"/>
          <w:color w:val="000000"/>
        </w:rPr>
        <w:t xml:space="preserve"> In O. Safi (Ed.), </w:t>
      </w:r>
      <w:r>
        <w:rPr>
          <w:rFonts w:ascii="Calibri" w:hAnsi="Calibri" w:cs="Calibri"/>
          <w:i/>
          <w:iCs/>
          <w:color w:val="000000"/>
        </w:rPr>
        <w:t xml:space="preserve">Progressive Muslims: On justice, </w:t>
      </w:r>
      <w:proofErr w:type="gramStart"/>
      <w:r>
        <w:rPr>
          <w:rFonts w:ascii="Calibri" w:hAnsi="Calibri" w:cs="Calibri"/>
          <w:i/>
          <w:iCs/>
          <w:color w:val="000000"/>
        </w:rPr>
        <w:t>gender</w:t>
      </w:r>
      <w:proofErr w:type="gramEnd"/>
      <w:r>
        <w:rPr>
          <w:rFonts w:ascii="Calibri" w:hAnsi="Calibri" w:cs="Calibri"/>
          <w:i/>
          <w:iCs/>
          <w:color w:val="000000"/>
        </w:rPr>
        <w:t xml:space="preserve"> and pluralism</w:t>
      </w:r>
      <w:r>
        <w:rPr>
          <w:rFonts w:ascii="Calibri" w:hAnsi="Calibri" w:cs="Calibri"/>
          <w:color w:val="000000"/>
        </w:rPr>
        <w:t xml:space="preserve">. </w:t>
      </w:r>
      <w:r>
        <w:rPr>
          <w:rFonts w:ascii="Calibri" w:hAnsi="Calibri" w:cs="Calibri"/>
          <w:color w:val="000000"/>
        </w:rPr>
        <w:t xml:space="preserve">(pp. </w:t>
      </w:r>
      <w:r w:rsidR="00C61DB5">
        <w:rPr>
          <w:rFonts w:ascii="Calibri" w:hAnsi="Calibri" w:cs="Calibri"/>
          <w:color w:val="000000"/>
        </w:rPr>
        <w:t xml:space="preserve">1-29). </w:t>
      </w:r>
      <w:proofErr w:type="spellStart"/>
      <w:r>
        <w:rPr>
          <w:rFonts w:ascii="Calibri" w:hAnsi="Calibri" w:cs="Calibri"/>
          <w:color w:val="000000"/>
        </w:rPr>
        <w:t>OneWorld</w:t>
      </w:r>
      <w:proofErr w:type="spellEnd"/>
      <w:r>
        <w:rPr>
          <w:rFonts w:ascii="Calibri" w:hAnsi="Calibri" w:cs="Calibri"/>
          <w:color w:val="000000"/>
        </w:rPr>
        <w:t xml:space="preserve">. </w:t>
      </w:r>
    </w:p>
    <w:p w14:paraId="17F30D6A" w14:textId="62906FCD" w:rsidR="0044489B" w:rsidRDefault="0044489B" w:rsidP="0016692C">
      <w:pPr>
        <w:pStyle w:val="NormalWeb"/>
        <w:spacing w:line="480" w:lineRule="auto"/>
        <w:ind w:left="450" w:hanging="450"/>
        <w:divId w:val="2049062706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Saleem, Z. (2023). </w:t>
      </w:r>
      <w:r w:rsidR="002E7280">
        <w:rPr>
          <w:rFonts w:ascii="Calibri" w:hAnsi="Calibri" w:cs="Calibri"/>
          <w:color w:val="000000"/>
        </w:rPr>
        <w:t>‘</w:t>
      </w:r>
      <w:r>
        <w:rPr>
          <w:rFonts w:ascii="Calibri" w:hAnsi="Calibri" w:cs="Calibri"/>
          <w:color w:val="000000"/>
        </w:rPr>
        <w:t>Comments on “Progressive Muslims and Islamic Jurisprudence, by Kecia Ali.</w:t>
      </w:r>
      <w:r w:rsidR="002E7280">
        <w:rPr>
          <w:rFonts w:ascii="Calibri" w:hAnsi="Calibri" w:cs="Calibri"/>
          <w:color w:val="000000"/>
        </w:rPr>
        <w:t>’</w:t>
      </w:r>
      <w:r>
        <w:rPr>
          <w:rFonts w:ascii="Calibri" w:hAnsi="Calibri" w:cs="Calibri"/>
          <w:i/>
          <w:iCs/>
          <w:color w:val="000000"/>
        </w:rPr>
        <w:t xml:space="preserve"> Islamic Studies, 62</w:t>
      </w:r>
      <w:r>
        <w:rPr>
          <w:rFonts w:ascii="Calibri" w:hAnsi="Calibri" w:cs="Calibri"/>
          <w:color w:val="000000"/>
        </w:rPr>
        <w:t xml:space="preserve">(2), 289-294. </w:t>
      </w:r>
    </w:p>
    <w:p w14:paraId="7A5CFAEA" w14:textId="77777777" w:rsidR="006D3AF7" w:rsidRDefault="006D3AF7" w:rsidP="006D3AF7">
      <w:pPr>
        <w:pStyle w:val="NormalWeb"/>
        <w:spacing w:line="480" w:lineRule="auto"/>
        <w:ind w:left="450" w:hanging="450"/>
        <w:divId w:val="1372808077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Taha, M. M., &amp; An-</w:t>
      </w:r>
      <w:proofErr w:type="gramStart"/>
      <w:r>
        <w:rPr>
          <w:rFonts w:ascii="Calibri" w:hAnsi="Calibri" w:cs="Calibri"/>
          <w:color w:val="000000"/>
        </w:rPr>
        <w:t>Na‘</w:t>
      </w:r>
      <w:proofErr w:type="gramEnd"/>
      <w:r>
        <w:rPr>
          <w:rFonts w:ascii="Calibri" w:hAnsi="Calibri" w:cs="Calibri"/>
          <w:color w:val="000000"/>
        </w:rPr>
        <w:t xml:space="preserve">im, A. A. (1987). </w:t>
      </w:r>
      <w:r>
        <w:rPr>
          <w:rFonts w:ascii="Calibri" w:hAnsi="Calibri" w:cs="Calibri"/>
          <w:i/>
          <w:iCs/>
          <w:color w:val="000000"/>
        </w:rPr>
        <w:t>The Second Message of Islam.</w:t>
      </w:r>
      <w:r>
        <w:rPr>
          <w:rFonts w:ascii="Calibri" w:hAnsi="Calibri" w:cs="Calibri"/>
          <w:color w:val="000000"/>
        </w:rPr>
        <w:t xml:space="preserve"> Syracuse University Press. </w:t>
      </w:r>
    </w:p>
    <w:p w14:paraId="6C4DEE3F" w14:textId="6C8C42AC" w:rsidR="006D3AF7" w:rsidRDefault="006D3AF7" w:rsidP="002D0742">
      <w:pPr>
        <w:pStyle w:val="NormalWeb"/>
        <w:spacing w:line="480" w:lineRule="auto"/>
        <w:divId w:val="339699482"/>
        <w:rPr>
          <w:rFonts w:ascii="Calibri" w:hAnsi="Calibri" w:cs="Calibri"/>
          <w:color w:val="000000"/>
        </w:rPr>
      </w:pPr>
    </w:p>
    <w:p w14:paraId="4DF7D24F" w14:textId="28660155" w:rsidR="00452D9D" w:rsidRPr="0057328D" w:rsidRDefault="00452D9D" w:rsidP="0057328D">
      <w:pPr>
        <w:pStyle w:val="NormalWeb"/>
        <w:spacing w:line="480" w:lineRule="auto"/>
        <w:ind w:left="450" w:hanging="450"/>
        <w:divId w:val="2049062706"/>
        <w:rPr>
          <w:rFonts w:ascii="Calibri" w:hAnsi="Calibri" w:cs="Calibri"/>
          <w:color w:val="000000"/>
        </w:rPr>
      </w:pPr>
    </w:p>
    <w:sectPr w:rsidR="00452D9D" w:rsidRPr="005732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304"/>
    <w:rsid w:val="000001B7"/>
    <w:rsid w:val="0001468E"/>
    <w:rsid w:val="00077C32"/>
    <w:rsid w:val="00096BAB"/>
    <w:rsid w:val="000E4989"/>
    <w:rsid w:val="000F2507"/>
    <w:rsid w:val="001055EE"/>
    <w:rsid w:val="00126697"/>
    <w:rsid w:val="00136102"/>
    <w:rsid w:val="00150CC5"/>
    <w:rsid w:val="0016692C"/>
    <w:rsid w:val="001A2186"/>
    <w:rsid w:val="001A7564"/>
    <w:rsid w:val="0021649D"/>
    <w:rsid w:val="00236EA7"/>
    <w:rsid w:val="0024276D"/>
    <w:rsid w:val="00274E28"/>
    <w:rsid w:val="002D0742"/>
    <w:rsid w:val="002D3D97"/>
    <w:rsid w:val="002E7280"/>
    <w:rsid w:val="0030107D"/>
    <w:rsid w:val="00304858"/>
    <w:rsid w:val="00315BDE"/>
    <w:rsid w:val="00353B3F"/>
    <w:rsid w:val="003658E4"/>
    <w:rsid w:val="0039246A"/>
    <w:rsid w:val="00395B43"/>
    <w:rsid w:val="003961BB"/>
    <w:rsid w:val="0042167B"/>
    <w:rsid w:val="00441FF6"/>
    <w:rsid w:val="0044489B"/>
    <w:rsid w:val="00452D9D"/>
    <w:rsid w:val="004701B9"/>
    <w:rsid w:val="00476119"/>
    <w:rsid w:val="00523D5A"/>
    <w:rsid w:val="0054145F"/>
    <w:rsid w:val="00561D7C"/>
    <w:rsid w:val="0057328D"/>
    <w:rsid w:val="00576023"/>
    <w:rsid w:val="005947F1"/>
    <w:rsid w:val="005A10D5"/>
    <w:rsid w:val="005A3731"/>
    <w:rsid w:val="005A7D91"/>
    <w:rsid w:val="005B6CA3"/>
    <w:rsid w:val="005F0C24"/>
    <w:rsid w:val="00606259"/>
    <w:rsid w:val="00622333"/>
    <w:rsid w:val="006A4477"/>
    <w:rsid w:val="006A5728"/>
    <w:rsid w:val="006B7BAE"/>
    <w:rsid w:val="006C475C"/>
    <w:rsid w:val="006D3AF7"/>
    <w:rsid w:val="00711304"/>
    <w:rsid w:val="0071275B"/>
    <w:rsid w:val="00716AF5"/>
    <w:rsid w:val="00726AC9"/>
    <w:rsid w:val="007402AF"/>
    <w:rsid w:val="00752EAB"/>
    <w:rsid w:val="00760EA6"/>
    <w:rsid w:val="007A1E92"/>
    <w:rsid w:val="007C4A7A"/>
    <w:rsid w:val="0080380F"/>
    <w:rsid w:val="00813847"/>
    <w:rsid w:val="00831A13"/>
    <w:rsid w:val="0084148C"/>
    <w:rsid w:val="00892396"/>
    <w:rsid w:val="008D4604"/>
    <w:rsid w:val="008D60F3"/>
    <w:rsid w:val="008D7949"/>
    <w:rsid w:val="008F30EF"/>
    <w:rsid w:val="00924E53"/>
    <w:rsid w:val="00982814"/>
    <w:rsid w:val="009D57C3"/>
    <w:rsid w:val="009E7096"/>
    <w:rsid w:val="00A02BCC"/>
    <w:rsid w:val="00A12465"/>
    <w:rsid w:val="00A20640"/>
    <w:rsid w:val="00A62904"/>
    <w:rsid w:val="00A72F57"/>
    <w:rsid w:val="00A835EF"/>
    <w:rsid w:val="00A94CDB"/>
    <w:rsid w:val="00AB6D93"/>
    <w:rsid w:val="00AD3F5D"/>
    <w:rsid w:val="00AD4EAE"/>
    <w:rsid w:val="00AE57A0"/>
    <w:rsid w:val="00AF3A4A"/>
    <w:rsid w:val="00B05E4D"/>
    <w:rsid w:val="00B3654F"/>
    <w:rsid w:val="00B44FE4"/>
    <w:rsid w:val="00B56C5D"/>
    <w:rsid w:val="00B76987"/>
    <w:rsid w:val="00B94809"/>
    <w:rsid w:val="00B957FE"/>
    <w:rsid w:val="00C141AB"/>
    <w:rsid w:val="00C61DB5"/>
    <w:rsid w:val="00C95D8D"/>
    <w:rsid w:val="00CA4C8C"/>
    <w:rsid w:val="00CC61E4"/>
    <w:rsid w:val="00D13ACC"/>
    <w:rsid w:val="00D67847"/>
    <w:rsid w:val="00DB01E2"/>
    <w:rsid w:val="00DB2355"/>
    <w:rsid w:val="00DC2ED2"/>
    <w:rsid w:val="00E058BE"/>
    <w:rsid w:val="00E27F76"/>
    <w:rsid w:val="00EC2AFB"/>
    <w:rsid w:val="00EC308C"/>
    <w:rsid w:val="00F43B25"/>
    <w:rsid w:val="00FA6A79"/>
    <w:rsid w:val="00FA6AB8"/>
    <w:rsid w:val="00FC3745"/>
    <w:rsid w:val="00FF6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CF27BB"/>
  <w15:chartTrackingRefBased/>
  <w15:docId w15:val="{016C042B-7BDC-3E46-8503-4A807B7DF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130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13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452D9D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A835E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1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9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0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44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5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6314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7776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57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9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6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1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2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26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9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55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25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2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530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576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7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2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5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2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0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1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1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7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6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9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94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89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106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81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09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7482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018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61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307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482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5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34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7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7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15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5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9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0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808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699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4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11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830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302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170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338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5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233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719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64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614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glossaryDocument" Target="glossary/document.xml"/><Relationship Id="rId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42930D2AE738844898C9D5C42961A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43656C-CC7E-CA4F-A801-CF35B486AF6B}"/>
      </w:docPartPr>
      <w:docPartBody>
        <w:p w:rsidR="004E124F" w:rsidRDefault="000C4AF8">
          <w:r w:rsidRPr="00A932AF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987"/>
    <w:rsid w:val="000C4AF8"/>
    <w:rsid w:val="003072F1"/>
    <w:rsid w:val="004E124F"/>
    <w:rsid w:val="00596D4F"/>
    <w:rsid w:val="005E6BFE"/>
    <w:rsid w:val="00A90F26"/>
    <w:rsid w:val="00C320C0"/>
    <w:rsid w:val="00D3091B"/>
    <w:rsid w:val="00D40987"/>
    <w:rsid w:val="00E65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65C02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3" Type="http://schemas.microsoft.com/office/2011/relationships/webextension" Target="webextension3.xml"/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  <wetp:taskpane dockstate="right" visibility="0" width="350" row="0">
    <wetp:webextensionref xmlns:r="http://schemas.openxmlformats.org/officeDocument/2006/relationships" r:id="rId3"/>
  </wetp:taskpane>
</wetp:taskpanes>
</file>

<file path=word/webextensions/webextension1.xml><?xml version="1.0" encoding="utf-8"?>
<we:webextension xmlns:we="http://schemas.microsoft.com/office/webextensions/webextension/2010/11" id="{EF5BD34C-09D2-6B4A-933A-63698C2639EA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7F036761-FE95-3542-AC22-08921B2051BF}">
  <we:reference id="wa104380122" version="2.1.0.1" store="en-GB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-725134764&quot;:{&quot;referencesIds&quot;:[&quot;doc:6578cf80bbedef09c0c2ce96&quot;],&quot;referencesOptions&quot;:{&quot;doc:6578cf80bbedef09c0c2ce9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25134764,&quot;citationText&quot;:&quot;&lt;span style=\&quot;font-family:Calibri;font-size:16px;color:#000000\&quot;&gt;(Taha &amp;amp; An-Na‘im, 1987)&lt;/span&gt;&quot;},&quot;-1229689201&quot;:{&quot;referencesIds&quot;:[&quot;doc:657b8b2d7c31d441780ac62c&quot;],&quot;referencesOptions&quot;:{&quot;doc:657b8b2d7c31d441780ac62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29689201,&quot;citationText&quot;:&quot;&lt;span style=\&quot;font-family:Calibri;font-size:16px;color:#000000\&quot;&gt;(Safi, 2003)&lt;/span&gt;&quot;}}"/>
    <we:property name="currentStyle" value="{&quot;id&quot;:&quot;4376&quot;,&quot;styleType&quot;:&quot;refworks&quot;,&quot;name&quot;:&quot;APA 7th (basic) - No Case Changes (No Title Casing), DOI: empty&quot;,&quot;isInstitutional&quot;:false,&quot;citeStyle&quot;:&quot;INTEXT_ONLY&quot;,&quot;isSorted&quot;:true,&quot;usesNumbers&quot;:fals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word/webextensions/webextension3.xml><?xml version="1.0" encoding="utf-8"?>
<we:webextension xmlns:we="http://schemas.microsoft.com/office/webextensions/webextension/2010/11" id="{58B554A6-AADD-2F44-BAD7-AF0FBF4FE692}">
  <we:reference id="wa200000368" version="1.0.0.0" store="en-GB" storeType="OMEX"/>
  <we:alternateReferences>
    <we:reference id="wa200000368" version="1.0.0.0" store="WA200000368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5</Pages>
  <Words>1141</Words>
  <Characters>6293</Characters>
  <Application>Microsoft Office Word</Application>
  <DocSecurity>0</DocSecurity>
  <Lines>110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Eunus Ali</dc:creator>
  <cp:keywords/>
  <dc:description/>
  <cp:lastModifiedBy>Eunus Ali</cp:lastModifiedBy>
  <cp:revision>7</cp:revision>
  <dcterms:created xsi:type="dcterms:W3CDTF">2023-12-15T01:11:00Z</dcterms:created>
  <dcterms:modified xsi:type="dcterms:W3CDTF">2023-12-15T18:53:00Z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documentId_7161</vt:lpwstr>
  </property>
  <property fmtid="{D5CDD505-2E9C-101B-9397-08002B2CF9AE}" pid="3" name="grammarly_documentContext">
    <vt:lpwstr>{"goals":[],"domain":"general","emotions":[],"dialect":"american"}</vt:lpwstr>
  </property>
</Properties>
</file>