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400" w:before="1600"/>
        <w:jc w:val="center"/>
      </w:pPr>
      <w:r>
        <w:rPr>
          <w:sz w:val="28"/>
          <w:szCs w:val="28"/>
        </w:rPr>
        <w:t xml:space="preserve">BA (Hons) Business Management</w:t>
      </w:r>
    </w:p>
    <w:p>
      <w:pPr>
        <w:spacing w:after="120"/>
        <w:jc w:val="center"/>
      </w:pPr>
      <w:r>
        <w:rPr>
          <w:i/>
          <w:iCs/>
          <w:sz w:val="22"/>
          <w:szCs w:val="22"/>
        </w:rPr>
        <w:t xml:space="preserve">Programme of Study</w:t>
      </w:r>
    </w:p>
    <w:p>
      <w:pPr>
        <w:spacing w:after="200" w:before="400"/>
        <w:jc w:val="center"/>
      </w:pPr>
      <w:r>
        <w:rPr>
          <w:sz w:val="22"/>
          <w:szCs w:val="22"/>
        </w:rPr>
        <w:t xml:space="preserve">Module: Introduction to Entrepreneurship (BUS1023)</w:t>
      </w:r>
    </w:p>
    <w:p>
      <w:pPr>
        <w:spacing w:after="120"/>
        <w:jc w:val="center"/>
      </w:pPr>
      <w:r>
        <w:rPr>
          <w:i/>
          <w:iCs/>
          <w:sz w:val="20"/>
          <w:szCs w:val="20"/>
        </w:rPr>
        <w:t xml:space="preserve">Module Name and Code</w:t>
      </w:r>
    </w:p>
    <w:p>
      <w:pPr>
        <w:spacing w:after="200" w:before="800"/>
        <w:jc w:val="center"/>
      </w:pPr>
      <w:r>
        <w:rPr>
          <w:b/>
          <w:bCs/>
          <w:sz w:val="36"/>
          <w:szCs w:val="36"/>
        </w:rPr>
        <w:t xml:space="preserve">Common Grounds Coffee House</w:t>
      </w:r>
    </w:p>
    <w:p>
      <w:pPr>
        <w:spacing w:after="120"/>
        <w:jc w:val="center"/>
      </w:pPr>
      <w:r>
        <w:rPr>
          <w:sz w:val="24"/>
          <w:szCs w:val="24"/>
        </w:rPr>
        <w:t xml:space="preserve">A Business Plan for a Sustainable, Community-Focused Independent Coffee Shop</w:t>
      </w:r>
    </w:p>
    <w:p>
      <w:pPr>
        <w:spacing w:before="800"/>
        <w:jc w:val="center"/>
      </w:pPr>
      <w:r>
        <w:rPr>
          <w:sz w:val="22"/>
          <w:szCs w:val="22"/>
        </w:rPr>
        <w:t xml:space="preserve">Assignment: Business Plan</w:t>
      </w:r>
    </w:p>
    <w:p>
      <w:pPr>
        <w:spacing w:after="120"/>
        <w:jc w:val="center"/>
      </w:pPr>
      <w:r>
        <w:rPr>
          <w:sz w:val="24"/>
          <w:szCs w:val="24"/>
        </w:rPr>
        <w:t xml:space="preserve">Lecturer: [Insert Lecturer's Name]</w:t>
      </w:r>
    </w:p>
    <w:p>
      <w:pPr>
        <w:spacing w:after="120"/>
        <w:jc w:val="center"/>
      </w:pPr>
      <w:r>
        <w:rPr>
          <w:sz w:val="24"/>
          <w:szCs w:val="24"/>
        </w:rPr>
        <w:t xml:space="preserve">Student Name: [Insert Your Name]</w:t>
      </w:r>
    </w:p>
    <w:p>
      <w:pPr>
        <w:spacing w:after="120"/>
        <w:jc w:val="center"/>
      </w:pPr>
      <w:r>
        <w:rPr>
          <w:sz w:val="24"/>
          <w:szCs w:val="24"/>
        </w:rPr>
        <w:t xml:space="preserve">Student ID: [Insert Student ID]</w:t>
      </w:r>
    </w:p>
    <w:p>
      <w:pPr>
        <w:spacing w:after="120"/>
        <w:jc w:val="center"/>
      </w:pPr>
      <w:r>
        <w:rPr>
          <w:sz w:val="24"/>
          <w:szCs w:val="24"/>
        </w:rPr>
        <w:t xml:space="preserve">Date: July 2026</w:t>
      </w:r>
    </w:p>
    <w:p>
      <w:r>
        <w:br w:type="page"/>
      </w:r>
    </w:p>
    <w:p>
      <w:pPr>
        <w:pStyle w:val="Heading1"/>
      </w:pPr>
      <w:r>
        <w:t xml:space="preserve">Executive Summary</w:t>
      </w:r>
    </w:p>
    <w:p>
      <w:pPr>
        <w:spacing w:after="200" w:line="276"/>
      </w:pPr>
      <w:r>
        <w:t xml:space="preserve">Common Grounds Coffee House is a proposed independent, specialty coffee shop to be opened in a mid-sized UK town centre, serving ethically sourced coffee, tea and simple food alongside a strong sustainability and community remit. The café will run a reusable-cup discount scheme and an in-store coffee-grounds composting partnership with a local allotment association, reducing the waste typically associated with everyday coffee retail.</w:t>
      </w:r>
    </w:p>
    <w:p>
      <w:pPr>
        <w:spacing w:after="200" w:line="276"/>
      </w:pPr>
      <w:r>
        <w:t xml:space="preserve">Beyond its retail offer, the business embeds social impact directly into its model: a daily "pay-it-forward" board lets customers pre-purchase drinks for those who cannot afford one, and a Community Mentoring Programme, run with the local college and a youth mental health charity, provides paid four-month barista traineeships for 16 to 24 year olds who face barriers to employment, including care leavers and young people not in education, employment or training.</w:t>
      </w:r>
    </w:p>
    <w:p>
      <w:pPr>
        <w:spacing w:after="200" w:line="276"/>
      </w:pPr>
      <w:r>
        <w:t xml:space="preserve">The business will trade as a Private Limited Company (Ltd) with a lean management structure led by a Managing Director, supported by a Head Barista/Café Manager, a part-time Community Partnerships Coordinator, and baristas drawn partly from the Mentoring Programme. Market research indicates continued consumer demand for locally roasted, ethically positioned coffee, supportive council-level backing for high-street independents, and a local competitive gap that neither the national coffee chains nor the town's existing sandwich bars currently fill.</w:t>
      </w:r>
    </w:p>
    <w:p>
      <w:pPr>
        <w:spacing w:after="200" w:line="276"/>
      </w:pPr>
      <w:r>
        <w:t xml:space="preserve">Marketing will focus on social media storytelling, an in-store loyalty scheme and community events, targeting local professionals, students and residents within the town centre at low advertising cost. The business is seeking £34,000 in start-up funding, made up of founder savings, a Government-backed Start Up Loan, and a small business bank loan, to cover shop fit-out, initial stock and the first month of trading costs, leaving a prudent working capital buffer as the business establishes its customer base.</w:t>
      </w:r>
    </w:p>
    <w:p>
      <w:r>
        <w:br w:type="page"/>
      </w:r>
    </w:p>
    <w:p>
      <w:pPr>
        <w:pStyle w:val="Heading1"/>
      </w:pPr>
      <w:r>
        <w:t xml:space="preserve">Table of Contents</w:t>
      </w:r>
    </w:p>
    <w:p>
      <w:pPr>
        <w:spacing w:after="160"/>
      </w:pPr>
      <w:r>
        <w:t xml:space="preserve">Executive Summary</w:t>
      </w:r>
      <w:r>
        <w:ptab w:alignment="right" w:leader="dot"/>
      </w:r>
      <w:r>
        <w:t xml:space="preserve">2</w:t>
      </w:r>
    </w:p>
    <w:p>
      <w:pPr>
        <w:spacing w:after="160"/>
      </w:pPr>
      <w:r>
        <w:t xml:space="preserve">1. Overview of the Business Idea</w:t>
      </w:r>
      <w:r>
        <w:ptab w:alignment="right" w:leader="dot"/>
      </w:r>
      <w:r>
        <w:t xml:space="preserve">4</w:t>
      </w:r>
    </w:p>
    <w:p>
      <w:pPr>
        <w:spacing w:after="160"/>
      </w:pPr>
      <w:r>
        <w:t xml:space="preserve">2. Market Research</w:t>
      </w:r>
      <w:r>
        <w:ptab w:alignment="right" w:leader="dot"/>
      </w:r>
      <w:r>
        <w:t xml:space="preserve">4</w:t>
      </w:r>
    </w:p>
    <w:p>
      <w:pPr>
        <w:spacing w:after="160"/>
      </w:pPr>
      <w:r>
        <w:t xml:space="preserve">3. Marketing Communications</w:t>
      </w:r>
      <w:r>
        <w:ptab w:alignment="right" w:leader="dot"/>
      </w:r>
      <w:r>
        <w:t xml:space="preserve">5</w:t>
      </w:r>
    </w:p>
    <w:p>
      <w:pPr>
        <w:spacing w:after="160"/>
      </w:pPr>
      <w:r>
        <w:t xml:space="preserve">4. Financials</w:t>
      </w:r>
      <w:r>
        <w:ptab w:alignment="right" w:leader="dot"/>
      </w:r>
      <w:r>
        <w:t xml:space="preserve">6</w:t>
      </w:r>
    </w:p>
    <w:p>
      <w:pPr>
        <w:spacing w:after="160"/>
      </w:pPr>
      <w:r>
        <w:t xml:space="preserve">Reference List</w:t>
      </w:r>
      <w:r>
        <w:ptab w:alignment="right" w:leader="dot"/>
      </w:r>
      <w:r>
        <w:t xml:space="preserve">6</w:t>
      </w:r>
    </w:p>
    <w:p>
      <w:r>
        <w:br w:type="page"/>
      </w:r>
    </w:p>
    <w:p>
      <w:pPr>
        <w:pStyle w:val="Heading1"/>
      </w:pPr>
      <w:r>
        <w:t xml:space="preserve">1. Overview of the Business Idea</w:t>
      </w:r>
    </w:p>
    <w:p>
      <w:pPr>
        <w:spacing w:after="200" w:line="276"/>
      </w:pPr>
      <w:r>
        <w:t xml:space="preserve">Common Grounds Coffee House is an independent specialty coffee shop that will open in a mid-sized UK town centre. The café will serve espresso-based coffee, loose-leaf tea, and a small food menu of pastries, toasties and salads, sourced where possible from local suppliers. All coffee will be ethically sourced through direct-trade or Fairtrade-certified roasters, and the café will actively encourage customers to bring their own reusable cups through a standing discount, while offering an affordable deposit-return cup for those who forget.</w:t>
      </w:r>
    </w:p>
    <w:p>
      <w:pPr>
        <w:spacing w:after="200" w:line="276"/>
      </w:pPr>
      <w:r>
        <w:t xml:space="preserve">The mission of the business is twofold: to make genuinely good, ethically sourced coffee an everyday affordable habit for local residents, and to use the café as a platform for tangible local social impact. Alongside the retail offer, Common Grounds will run a Community Mentoring Programme in partnership with the local college and a youth mental health charity. The programme offers paid, four-month barista traineeships to young people aged 16 to 24 who face barriers to employment, combining on-the-job experience, a recognised hospitality qualification and light-touch mentoring support. A daily pay-it-forward board allows customers to buy a drink in advance for someone in need, and spent coffee grounds are collected daily by a local allotment association for use as compost, cutting food waste sent to landfill.</w:t>
      </w:r>
    </w:p>
    <w:p>
      <w:pPr>
        <w:spacing w:after="200" w:line="276"/>
      </w:pPr>
      <w:r>
        <w:t xml:space="preserve">The primary target customer is local professionals and residents within walking distance of the town centre who want a genuine alternative to national coffee chains, including commuters seeking a quality takeaway coffee and remote workers looking for a comfortable place to sit and work. A secondary audience is local students and younger residents, for whom an affordable loyalty scheme and a welcoming, sociable space are strong draws. By serving several overlapping customer groups rather than a single narrow segment, Common Grounds reduces its dependence on any one type of customer and builds a broader base of steady, repeat trade.</w:t>
      </w:r>
    </w:p>
    <w:p>
      <w:pPr>
        <w:spacing w:after="200" w:line="276"/>
      </w:pPr>
      <w:r>
        <w:t xml:space="preserve">The business will operate as a Private Limited Company (Ltd), which limits the personal financial liability of the founder and makes it easier to raise external investment or apply for business loans, while keeping administrative and reporting requirements manageable for a small enterprise. The management structure is deliberately lean to keep overheads low in the first year. The founder will act as Managing Director, responsible for overall strategy, supplier relationships and finances. A Head Barista/Café Manager will oversee day-to-day operations, drink quality and staff rotas. A part-time Community Partnerships Coordinator will manage the Mentoring Programme placements and the pay-it-forward scheme, liaising directly with the college and charity partners. Two to three baristas, including participants from the Mentoring Programme, will support the counter and floor, with responsibilities rotated so that trainees gain broad experience across drink preparation, customer service and till operations.</w:t>
      </w:r>
    </w:p>
    <w:p>
      <w:pPr>
        <w:pStyle w:val="Heading1"/>
      </w:pPr>
      <w:r>
        <w:t xml:space="preserve">2. Market Research</w:t>
      </w:r>
    </w:p>
    <w:p>
      <w:pPr>
        <w:spacing w:after="200" w:line="276"/>
      </w:pPr>
      <w:r>
        <w:t xml:space="preserve">A PESTEL analysis helps to identify the external factors likely to affect Common Grounds Coffee House.</w:t>
      </w:r>
    </w:p>
    <w:tbl>
      <w:tblPr>
        <w:tblW w:type="dxa" w:w="9000"/>
        <w:tblBorders>
          <w:top w:val="single" w:color="auto" w:sz="4"/>
          <w:left w:val="single" w:color="auto" w:sz="4"/>
          <w:bottom w:val="single" w:color="auto" w:sz="4"/>
          <w:right w:val="single" w:color="auto" w:sz="4"/>
          <w:insideH w:val="single" w:color="auto" w:sz="4"/>
          <w:insideV w:val="single" w:color="auto" w:sz="4"/>
        </w:tblBorders>
      </w:tblPr>
      <w:tblGrid>
        <w:gridCol w:w="2500"/>
        <w:gridCol w:w="6500"/>
      </w:tblGrid>
      <w:tr>
        <w:tc>
          <w:tcPr>
            <w:tcW w:type="dxa" w:w="2500"/>
            <w:shd w:fill="F1E7DC" w:val="clear"/>
            <w:tcMar>
              <w:top w:type="dxa" w:w="100"/>
              <w:left w:type="dxa" w:w="120"/>
              <w:bottom w:type="dxa" w:w="100"/>
              <w:right w:type="dxa" w:w="120"/>
            </w:tcMar>
          </w:tcPr>
          <w:p>
            <w:r>
              <w:rPr>
                <w:b/>
                <w:bCs/>
              </w:rPr>
              <w:t xml:space="preserve">Political</w:t>
            </w:r>
          </w:p>
        </w:tc>
        <w:tc>
          <w:tcPr>
            <w:tcW w:type="dxa" w:w="6500"/>
            <w:tcMar>
              <w:top w:type="dxa" w:w="100"/>
              <w:left w:type="dxa" w:w="120"/>
              <w:bottom w:type="dxa" w:w="100"/>
              <w:right w:type="dxa" w:w="120"/>
            </w:tcMar>
          </w:tcPr>
          <w:p>
            <w:r>
              <w:t xml:space="preserve">Local councils increasingly offer business-rate relief and high-street regeneration grants to independent food and drink outlets, and government-backed apprenticeship funding supports the paid traineeship element of the business, though any future changes to minimum wage or business rates would directly affect a labour-intensive café model.</w:t>
            </w:r>
          </w:p>
        </w:tc>
      </w:tr>
      <w:tr>
        <w:tc>
          <w:tcPr>
            <w:tcW w:type="dxa" w:w="2500"/>
            <w:shd w:fill="F1E7DC" w:val="clear"/>
            <w:tcMar>
              <w:top w:type="dxa" w:w="100"/>
              <w:left w:type="dxa" w:w="120"/>
              <w:bottom w:type="dxa" w:w="100"/>
              <w:right w:type="dxa" w:w="120"/>
            </w:tcMar>
          </w:tcPr>
          <w:p>
            <w:r>
              <w:rPr>
                <w:b/>
                <w:bCs/>
              </w:rPr>
              <w:t xml:space="preserve">Economic</w:t>
            </w:r>
          </w:p>
        </w:tc>
        <w:tc>
          <w:tcPr>
            <w:tcW w:type="dxa" w:w="6500"/>
            <w:tcMar>
              <w:top w:type="dxa" w:w="100"/>
              <w:left w:type="dxa" w:w="120"/>
              <w:bottom w:type="dxa" w:w="100"/>
              <w:right w:type="dxa" w:w="120"/>
            </w:tcMar>
          </w:tcPr>
          <w:p>
            <w:r>
              <w:t xml:space="preserve">Household budgets remain squeezed by inflation, which can make a daily takeaway coffee feel discretionary; however, coffee-out spending has proven resilient in past downturns, and a mid-range price point positioned below premium chains helps the business capture value-conscious regulars rather than only occasional treat-seekers.</w:t>
            </w:r>
          </w:p>
        </w:tc>
      </w:tr>
      <w:tr>
        <w:tc>
          <w:tcPr>
            <w:tcW w:type="dxa" w:w="2500"/>
            <w:shd w:fill="F1E7DC" w:val="clear"/>
            <w:tcMar>
              <w:top w:type="dxa" w:w="100"/>
              <w:left w:type="dxa" w:w="120"/>
              <w:bottom w:type="dxa" w:w="100"/>
              <w:right w:type="dxa" w:w="120"/>
            </w:tcMar>
          </w:tcPr>
          <w:p>
            <w:r>
              <w:rPr>
                <w:b/>
                <w:bCs/>
              </w:rPr>
              <w:t xml:space="preserve">Social</w:t>
            </w:r>
          </w:p>
        </w:tc>
        <w:tc>
          <w:tcPr>
            <w:tcW w:type="dxa" w:w="6500"/>
            <w:tcMar>
              <w:top w:type="dxa" w:w="100"/>
              <w:left w:type="dxa" w:w="120"/>
              <w:bottom w:type="dxa" w:w="100"/>
              <w:right w:type="dxa" w:w="120"/>
            </w:tcMar>
          </w:tcPr>
          <w:p>
            <w:r>
              <w:t xml:space="preserve">Demand for locally roasted, ethically sourced coffee continues to grow, and customers increasingly favour independent cafés that demonstrate a genuine community role over anonymous chain outlets, particularly among younger and student demographics who value transparency about sourcing and social impact.</w:t>
            </w:r>
          </w:p>
        </w:tc>
      </w:tr>
      <w:tr>
        <w:tc>
          <w:tcPr>
            <w:tcW w:type="dxa" w:w="2500"/>
            <w:shd w:fill="F1E7DC" w:val="clear"/>
            <w:tcMar>
              <w:top w:type="dxa" w:w="100"/>
              <w:left w:type="dxa" w:w="120"/>
              <w:bottom w:type="dxa" w:w="100"/>
              <w:right w:type="dxa" w:w="120"/>
            </w:tcMar>
          </w:tcPr>
          <w:p>
            <w:r>
              <w:rPr>
                <w:b/>
                <w:bCs/>
              </w:rPr>
              <w:t xml:space="preserve">Technological</w:t>
            </w:r>
          </w:p>
        </w:tc>
        <w:tc>
          <w:tcPr>
            <w:tcW w:type="dxa" w:w="6500"/>
            <w:tcMar>
              <w:top w:type="dxa" w:w="100"/>
              <w:left w:type="dxa" w:w="120"/>
              <w:bottom w:type="dxa" w:w="100"/>
              <w:right w:type="dxa" w:w="120"/>
            </w:tcMar>
          </w:tcPr>
          <w:p>
            <w:r>
              <w:t xml:space="preserve">Affordable cloud-based till and loyalty-app systems let a small café track sales, manage a reusable-cup discount scheme and run a digital stamp card cheaply, while social media offers a low-cost way to build a loyal local following without a traditional advertising budget.</w:t>
            </w:r>
          </w:p>
        </w:tc>
      </w:tr>
      <w:tr>
        <w:tc>
          <w:tcPr>
            <w:tcW w:type="dxa" w:w="2500"/>
            <w:shd w:fill="F1E7DC" w:val="clear"/>
            <w:tcMar>
              <w:top w:type="dxa" w:w="100"/>
              <w:left w:type="dxa" w:w="120"/>
              <w:bottom w:type="dxa" w:w="100"/>
              <w:right w:type="dxa" w:w="120"/>
            </w:tcMar>
          </w:tcPr>
          <w:p>
            <w:r>
              <w:rPr>
                <w:b/>
                <w:bCs/>
              </w:rPr>
              <w:t xml:space="preserve">Environmental</w:t>
            </w:r>
          </w:p>
        </w:tc>
        <w:tc>
          <w:tcPr>
            <w:tcW w:type="dxa" w:w="6500"/>
            <w:tcMar>
              <w:top w:type="dxa" w:w="100"/>
              <w:left w:type="dxa" w:w="120"/>
              <w:bottom w:type="dxa" w:w="100"/>
              <w:right w:type="dxa" w:w="120"/>
            </w:tcMar>
          </w:tcPr>
          <w:p>
            <w:r>
              <w:t xml:space="preserve">Coffee retail generates significant waste through disposable cups and packaging; a reusable-cup discount, in-store composting of coffee grounds, and partnerships with local allotments to repurpose spent grounds as fertiliser directly reduce landfill waste and strengthen the café's sustainability credentials.</w:t>
            </w:r>
          </w:p>
        </w:tc>
      </w:tr>
      <w:tr>
        <w:tc>
          <w:tcPr>
            <w:tcW w:type="dxa" w:w="2500"/>
            <w:shd w:fill="F1E7DC" w:val="clear"/>
            <w:tcMar>
              <w:top w:type="dxa" w:w="100"/>
              <w:left w:type="dxa" w:w="120"/>
              <w:bottom w:type="dxa" w:w="100"/>
              <w:right w:type="dxa" w:w="120"/>
            </w:tcMar>
          </w:tcPr>
          <w:p>
            <w:r>
              <w:rPr>
                <w:b/>
                <w:bCs/>
              </w:rPr>
              <w:t xml:space="preserve">Legal</w:t>
            </w:r>
          </w:p>
        </w:tc>
        <w:tc>
          <w:tcPr>
            <w:tcW w:type="dxa" w:w="6500"/>
            <w:tcMar>
              <w:top w:type="dxa" w:w="100"/>
              <w:left w:type="dxa" w:w="120"/>
              <w:bottom w:type="dxa" w:w="100"/>
              <w:right w:type="dxa" w:w="120"/>
            </w:tcMar>
          </w:tcPr>
          <w:p>
            <w:r>
              <w:t xml:space="preserve">The business must meet food hygiene, allergen labelling and health-and-safety requirements typical of any food and drink outlet, alongside standard employment law obligations for the traineeship placements, both of which are manageable through routine staff training and compliance procedures.</w:t>
            </w:r>
          </w:p>
        </w:tc>
      </w:tr>
    </w:tbl>
    <w:p>
      <w:pPr>
        <w:spacing w:after="200" w:line="276"/>
      </w:pPr>
      <w:r>
        <w:t xml:space="preserve"/>
      </w:r>
    </w:p>
    <w:p>
      <w:pPr>
        <w:spacing w:after="200" w:line="276"/>
      </w:pPr>
      <w:r>
        <w:t xml:space="preserve">In terms of competition, the town centre has two national coffee chains and a handful of sandwich bars that sell basic takeaway coffee as a secondary line. None currently offer a dedicated specialty coffee experience, transparent ethical sourcing, or a comparable community programme. The national chains compete mainly on speed, familiarity and convenience, while the sandwich bars compete on lunch-time food range. Common Grounds' point of difference is genuine coffee quality, an authentic local identity, and the combined mentoring and pay-it-forward initiatives, which larger chains are unlikely to replicate credibly at a local level, giving the business a defensible niche rather than a head-on price war.</w:t>
      </w:r>
    </w:p>
    <w:p>
      <w:pPr>
        <w:pStyle w:val="Heading1"/>
      </w:pPr>
      <w:r>
        <w:t xml:space="preserve">3. Marketing Communications</w:t>
      </w:r>
    </w:p>
    <w:p>
      <w:pPr>
        <w:spacing w:after="200" w:line="276"/>
      </w:pPr>
      <w:r>
        <w:t xml:space="preserve">Common Grounds' marketing strategy focuses on building a loyal local customer base rather than competing directly on price with national chains. The core message across all channels will centre on two ideas: genuinely good, ethically sourced coffee, and a café that visibly supports the local community, since both resonate strongly with the target audience identified in the market research above.</w:t>
      </w:r>
    </w:p>
    <w:p>
      <w:pPr>
        <w:spacing w:after="200" w:line="276"/>
      </w:pPr>
      <w:r>
        <w:t xml:space="preserve">Social media, particularly Instagram and TikTok, will be the primary channel, used to share behind-the-scenes roasting and brewing content, introduce suppliers, and highlight Mentoring Programme trainees and pay-it-forward stories, giving customers a transparent and ongoing view of the business's impact rather than a one-off launch message. A launch event will invite local press, the college and charity partners, giving the opening added credibility and generating local news coverage at very low cost compared with paid advertising.</w:t>
      </w:r>
    </w:p>
    <w:p>
      <w:pPr>
        <w:spacing w:after="200" w:line="276"/>
      </w:pPr>
      <w:r>
        <w:t xml:space="preserve">In-store, clear signage will explain the reusable-cup discount and the pay-it-forward board for new customers who may be unfamiliar with either, and a simple digital loyalty scheme will reward frequent customers with a free drink after a set number of visits, encouraging repeat trade. Common Grounds will also partner with the local college to host short talks and taster sessions on coffee and hospitality careers, positioning the café as a community resource rather than only a retail outlet. Word-of-mouth referral is expected to be a significant driver of growth, supported by a modest referral discount for customers who introduce a friend, and a printed local leaflet drop will complement the digital channels in the weeks around launch to reach residents who are less active on social media.</w:t>
      </w:r>
    </w:p>
    <w:p>
      <w:pPr>
        <w:spacing w:after="200" w:line="276"/>
      </w:pPr>
      <w:r>
        <w:t xml:space="preserve">Pricing communication will emphasise quality and value together, positioning drinks slightly below premium chain prices while highlighting the reusable-cup discount as an easy way for regular customers to reduce their own spend. A short, low-cost email newsletter will follow up with customers after their first visit, sharing new seasonal drinks, Mentoring Programme updates and loyalty scheme reminders, helping to convert first-time visitors into regular customers without requiring an ongoing paid advertising budget.</w:t>
      </w:r>
    </w:p>
    <w:p>
      <w:pPr>
        <w:pStyle w:val="Heading1"/>
      </w:pPr>
      <w:r>
        <w:t xml:space="preserve">4. Financials</w:t>
      </w:r>
    </w:p>
    <w:p>
      <w:pPr>
        <w:spacing w:after="200" w:line="276"/>
      </w:pPr>
      <w:r>
        <w:t xml:space="preserve">Common Grounds Coffee House requires £34,000 in start-up funding. £8,000 will come from the founder's personal savings, demonstrating commitment and reducing early reliance on external debt. £12,000 will be sought through the Start Up Loans scheme, a UK Government-backed personal loan for new businesses that offers lower, fixed interest rates and free mentoring, making it well suited to a first-time founder without significant collateral to offer a bank. The remaining £14,000 will be requested as a small business loan from a high-street bank, chosen because the business has a clear, largely asset-backed use of funds, such as café fit-out and equipment, which supports a more straightforward secured lending application than an unsecured facility would.</w:t>
      </w:r>
    </w:p>
    <w:p>
      <w:pPr>
        <w:spacing w:after="200" w:line="276"/>
      </w:pPr>
      <w:r>
        <w:t xml:space="preserve">The main start-up expenses expected during the first month of operation are set out below:</w:t>
      </w:r>
    </w:p>
    <w:tbl>
      <w:tblPr>
        <w:tblW w:type="dxa" w:w="6000"/>
        <w:tblBorders>
          <w:top w:val="single" w:color="auto" w:sz="4"/>
          <w:left w:val="single" w:color="auto" w:sz="4"/>
          <w:bottom w:val="single" w:color="auto" w:sz="4"/>
          <w:right w:val="single" w:color="auto" w:sz="4"/>
          <w:insideH w:val="single" w:color="auto" w:sz="4"/>
          <w:insideV w:val="single" w:color="auto" w:sz="4"/>
        </w:tblBorders>
      </w:tblPr>
      <w:tblGrid>
        <w:gridCol w:w="4200"/>
        <w:gridCol w:w="1800"/>
      </w:tblGrid>
      <w:tr>
        <w:tc>
          <w:tcPr>
            <w:tcW w:type="dxa" w:w="2500"/>
            <w:shd w:fill="F1E7DC" w:val="clear"/>
            <w:tcMar>
              <w:top w:type="dxa" w:w="100"/>
              <w:left w:type="dxa" w:w="120"/>
              <w:bottom w:type="dxa" w:w="100"/>
              <w:right w:type="dxa" w:w="120"/>
            </w:tcMar>
          </w:tcPr>
          <w:p>
            <w:r>
              <w:rPr>
                <w:b/>
                <w:bCs/>
              </w:rPr>
              <w:t xml:space="preserve">Expense Item</w:t>
            </w:r>
          </w:p>
        </w:tc>
        <w:tc>
          <w:tcPr>
            <w:tcW w:type="dxa" w:w="2500"/>
            <w:shd w:fill="F1E7DC" w:val="clear"/>
            <w:tcMar>
              <w:top w:type="dxa" w:w="100"/>
              <w:left w:type="dxa" w:w="120"/>
              <w:bottom w:type="dxa" w:w="100"/>
              <w:right w:type="dxa" w:w="120"/>
            </w:tcMar>
          </w:tcPr>
          <w:p>
            <w:r>
              <w:rPr>
                <w:b/>
                <w:bCs/>
              </w:rPr>
              <w:t xml:space="preserve">Cost (£)</w:t>
            </w:r>
          </w:p>
        </w:tc>
      </w:tr>
      <w:tr>
        <w:tc>
          <w:tcPr>
            <w:tcW w:type="dxa" w:w="4200"/>
            <w:tcMar>
              <w:top w:type="dxa" w:w="100"/>
              <w:left w:type="dxa" w:w="120"/>
              <w:bottom w:type="dxa" w:w="100"/>
              <w:right w:type="dxa" w:w="120"/>
            </w:tcMar>
          </w:tcPr>
          <w:p>
            <w:r>
              <w:t xml:space="preserve">Café fit-out (counter, seating, espresso equipment)</w:t>
            </w:r>
          </w:p>
        </w:tc>
        <w:tc>
          <w:tcPr>
            <w:tcW w:type="dxa" w:w="1800"/>
            <w:tcMar>
              <w:top w:type="dxa" w:w="100"/>
              <w:left w:type="dxa" w:w="120"/>
              <w:bottom w:type="dxa" w:w="100"/>
              <w:right w:type="dxa" w:w="120"/>
            </w:tcMar>
          </w:tcPr>
          <w:p>
            <w:pPr>
              <w:jc w:val="right"/>
            </w:pPr>
            <w:r>
              <w:rPr>
                <w:b w:val="false"/>
                <w:bCs w:val="false"/>
              </w:rPr>
              <w:t xml:space="preserve">14,000</w:t>
            </w:r>
          </w:p>
        </w:tc>
      </w:tr>
      <w:tr>
        <w:tc>
          <w:tcPr>
            <w:tcW w:type="dxa" w:w="4200"/>
            <w:tcMar>
              <w:top w:type="dxa" w:w="100"/>
              <w:left w:type="dxa" w:w="120"/>
              <w:bottom w:type="dxa" w:w="100"/>
              <w:right w:type="dxa" w:w="120"/>
            </w:tcMar>
          </w:tcPr>
          <w:p>
            <w:r>
              <w:t xml:space="preserve">First month's rent and deposit</w:t>
            </w:r>
          </w:p>
        </w:tc>
        <w:tc>
          <w:tcPr>
            <w:tcW w:type="dxa" w:w="1800"/>
            <w:tcMar>
              <w:top w:type="dxa" w:w="100"/>
              <w:left w:type="dxa" w:w="120"/>
              <w:bottom w:type="dxa" w:w="100"/>
              <w:right w:type="dxa" w:w="120"/>
            </w:tcMar>
          </w:tcPr>
          <w:p>
            <w:pPr>
              <w:jc w:val="right"/>
            </w:pPr>
            <w:r>
              <w:rPr>
                <w:b w:val="false"/>
                <w:bCs w:val="false"/>
              </w:rPr>
              <w:t xml:space="preserve">4,000</w:t>
            </w:r>
          </w:p>
        </w:tc>
      </w:tr>
      <w:tr>
        <w:tc>
          <w:tcPr>
            <w:tcW w:type="dxa" w:w="4200"/>
            <w:tcMar>
              <w:top w:type="dxa" w:w="100"/>
              <w:left w:type="dxa" w:w="120"/>
              <w:bottom w:type="dxa" w:w="100"/>
              <w:right w:type="dxa" w:w="120"/>
            </w:tcMar>
          </w:tcPr>
          <w:p>
            <w:r>
              <w:t xml:space="preserve">Initial stock (coffee, food, cups, packaging)</w:t>
            </w:r>
          </w:p>
        </w:tc>
        <w:tc>
          <w:tcPr>
            <w:tcW w:type="dxa" w:w="1800"/>
            <w:tcMar>
              <w:top w:type="dxa" w:w="100"/>
              <w:left w:type="dxa" w:w="120"/>
              <w:bottom w:type="dxa" w:w="100"/>
              <w:right w:type="dxa" w:w="120"/>
            </w:tcMar>
          </w:tcPr>
          <w:p>
            <w:pPr>
              <w:jc w:val="right"/>
            </w:pPr>
            <w:r>
              <w:rPr>
                <w:b w:val="false"/>
                <w:bCs w:val="false"/>
              </w:rPr>
              <w:t xml:space="preserve">5,500</w:t>
            </w:r>
          </w:p>
        </w:tc>
      </w:tr>
      <w:tr>
        <w:tc>
          <w:tcPr>
            <w:tcW w:type="dxa" w:w="4200"/>
            <w:tcMar>
              <w:top w:type="dxa" w:w="100"/>
              <w:left w:type="dxa" w:w="120"/>
              <w:bottom w:type="dxa" w:w="100"/>
              <w:right w:type="dxa" w:w="120"/>
            </w:tcMar>
          </w:tcPr>
          <w:p>
            <w:r>
              <w:t xml:space="preserve">Point-of-sale and loyalty app system</w:t>
            </w:r>
          </w:p>
        </w:tc>
        <w:tc>
          <w:tcPr>
            <w:tcW w:type="dxa" w:w="1800"/>
            <w:tcMar>
              <w:top w:type="dxa" w:w="100"/>
              <w:left w:type="dxa" w:w="120"/>
              <w:bottom w:type="dxa" w:w="100"/>
              <w:right w:type="dxa" w:w="120"/>
            </w:tcMar>
          </w:tcPr>
          <w:p>
            <w:pPr>
              <w:jc w:val="right"/>
            </w:pPr>
            <w:r>
              <w:rPr>
                <w:b w:val="false"/>
                <w:bCs w:val="false"/>
              </w:rPr>
              <w:t xml:space="preserve">1,800</w:t>
            </w:r>
          </w:p>
        </w:tc>
      </w:tr>
      <w:tr>
        <w:tc>
          <w:tcPr>
            <w:tcW w:type="dxa" w:w="4200"/>
            <w:tcMar>
              <w:top w:type="dxa" w:w="100"/>
              <w:left w:type="dxa" w:w="120"/>
              <w:bottom w:type="dxa" w:w="100"/>
              <w:right w:type="dxa" w:w="120"/>
            </w:tcMar>
          </w:tcPr>
          <w:p>
            <w:r>
              <w:t xml:space="preserve">Public liability and stock insurance</w:t>
            </w:r>
          </w:p>
        </w:tc>
        <w:tc>
          <w:tcPr>
            <w:tcW w:type="dxa" w:w="1800"/>
            <w:tcMar>
              <w:top w:type="dxa" w:w="100"/>
              <w:left w:type="dxa" w:w="120"/>
              <w:bottom w:type="dxa" w:w="100"/>
              <w:right w:type="dxa" w:w="120"/>
            </w:tcMar>
          </w:tcPr>
          <w:p>
            <w:pPr>
              <w:jc w:val="right"/>
            </w:pPr>
            <w:r>
              <w:rPr>
                <w:b w:val="false"/>
                <w:bCs w:val="false"/>
              </w:rPr>
              <w:t xml:space="preserve">700</w:t>
            </w:r>
          </w:p>
        </w:tc>
      </w:tr>
      <w:tr>
        <w:tc>
          <w:tcPr>
            <w:tcW w:type="dxa" w:w="4200"/>
            <w:tcMar>
              <w:top w:type="dxa" w:w="100"/>
              <w:left w:type="dxa" w:w="120"/>
              <w:bottom w:type="dxa" w:w="100"/>
              <w:right w:type="dxa" w:w="120"/>
            </w:tcMar>
          </w:tcPr>
          <w:p>
            <w:r>
              <w:t xml:space="preserve">Staff wages (pre-opening training week)</w:t>
            </w:r>
          </w:p>
        </w:tc>
        <w:tc>
          <w:tcPr>
            <w:tcW w:type="dxa" w:w="1800"/>
            <w:tcMar>
              <w:top w:type="dxa" w:w="100"/>
              <w:left w:type="dxa" w:w="120"/>
              <w:bottom w:type="dxa" w:w="100"/>
              <w:right w:type="dxa" w:w="120"/>
            </w:tcMar>
          </w:tcPr>
          <w:p>
            <w:pPr>
              <w:jc w:val="right"/>
            </w:pPr>
            <w:r>
              <w:rPr>
                <w:b w:val="false"/>
                <w:bCs w:val="false"/>
              </w:rPr>
              <w:t xml:space="preserve">1,800</w:t>
            </w:r>
          </w:p>
        </w:tc>
      </w:tr>
      <w:tr>
        <w:tc>
          <w:tcPr>
            <w:tcW w:type="dxa" w:w="4200"/>
            <w:tcMar>
              <w:top w:type="dxa" w:w="100"/>
              <w:left w:type="dxa" w:w="120"/>
              <w:bottom w:type="dxa" w:w="100"/>
              <w:right w:type="dxa" w:w="120"/>
            </w:tcMar>
          </w:tcPr>
          <w:p>
            <w:r>
              <w:t xml:space="preserve">Launch marketing and opening event</w:t>
            </w:r>
          </w:p>
        </w:tc>
        <w:tc>
          <w:tcPr>
            <w:tcW w:type="dxa" w:w="1800"/>
            <w:tcMar>
              <w:top w:type="dxa" w:w="100"/>
              <w:left w:type="dxa" w:w="120"/>
              <w:bottom w:type="dxa" w:w="100"/>
              <w:right w:type="dxa" w:w="120"/>
            </w:tcMar>
          </w:tcPr>
          <w:p>
            <w:pPr>
              <w:jc w:val="right"/>
            </w:pPr>
            <w:r>
              <w:rPr>
                <w:b w:val="false"/>
                <w:bCs w:val="false"/>
              </w:rPr>
              <w:t xml:space="preserve">1,200</w:t>
            </w:r>
          </w:p>
        </w:tc>
      </w:tr>
      <w:tr>
        <w:tc>
          <w:tcPr>
            <w:tcW w:type="dxa" w:w="4200"/>
            <w:tcMar>
              <w:top w:type="dxa" w:w="100"/>
              <w:left w:type="dxa" w:w="120"/>
              <w:bottom w:type="dxa" w:w="100"/>
              <w:right w:type="dxa" w:w="120"/>
            </w:tcMar>
          </w:tcPr>
          <w:p>
            <w:r>
              <w:t xml:space="preserve">Registration, food hygiene certification, legal costs</w:t>
            </w:r>
          </w:p>
        </w:tc>
        <w:tc>
          <w:tcPr>
            <w:tcW w:type="dxa" w:w="1800"/>
            <w:tcMar>
              <w:top w:type="dxa" w:w="100"/>
              <w:left w:type="dxa" w:w="120"/>
              <w:bottom w:type="dxa" w:w="100"/>
              <w:right w:type="dxa" w:w="120"/>
            </w:tcMar>
          </w:tcPr>
          <w:p>
            <w:pPr>
              <w:jc w:val="right"/>
            </w:pPr>
            <w:r>
              <w:rPr>
                <w:b w:val="false"/>
                <w:bCs w:val="false"/>
              </w:rPr>
              <w:t xml:space="preserve">900</w:t>
            </w:r>
          </w:p>
        </w:tc>
      </w:tr>
      <w:tr>
        <w:tc>
          <w:tcPr>
            <w:tcW w:type="dxa" w:w="4200"/>
            <w:tcMar>
              <w:top w:type="dxa" w:w="100"/>
              <w:left w:type="dxa" w:w="120"/>
              <w:bottom w:type="dxa" w:w="100"/>
              <w:right w:type="dxa" w:w="120"/>
            </w:tcMar>
          </w:tcPr>
          <w:p>
            <w:r>
              <w:t xml:space="preserve">Total start-up expenses</w:t>
            </w:r>
          </w:p>
        </w:tc>
        <w:tc>
          <w:tcPr>
            <w:tcW w:type="dxa" w:w="1800"/>
            <w:tcMar>
              <w:top w:type="dxa" w:w="100"/>
              <w:left w:type="dxa" w:w="120"/>
              <w:bottom w:type="dxa" w:w="100"/>
              <w:right w:type="dxa" w:w="120"/>
            </w:tcMar>
          </w:tcPr>
          <w:p>
            <w:pPr>
              <w:jc w:val="right"/>
            </w:pPr>
            <w:r>
              <w:rPr>
                <w:b/>
                <w:bCs/>
              </w:rPr>
              <w:t xml:space="preserve">29,900</w:t>
            </w:r>
          </w:p>
        </w:tc>
      </w:tr>
      <w:tr>
        <w:tc>
          <w:tcPr>
            <w:tcW w:type="dxa" w:w="4200"/>
            <w:tcMar>
              <w:top w:type="dxa" w:w="100"/>
              <w:left w:type="dxa" w:w="120"/>
              <w:bottom w:type="dxa" w:w="100"/>
              <w:right w:type="dxa" w:w="120"/>
            </w:tcMar>
          </w:tcPr>
          <w:p>
            <w:r>
              <w:t xml:space="preserve">Working capital buffer</w:t>
            </w:r>
          </w:p>
        </w:tc>
        <w:tc>
          <w:tcPr>
            <w:tcW w:type="dxa" w:w="1800"/>
            <w:tcMar>
              <w:top w:type="dxa" w:w="100"/>
              <w:left w:type="dxa" w:w="120"/>
              <w:bottom w:type="dxa" w:w="100"/>
              <w:right w:type="dxa" w:w="120"/>
            </w:tcMar>
          </w:tcPr>
          <w:p>
            <w:pPr>
              <w:jc w:val="right"/>
            </w:pPr>
            <w:r>
              <w:rPr>
                <w:b w:val="false"/>
                <w:bCs w:val="false"/>
              </w:rPr>
              <w:t xml:space="preserve">4,100</w:t>
            </w:r>
          </w:p>
        </w:tc>
      </w:tr>
    </w:tbl>
    <w:p>
      <w:pPr>
        <w:spacing w:after="200" w:line="276"/>
      </w:pPr>
      <w:r>
        <w:t xml:space="preserve"/>
      </w:r>
    </w:p>
    <w:p>
      <w:pPr>
        <w:spacing w:after="200" w:line="276"/>
      </w:pPr>
      <w:r>
        <w:t xml:space="preserve">Together these expenses total approximately £29,900, leaving a working capital buffer of £4,100 to cover early trading costs, such as top-up stock orders, before monthly revenue stabilises. This buffer is deliberately conservative, reflecting the fact that footfall and average basket size typically take several weeks to build for a new independent café, and the founder would rather approach investors and lenders with a realistic cushion than risk a cash shortfall in the earliest and most vulnerable weeks of trading.</w:t>
      </w:r>
    </w:p>
    <w:p>
      <w:pPr>
        <w:pStyle w:val="Heading1"/>
      </w:pPr>
      <w:r>
        <w:t xml:space="preserve">Reference List</w:t>
      </w:r>
    </w:p>
    <w:p>
      <w:pPr>
        <w:spacing w:after="200" w:line="276"/>
      </w:pPr>
      <w:r>
        <w:t xml:space="preserve">British Business Bank. (2026). Start Up Loans. [Accessed July 2026].</w:t>
      </w:r>
    </w:p>
    <w:p>
      <w:pPr>
        <w:spacing w:after="200" w:line="276"/>
      </w:pPr>
      <w:r>
        <w:t xml:space="preserve">Department for Environment, Food and Rural Affairs. (2025). Household waste and recycling statistics. [Accessed July 2026].</w:t>
      </w:r>
    </w:p>
    <w:p>
      <w:pPr>
        <w:spacing w:after="200" w:line="276"/>
      </w:pPr>
      <w:r>
        <w:t xml:space="preserve">British Coffee Association. (2026). UK coffee market report. [Accessed July 2026].</w:t>
      </w:r>
    </w:p>
    <w:p>
      <w:pPr>
        <w:spacing w:after="200" w:line="276"/>
      </w:pPr>
      <w:r>
        <w:rPr>
          <w:i/>
          <w:iCs/>
        </w:rPr>
        <w:t xml:space="preserve">Note: Replace the entries above with the full, correctly formatted references (e.g., Harvard or APA style, as required by your module) for all sources actually used in your final submission.</w:t>
      </w:r>
    </w:p>
    <w:sectPr>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2026-07-26T17:13:29.418Z</dcterms:created>
  <dcterms:modified xsi:type="dcterms:W3CDTF">2026-07-26T17:13:29.418Z</dcterms:modified>
</cp:coreProperties>
</file>

<file path=docProps/custom.xml><?xml version="1.0" encoding="utf-8"?>
<Properties xmlns="http://schemas.openxmlformats.org/officeDocument/2006/custom-properties" xmlns:vt="http://schemas.openxmlformats.org/officeDocument/2006/docPropsVTypes"/>
</file>