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FC3364" w14:textId="15C8AB1B" w:rsidR="00BB0722" w:rsidRDefault="00CA4015">
      <w:pPr>
        <w:rPr>
          <w:rFonts w:ascii="Arial" w:hAnsi="Arial" w:cs="Arial"/>
          <w:sz w:val="60"/>
          <w:szCs w:val="60"/>
        </w:rPr>
      </w:pPr>
      <w:r w:rsidRPr="00CA4015">
        <w:rPr>
          <w:rFonts w:ascii="Arial" w:hAnsi="Arial" w:cs="Arial"/>
          <w:sz w:val="60"/>
          <w:szCs w:val="60"/>
        </w:rPr>
        <w:t>Student name: Mark Woodfield</w:t>
      </w:r>
    </w:p>
    <w:p w14:paraId="59609AF3" w14:textId="77777777" w:rsidR="00CA4015" w:rsidRPr="00CA4015" w:rsidRDefault="00CA4015">
      <w:pPr>
        <w:rPr>
          <w:rFonts w:ascii="Arial" w:hAnsi="Arial" w:cs="Arial"/>
          <w:sz w:val="60"/>
          <w:szCs w:val="60"/>
        </w:rPr>
      </w:pPr>
    </w:p>
    <w:p w14:paraId="4B78B226" w14:textId="5EAE95B9" w:rsidR="00CA4015" w:rsidRDefault="00CA4015">
      <w:pPr>
        <w:rPr>
          <w:rFonts w:ascii="Arial" w:hAnsi="Arial" w:cs="Arial"/>
          <w:sz w:val="60"/>
          <w:szCs w:val="60"/>
        </w:rPr>
      </w:pPr>
      <w:r w:rsidRPr="00CA4015">
        <w:rPr>
          <w:rFonts w:ascii="Arial" w:hAnsi="Arial" w:cs="Arial"/>
          <w:sz w:val="60"/>
          <w:szCs w:val="60"/>
        </w:rPr>
        <w:t>Student number: 2437576</w:t>
      </w:r>
    </w:p>
    <w:p w14:paraId="34C73E76" w14:textId="77777777" w:rsidR="00CA4015" w:rsidRPr="00CA4015" w:rsidRDefault="00CA4015">
      <w:pPr>
        <w:rPr>
          <w:rFonts w:ascii="Arial" w:hAnsi="Arial" w:cs="Arial"/>
          <w:sz w:val="60"/>
          <w:szCs w:val="60"/>
        </w:rPr>
      </w:pPr>
    </w:p>
    <w:p w14:paraId="648F8395" w14:textId="4D9AB240" w:rsidR="00CA4015" w:rsidRDefault="00CA4015">
      <w:pPr>
        <w:rPr>
          <w:rFonts w:ascii="Arial" w:hAnsi="Arial" w:cs="Arial"/>
          <w:sz w:val="60"/>
          <w:szCs w:val="60"/>
        </w:rPr>
      </w:pPr>
      <w:r w:rsidRPr="00CA4015">
        <w:rPr>
          <w:rFonts w:ascii="Arial" w:hAnsi="Arial" w:cs="Arial"/>
          <w:sz w:val="60"/>
          <w:szCs w:val="60"/>
        </w:rPr>
        <w:t>Module: Psychology In Health and Social Care</w:t>
      </w:r>
    </w:p>
    <w:p w14:paraId="48CD459D" w14:textId="77777777" w:rsidR="00CA4015" w:rsidRPr="00CA4015" w:rsidRDefault="00CA4015">
      <w:pPr>
        <w:rPr>
          <w:rFonts w:ascii="Arial" w:hAnsi="Arial" w:cs="Arial"/>
          <w:sz w:val="60"/>
          <w:szCs w:val="60"/>
        </w:rPr>
      </w:pPr>
    </w:p>
    <w:p w14:paraId="46544087" w14:textId="4DC9DFA9" w:rsidR="00CA4015" w:rsidRDefault="00CA4015">
      <w:pPr>
        <w:rPr>
          <w:rFonts w:ascii="Arial" w:hAnsi="Arial" w:cs="Arial"/>
          <w:sz w:val="60"/>
          <w:szCs w:val="60"/>
        </w:rPr>
      </w:pPr>
      <w:r w:rsidRPr="00CA4015">
        <w:rPr>
          <w:rFonts w:ascii="Arial" w:hAnsi="Arial" w:cs="Arial"/>
          <w:sz w:val="60"/>
          <w:szCs w:val="60"/>
        </w:rPr>
        <w:t>Module code: LCHS 4010</w:t>
      </w:r>
    </w:p>
    <w:p w14:paraId="7A782742" w14:textId="77777777" w:rsidR="00CA4015" w:rsidRPr="00CA4015" w:rsidRDefault="00CA4015">
      <w:pPr>
        <w:rPr>
          <w:rFonts w:ascii="Arial" w:hAnsi="Arial" w:cs="Arial"/>
          <w:sz w:val="60"/>
          <w:szCs w:val="60"/>
        </w:rPr>
      </w:pPr>
    </w:p>
    <w:p w14:paraId="1EFC3409" w14:textId="33AEF68A" w:rsidR="00CA4015" w:rsidRDefault="00CA4015">
      <w:pPr>
        <w:rPr>
          <w:rFonts w:ascii="Arial" w:hAnsi="Arial" w:cs="Arial"/>
          <w:sz w:val="60"/>
          <w:szCs w:val="60"/>
        </w:rPr>
      </w:pPr>
      <w:r w:rsidRPr="00CA4015">
        <w:rPr>
          <w:rFonts w:ascii="Arial" w:hAnsi="Arial" w:cs="Arial"/>
          <w:sz w:val="60"/>
          <w:szCs w:val="60"/>
        </w:rPr>
        <w:t>Lecturers name: Alice Clayton</w:t>
      </w:r>
    </w:p>
    <w:p w14:paraId="3B9A7379" w14:textId="77777777" w:rsidR="00CA4015" w:rsidRDefault="00CA4015">
      <w:pPr>
        <w:rPr>
          <w:rFonts w:ascii="Arial" w:hAnsi="Arial" w:cs="Arial"/>
          <w:sz w:val="60"/>
          <w:szCs w:val="60"/>
        </w:rPr>
      </w:pPr>
    </w:p>
    <w:p w14:paraId="21A9800A" w14:textId="77777777" w:rsidR="00CA4015" w:rsidRDefault="00CA4015">
      <w:pPr>
        <w:rPr>
          <w:rFonts w:ascii="Arial" w:hAnsi="Arial" w:cs="Arial"/>
          <w:sz w:val="60"/>
          <w:szCs w:val="60"/>
        </w:rPr>
      </w:pPr>
    </w:p>
    <w:p w14:paraId="31F29D72" w14:textId="77777777" w:rsidR="0026639F" w:rsidRDefault="0026639F">
      <w:pPr>
        <w:rPr>
          <w:rFonts w:ascii="Arial" w:hAnsi="Arial" w:cs="Arial"/>
          <w:sz w:val="60"/>
          <w:szCs w:val="60"/>
        </w:rPr>
      </w:pPr>
    </w:p>
    <w:p w14:paraId="5CB47FDB" w14:textId="77777777" w:rsidR="0026639F" w:rsidRDefault="0026639F">
      <w:pPr>
        <w:rPr>
          <w:rFonts w:ascii="Arial" w:hAnsi="Arial" w:cs="Arial"/>
          <w:sz w:val="60"/>
          <w:szCs w:val="60"/>
        </w:rPr>
      </w:pPr>
    </w:p>
    <w:p w14:paraId="10DA5659" w14:textId="77777777" w:rsidR="0026639F" w:rsidRDefault="0026639F">
      <w:pPr>
        <w:rPr>
          <w:rFonts w:ascii="Arial" w:hAnsi="Arial" w:cs="Arial"/>
          <w:sz w:val="60"/>
          <w:szCs w:val="60"/>
        </w:rPr>
      </w:pPr>
    </w:p>
    <w:p w14:paraId="684FDCF4" w14:textId="042C1C54" w:rsidR="0026639F" w:rsidRDefault="0026639F" w:rsidP="0026639F">
      <w:pPr>
        <w:jc w:val="center"/>
        <w:rPr>
          <w:rFonts w:ascii="Arial" w:hAnsi="Arial" w:cs="Arial"/>
          <w:sz w:val="60"/>
          <w:szCs w:val="60"/>
        </w:rPr>
      </w:pPr>
      <w:r>
        <w:rPr>
          <w:rFonts w:ascii="Arial" w:hAnsi="Arial" w:cs="Arial"/>
          <w:sz w:val="60"/>
          <w:szCs w:val="60"/>
        </w:rPr>
        <w:lastRenderedPageBreak/>
        <w:t>Contents.</w:t>
      </w:r>
    </w:p>
    <w:p w14:paraId="6D335DB7" w14:textId="77777777" w:rsidR="0026639F" w:rsidRDefault="0026639F" w:rsidP="0026639F">
      <w:pPr>
        <w:rPr>
          <w:rFonts w:ascii="Arial" w:hAnsi="Arial" w:cs="Arial"/>
          <w:sz w:val="60"/>
          <w:szCs w:val="60"/>
        </w:rPr>
      </w:pPr>
    </w:p>
    <w:p w14:paraId="144B0095" w14:textId="66E011A8" w:rsidR="0026639F" w:rsidRDefault="0026639F" w:rsidP="0026639F">
      <w:pPr>
        <w:jc w:val="center"/>
        <w:rPr>
          <w:rFonts w:ascii="Arial" w:hAnsi="Arial" w:cs="Arial"/>
          <w:sz w:val="60"/>
          <w:szCs w:val="60"/>
        </w:rPr>
      </w:pPr>
      <w:r>
        <w:rPr>
          <w:rFonts w:ascii="Arial" w:hAnsi="Arial" w:cs="Arial"/>
          <w:sz w:val="60"/>
          <w:szCs w:val="60"/>
        </w:rPr>
        <w:t>Page</w:t>
      </w:r>
      <w:r w:rsidR="00C11D7D">
        <w:rPr>
          <w:rFonts w:ascii="Arial" w:hAnsi="Arial" w:cs="Arial"/>
          <w:sz w:val="60"/>
          <w:szCs w:val="60"/>
        </w:rPr>
        <w:t>s</w:t>
      </w:r>
      <w:r>
        <w:rPr>
          <w:rFonts w:ascii="Arial" w:hAnsi="Arial" w:cs="Arial"/>
          <w:sz w:val="60"/>
          <w:szCs w:val="60"/>
        </w:rPr>
        <w:t xml:space="preserve"> </w:t>
      </w:r>
      <w:r w:rsidR="00C11D7D">
        <w:rPr>
          <w:rFonts w:ascii="Arial" w:hAnsi="Arial" w:cs="Arial"/>
          <w:sz w:val="60"/>
          <w:szCs w:val="60"/>
        </w:rPr>
        <w:t>2-4</w:t>
      </w:r>
    </w:p>
    <w:p w14:paraId="5929D6F5" w14:textId="77777777" w:rsidR="0026639F" w:rsidRDefault="0026639F" w:rsidP="0026639F">
      <w:pPr>
        <w:rPr>
          <w:rFonts w:ascii="Arial" w:hAnsi="Arial" w:cs="Arial"/>
          <w:sz w:val="60"/>
          <w:szCs w:val="60"/>
        </w:rPr>
      </w:pPr>
      <w:r>
        <w:rPr>
          <w:rFonts w:ascii="Arial" w:hAnsi="Arial" w:cs="Arial"/>
          <w:sz w:val="60"/>
          <w:szCs w:val="60"/>
        </w:rPr>
        <w:t xml:space="preserve"> </w:t>
      </w:r>
    </w:p>
    <w:p w14:paraId="00661FBE" w14:textId="31EFD778" w:rsidR="0026639F" w:rsidRDefault="0026639F" w:rsidP="0026639F">
      <w:pPr>
        <w:rPr>
          <w:rFonts w:ascii="Arial" w:hAnsi="Arial" w:cs="Arial"/>
          <w:sz w:val="60"/>
          <w:szCs w:val="60"/>
        </w:rPr>
      </w:pPr>
      <w:r>
        <w:rPr>
          <w:rFonts w:ascii="Arial" w:hAnsi="Arial" w:cs="Arial"/>
          <w:sz w:val="60"/>
          <w:szCs w:val="60"/>
        </w:rPr>
        <w:t>Component 1.</w:t>
      </w:r>
    </w:p>
    <w:p w14:paraId="6690A433" w14:textId="77777777" w:rsidR="0026639F" w:rsidRDefault="0026639F" w:rsidP="0026639F">
      <w:pPr>
        <w:rPr>
          <w:rFonts w:ascii="Arial" w:hAnsi="Arial" w:cs="Arial"/>
          <w:sz w:val="60"/>
          <w:szCs w:val="60"/>
        </w:rPr>
      </w:pPr>
    </w:p>
    <w:p w14:paraId="2B1038DD" w14:textId="09367F31" w:rsidR="0026639F" w:rsidRDefault="0026639F" w:rsidP="0026639F">
      <w:pPr>
        <w:rPr>
          <w:rFonts w:ascii="Arial" w:hAnsi="Arial" w:cs="Arial"/>
          <w:sz w:val="60"/>
          <w:szCs w:val="60"/>
        </w:rPr>
      </w:pPr>
      <w:r>
        <w:rPr>
          <w:rFonts w:ascii="Arial" w:hAnsi="Arial" w:cs="Arial"/>
          <w:sz w:val="60"/>
          <w:szCs w:val="60"/>
        </w:rPr>
        <w:t>Annotated bibliography.</w:t>
      </w:r>
    </w:p>
    <w:p w14:paraId="210D284F" w14:textId="77777777" w:rsidR="0026639F" w:rsidRDefault="0026639F" w:rsidP="0026639F">
      <w:pPr>
        <w:rPr>
          <w:rFonts w:ascii="Arial" w:hAnsi="Arial" w:cs="Arial"/>
          <w:sz w:val="60"/>
          <w:szCs w:val="60"/>
        </w:rPr>
      </w:pPr>
    </w:p>
    <w:p w14:paraId="1902BDC6" w14:textId="633D053B" w:rsidR="0026639F" w:rsidRDefault="0026639F" w:rsidP="0026639F">
      <w:pPr>
        <w:jc w:val="center"/>
        <w:rPr>
          <w:rFonts w:ascii="Arial" w:hAnsi="Arial" w:cs="Arial"/>
          <w:sz w:val="60"/>
          <w:szCs w:val="60"/>
        </w:rPr>
      </w:pPr>
      <w:r>
        <w:rPr>
          <w:rFonts w:ascii="Arial" w:hAnsi="Arial" w:cs="Arial"/>
          <w:sz w:val="60"/>
          <w:szCs w:val="60"/>
        </w:rPr>
        <w:t>Page</w:t>
      </w:r>
      <w:r w:rsidR="00C11D7D">
        <w:rPr>
          <w:rFonts w:ascii="Arial" w:hAnsi="Arial" w:cs="Arial"/>
          <w:sz w:val="60"/>
          <w:szCs w:val="60"/>
        </w:rPr>
        <w:t>s 5-</w:t>
      </w:r>
      <w:r w:rsidR="00746CE2">
        <w:rPr>
          <w:rFonts w:ascii="Arial" w:hAnsi="Arial" w:cs="Arial"/>
          <w:sz w:val="60"/>
          <w:szCs w:val="60"/>
        </w:rPr>
        <w:t>6</w:t>
      </w:r>
    </w:p>
    <w:p w14:paraId="7C7123CA" w14:textId="77777777" w:rsidR="0026639F" w:rsidRDefault="0026639F" w:rsidP="0026639F">
      <w:pPr>
        <w:rPr>
          <w:rFonts w:ascii="Arial" w:hAnsi="Arial" w:cs="Arial"/>
          <w:sz w:val="60"/>
          <w:szCs w:val="60"/>
        </w:rPr>
      </w:pPr>
    </w:p>
    <w:p w14:paraId="3E8B5AD3" w14:textId="264082E2" w:rsidR="0026639F" w:rsidRDefault="0026639F" w:rsidP="0026639F">
      <w:pPr>
        <w:rPr>
          <w:rFonts w:ascii="Arial" w:hAnsi="Arial" w:cs="Arial"/>
          <w:sz w:val="60"/>
          <w:szCs w:val="60"/>
        </w:rPr>
      </w:pPr>
      <w:r>
        <w:rPr>
          <w:rFonts w:ascii="Arial" w:hAnsi="Arial" w:cs="Arial"/>
          <w:sz w:val="60"/>
          <w:szCs w:val="60"/>
        </w:rPr>
        <w:t>Component 2.</w:t>
      </w:r>
    </w:p>
    <w:p w14:paraId="10836145" w14:textId="77777777" w:rsidR="0026639F" w:rsidRDefault="0026639F" w:rsidP="0026639F">
      <w:pPr>
        <w:rPr>
          <w:rFonts w:ascii="Arial" w:hAnsi="Arial" w:cs="Arial"/>
          <w:sz w:val="60"/>
          <w:szCs w:val="60"/>
        </w:rPr>
      </w:pPr>
    </w:p>
    <w:p w14:paraId="33C60566" w14:textId="3447A14D" w:rsidR="0026639F" w:rsidRDefault="0026639F" w:rsidP="0026639F">
      <w:pPr>
        <w:rPr>
          <w:rFonts w:ascii="Arial" w:hAnsi="Arial" w:cs="Arial"/>
          <w:sz w:val="60"/>
          <w:szCs w:val="60"/>
        </w:rPr>
      </w:pPr>
      <w:r>
        <w:rPr>
          <w:rFonts w:ascii="Arial" w:hAnsi="Arial" w:cs="Arial"/>
          <w:sz w:val="60"/>
          <w:szCs w:val="60"/>
        </w:rPr>
        <w:t>Report.</w:t>
      </w:r>
    </w:p>
    <w:p w14:paraId="1A706FCE" w14:textId="77777777" w:rsidR="0026639F" w:rsidRDefault="0026639F" w:rsidP="0026639F">
      <w:pPr>
        <w:rPr>
          <w:rFonts w:ascii="Arial" w:hAnsi="Arial" w:cs="Arial"/>
          <w:sz w:val="60"/>
          <w:szCs w:val="60"/>
        </w:rPr>
      </w:pPr>
    </w:p>
    <w:p w14:paraId="06C4A063" w14:textId="77777777" w:rsidR="0026639F" w:rsidRDefault="0026639F" w:rsidP="0026639F">
      <w:pPr>
        <w:rPr>
          <w:rFonts w:ascii="Arial" w:hAnsi="Arial" w:cs="Arial"/>
          <w:sz w:val="60"/>
          <w:szCs w:val="60"/>
        </w:rPr>
      </w:pPr>
    </w:p>
    <w:p w14:paraId="623BA526" w14:textId="77777777" w:rsidR="0026639F" w:rsidRPr="00AD0E0A" w:rsidRDefault="0026639F" w:rsidP="0026639F">
      <w:pPr>
        <w:rPr>
          <w:rFonts w:ascii="Arial" w:hAnsi="Arial" w:cs="Arial"/>
        </w:rPr>
      </w:pPr>
    </w:p>
    <w:p w14:paraId="78856E92" w14:textId="02D2142E" w:rsidR="0026639F" w:rsidRDefault="00AD0E0A" w:rsidP="0026639F">
      <w:pPr>
        <w:rPr>
          <w:rFonts w:ascii="Arial" w:hAnsi="Arial" w:cs="Arial"/>
          <w:b/>
          <w:bCs/>
          <w:u w:val="single"/>
        </w:rPr>
      </w:pPr>
      <w:r>
        <w:rPr>
          <w:rFonts w:ascii="Arial" w:hAnsi="Arial" w:cs="Arial"/>
          <w:b/>
          <w:bCs/>
          <w:u w:val="single"/>
        </w:rPr>
        <w:lastRenderedPageBreak/>
        <w:t>Component 1.</w:t>
      </w:r>
    </w:p>
    <w:p w14:paraId="150D93E6" w14:textId="4EC93CEE" w:rsidR="00AD0E0A" w:rsidRDefault="00AD0E0A" w:rsidP="00AD0E0A">
      <w:pPr>
        <w:rPr>
          <w:rFonts w:ascii="Arial" w:hAnsi="Arial" w:cs="Arial"/>
        </w:rPr>
      </w:pPr>
      <w:r>
        <w:rPr>
          <w:rFonts w:ascii="Arial" w:hAnsi="Arial" w:cs="Arial"/>
        </w:rPr>
        <w:t>Erikson – psychosocial theory.</w:t>
      </w:r>
    </w:p>
    <w:p w14:paraId="61F55C20" w14:textId="4448ED7C" w:rsidR="00AD0E0A" w:rsidRDefault="00AD0E0A" w:rsidP="00AD0E0A">
      <w:pPr>
        <w:rPr>
          <w:rFonts w:ascii="Arial" w:hAnsi="Arial" w:cs="Arial"/>
        </w:rPr>
      </w:pPr>
      <w:r>
        <w:rPr>
          <w:rFonts w:ascii="Arial" w:hAnsi="Arial" w:cs="Arial"/>
        </w:rPr>
        <w:t>Reference. Erikson, E H. (1982).</w:t>
      </w:r>
    </w:p>
    <w:p w14:paraId="65F26F1A" w14:textId="264DF9E9" w:rsidR="00AD0E0A" w:rsidRDefault="00AD0E0A" w:rsidP="00AD0E0A">
      <w:pPr>
        <w:rPr>
          <w:rFonts w:ascii="Arial" w:hAnsi="Arial" w:cs="Arial"/>
          <w:i/>
          <w:iCs/>
        </w:rPr>
      </w:pPr>
      <w:r>
        <w:rPr>
          <w:rFonts w:ascii="Arial" w:hAnsi="Arial" w:cs="Arial"/>
          <w:i/>
          <w:iCs/>
        </w:rPr>
        <w:t>The life cycle completed.</w:t>
      </w:r>
    </w:p>
    <w:p w14:paraId="79C52813" w14:textId="50DE5AFA" w:rsidR="00AD0E0A" w:rsidRDefault="00AD0E0A" w:rsidP="00AD0E0A">
      <w:pPr>
        <w:rPr>
          <w:rFonts w:ascii="Arial" w:hAnsi="Arial" w:cs="Arial"/>
          <w:i/>
          <w:iCs/>
        </w:rPr>
      </w:pPr>
      <w:r>
        <w:rPr>
          <w:rFonts w:ascii="Arial" w:hAnsi="Arial" w:cs="Arial"/>
          <w:i/>
          <w:iCs/>
        </w:rPr>
        <w:t>New York, W.W. Norton &amp; Company.</w:t>
      </w:r>
    </w:p>
    <w:p w14:paraId="3F87F3C2" w14:textId="6EC024AE" w:rsidR="00AD0E0A" w:rsidRDefault="00AD0E0A" w:rsidP="002428DF">
      <w:pPr>
        <w:pStyle w:val="ListParagraph"/>
        <w:numPr>
          <w:ilvl w:val="0"/>
          <w:numId w:val="2"/>
        </w:numPr>
        <w:rPr>
          <w:rFonts w:ascii="Arial" w:hAnsi="Arial" w:cs="Arial"/>
        </w:rPr>
      </w:pPr>
      <w:r w:rsidRPr="002428DF">
        <w:rPr>
          <w:rFonts w:ascii="Arial" w:hAnsi="Arial" w:cs="Arial"/>
        </w:rPr>
        <w:t>Within this theory, Erikson explains human development as a series of stages that occur across a lifespan. The final stage occurring in older adults and is described as ego integrity versus despair. It is said that at this stage qn individual will reflect on their life experiences and reflect on whether they are satisfied with the life they have live</w:t>
      </w:r>
      <w:r w:rsidR="00414904" w:rsidRPr="002428DF">
        <w:rPr>
          <w:rFonts w:ascii="Arial" w:hAnsi="Arial" w:cs="Arial"/>
        </w:rPr>
        <w:t xml:space="preserve"> </w:t>
      </w:r>
      <w:r w:rsidRPr="002428DF">
        <w:rPr>
          <w:rFonts w:ascii="Arial" w:hAnsi="Arial" w:cs="Arial"/>
        </w:rPr>
        <w:t>if indeed the individual feels content and satisfied with what they have achieved</w:t>
      </w:r>
      <w:r w:rsidR="00414904" w:rsidRPr="002428DF">
        <w:rPr>
          <w:rFonts w:ascii="Arial" w:hAnsi="Arial" w:cs="Arial"/>
        </w:rPr>
        <w:t>, they develop what is called ego integrity. Giving the individual the sense of emotional stability and improved wellbeing. However, if they feel regret or disappointment this results in the opposite making the person feel anxious and depressed and will greatly reduce their wellbeing and quality of life. When dealing with older people in a health and care setting. This theory is relevant as you are dealing with people who have or might recently be retiring many of which will have plenty of time on their hands and will inevitably be looking back at their lives and deciding whether they are happy with their achievements or not. Both of which will have a big impact on their behaviour and well being, whatever they decide. Care can be adapted and provided equally and fairly to the older person</w:t>
      </w:r>
      <w:r w:rsidR="002428DF" w:rsidRPr="002428DF">
        <w:rPr>
          <w:rFonts w:ascii="Arial" w:hAnsi="Arial" w:cs="Arial"/>
        </w:rPr>
        <w:t xml:space="preserve"> through encouragement for those who may have regret and by enhancing those who feel a sense of achievement.</w:t>
      </w:r>
    </w:p>
    <w:p w14:paraId="639E1DB9" w14:textId="77777777" w:rsidR="002428DF" w:rsidRDefault="002428DF" w:rsidP="002428DF">
      <w:pPr>
        <w:pStyle w:val="ListParagraph"/>
        <w:numPr>
          <w:ilvl w:val="0"/>
          <w:numId w:val="2"/>
        </w:numPr>
        <w:rPr>
          <w:rFonts w:ascii="Arial" w:hAnsi="Arial" w:cs="Arial"/>
        </w:rPr>
      </w:pPr>
      <w:r w:rsidRPr="002428DF">
        <w:rPr>
          <w:rFonts w:ascii="Arial" w:hAnsi="Arial" w:cs="Arial"/>
        </w:rPr>
        <w:t xml:space="preserve">Bowlby – attachment theory. </w:t>
      </w:r>
    </w:p>
    <w:p w14:paraId="574BA115" w14:textId="77777777" w:rsidR="002428DF" w:rsidRDefault="002428DF" w:rsidP="002428DF">
      <w:pPr>
        <w:pStyle w:val="ListParagraph"/>
        <w:rPr>
          <w:rFonts w:ascii="Arial" w:hAnsi="Arial" w:cs="Arial"/>
        </w:rPr>
      </w:pPr>
      <w:r>
        <w:rPr>
          <w:rFonts w:ascii="Arial" w:hAnsi="Arial" w:cs="Arial"/>
        </w:rPr>
        <w:t>R</w:t>
      </w:r>
      <w:r w:rsidRPr="002428DF">
        <w:rPr>
          <w:rFonts w:ascii="Arial" w:hAnsi="Arial" w:cs="Arial"/>
        </w:rPr>
        <w:t>eference Bowlby. J. (1988)</w:t>
      </w:r>
      <w:r>
        <w:rPr>
          <w:rFonts w:ascii="Arial" w:hAnsi="Arial" w:cs="Arial"/>
        </w:rPr>
        <w:t>.</w:t>
      </w:r>
    </w:p>
    <w:p w14:paraId="527E6E0A" w14:textId="4F9FE5AF" w:rsidR="002428DF" w:rsidRDefault="002428DF" w:rsidP="002428DF">
      <w:pPr>
        <w:pStyle w:val="ListParagraph"/>
        <w:rPr>
          <w:rFonts w:ascii="Arial" w:hAnsi="Arial" w:cs="Arial"/>
          <w:i/>
          <w:iCs/>
        </w:rPr>
      </w:pPr>
      <w:r>
        <w:rPr>
          <w:rFonts w:ascii="Arial" w:hAnsi="Arial" w:cs="Arial"/>
          <w:i/>
          <w:iCs/>
        </w:rPr>
        <w:t>A secure base, parent- child attachment and healthy human development.</w:t>
      </w:r>
    </w:p>
    <w:p w14:paraId="347F5CDB" w14:textId="63633584" w:rsidR="002428DF" w:rsidRDefault="002428DF" w:rsidP="002428DF">
      <w:pPr>
        <w:pStyle w:val="ListParagraph"/>
        <w:rPr>
          <w:rFonts w:ascii="Arial" w:hAnsi="Arial" w:cs="Arial"/>
        </w:rPr>
      </w:pPr>
      <w:r>
        <w:rPr>
          <w:rFonts w:ascii="Arial" w:hAnsi="Arial" w:cs="Arial"/>
        </w:rPr>
        <w:t>London Routledge.</w:t>
      </w:r>
    </w:p>
    <w:p w14:paraId="23A8CC9D" w14:textId="39A14DE8" w:rsidR="002428DF" w:rsidRDefault="002428DF" w:rsidP="002428DF">
      <w:pPr>
        <w:pStyle w:val="ListParagraph"/>
        <w:rPr>
          <w:rFonts w:ascii="Arial" w:hAnsi="Arial" w:cs="Arial"/>
        </w:rPr>
      </w:pPr>
      <w:r>
        <w:rPr>
          <w:rFonts w:ascii="Arial" w:hAnsi="Arial" w:cs="Arial"/>
        </w:rPr>
        <w:t>Bowlbys theory explains the importance of early relationships with caregiv</w:t>
      </w:r>
      <w:r w:rsidR="00234EBE">
        <w:rPr>
          <w:rFonts w:ascii="Arial" w:hAnsi="Arial" w:cs="Arial"/>
        </w:rPr>
        <w:t>er</w:t>
      </w:r>
      <w:r>
        <w:rPr>
          <w:rFonts w:ascii="Arial" w:hAnsi="Arial" w:cs="Arial"/>
        </w:rPr>
        <w:t>s and how it shapes a person’s emotional</w:t>
      </w:r>
      <w:r w:rsidR="00234EBE">
        <w:rPr>
          <w:rFonts w:ascii="Arial" w:hAnsi="Arial" w:cs="Arial"/>
        </w:rPr>
        <w:t xml:space="preserve"> development throughout life. These patterns continue through adulthood and into old age. When reaching old age this becomes more apparent. The attachment becomes more stronger due to increased dependency due to illness, disability or loss of a loved one. Older adults with more security in a relationship will cope better with stress and life changes compared with those who are less supported. The individual may feel more lonely, stressed and even depressed. This theory of attachment works well in a health and social setting where a person is reliant on the carer or professional for support. By building a trusting relationship with those in your care it will reduce distress and make the person feel safe. This theory also looks at the importance of family involvement so where possible try to encourage this as this will help improve bonds and strengthen a person’s wellbeing. Applying this theory in a care home setting will create a supportive environment where individuals will feel safe and secure.</w:t>
      </w:r>
    </w:p>
    <w:p w14:paraId="7D9FD9EC" w14:textId="5A17AB18" w:rsidR="008352BC" w:rsidRDefault="008352BC" w:rsidP="008352BC">
      <w:pPr>
        <w:pStyle w:val="ListParagraph"/>
        <w:numPr>
          <w:ilvl w:val="0"/>
          <w:numId w:val="2"/>
        </w:numPr>
        <w:rPr>
          <w:rFonts w:ascii="Arial" w:hAnsi="Arial" w:cs="Arial"/>
        </w:rPr>
      </w:pPr>
      <w:r>
        <w:rPr>
          <w:rFonts w:ascii="Arial" w:hAnsi="Arial" w:cs="Arial"/>
        </w:rPr>
        <w:t>Activity theory.</w:t>
      </w:r>
    </w:p>
    <w:p w14:paraId="2B7FF0C3" w14:textId="4780342F" w:rsidR="008352BC" w:rsidRDefault="008352BC" w:rsidP="008352BC">
      <w:pPr>
        <w:pStyle w:val="ListParagraph"/>
        <w:rPr>
          <w:rFonts w:ascii="Arial" w:hAnsi="Arial" w:cs="Arial"/>
        </w:rPr>
      </w:pPr>
      <w:r>
        <w:rPr>
          <w:rFonts w:ascii="Arial" w:hAnsi="Arial" w:cs="Arial"/>
        </w:rPr>
        <w:t>Reference: Havigurst. R.J. (1961).</w:t>
      </w:r>
    </w:p>
    <w:p w14:paraId="7E11AADD" w14:textId="65878354" w:rsidR="008352BC" w:rsidRDefault="008352BC" w:rsidP="008352BC">
      <w:pPr>
        <w:pStyle w:val="ListParagraph"/>
        <w:rPr>
          <w:rFonts w:ascii="Arial" w:hAnsi="Arial" w:cs="Arial"/>
          <w:i/>
          <w:iCs/>
        </w:rPr>
      </w:pPr>
      <w:r>
        <w:rPr>
          <w:rFonts w:ascii="Arial" w:hAnsi="Arial" w:cs="Arial"/>
          <w:i/>
          <w:iCs/>
        </w:rPr>
        <w:t>Successful ageing. The Gerontologist, 1 (1), 8-13.</w:t>
      </w:r>
    </w:p>
    <w:p w14:paraId="3D483AE0" w14:textId="4FA7952B" w:rsidR="008352BC" w:rsidRDefault="008352BC" w:rsidP="008352BC">
      <w:pPr>
        <w:pStyle w:val="ListParagraph"/>
        <w:rPr>
          <w:rFonts w:ascii="Arial" w:hAnsi="Arial" w:cs="Arial"/>
        </w:rPr>
      </w:pPr>
      <w:r>
        <w:rPr>
          <w:rFonts w:ascii="Arial" w:hAnsi="Arial" w:cs="Arial"/>
        </w:rPr>
        <w:t>Activity theory explains that older adults gain a far greater sense of wellbeing when they remain active and continue to take part in social, physical and meaningful activities. Havigurst argues that successful ageing is more apparent In those people that maintain roles, relationships and interests similar to those they had in earlier life.</w:t>
      </w:r>
      <w:r w:rsidR="00D7257B">
        <w:rPr>
          <w:rFonts w:ascii="Arial" w:hAnsi="Arial" w:cs="Arial"/>
        </w:rPr>
        <w:t xml:space="preserve"> It’s been proven that staying active can improve mental health, reduce loneliness and increase wellbeing in older adults. This theory is perfect in a care home setting when </w:t>
      </w:r>
      <w:r w:rsidR="00D7257B">
        <w:rPr>
          <w:rFonts w:ascii="Arial" w:hAnsi="Arial" w:cs="Arial"/>
        </w:rPr>
        <w:lastRenderedPageBreak/>
        <w:t>encouraging residents to take part in hobbies, social groups and daily tasks. Supporting participation in the activities can help an older person maintain a sense of purpose and identity. Social interaction and community involvement can promote positive</w:t>
      </w:r>
      <w:r w:rsidR="00720376">
        <w:rPr>
          <w:rFonts w:ascii="Arial" w:hAnsi="Arial" w:cs="Arial"/>
        </w:rPr>
        <w:t xml:space="preserve"> ageing and improve overall wellbeing. All of which are very helpful in a care home setting.</w:t>
      </w:r>
    </w:p>
    <w:p w14:paraId="27B0B613" w14:textId="39D7F4E1" w:rsidR="00720376" w:rsidRDefault="00720376" w:rsidP="00720376">
      <w:pPr>
        <w:pStyle w:val="ListParagraph"/>
        <w:numPr>
          <w:ilvl w:val="0"/>
          <w:numId w:val="2"/>
        </w:numPr>
        <w:rPr>
          <w:rFonts w:ascii="Arial" w:hAnsi="Arial" w:cs="Arial"/>
        </w:rPr>
      </w:pPr>
      <w:r>
        <w:rPr>
          <w:rFonts w:ascii="Arial" w:hAnsi="Arial" w:cs="Arial"/>
        </w:rPr>
        <w:t>Disengagement theory.</w:t>
      </w:r>
    </w:p>
    <w:p w14:paraId="48D650FE" w14:textId="6A78F662" w:rsidR="00720376" w:rsidRDefault="00720376" w:rsidP="00720376">
      <w:pPr>
        <w:pStyle w:val="ListParagraph"/>
        <w:rPr>
          <w:rFonts w:ascii="Arial" w:hAnsi="Arial" w:cs="Arial"/>
        </w:rPr>
      </w:pPr>
      <w:r>
        <w:rPr>
          <w:rFonts w:ascii="Arial" w:hAnsi="Arial" w:cs="Arial"/>
        </w:rPr>
        <w:t>Reference. Cumming. E &amp; Henry. W.E (1961).</w:t>
      </w:r>
    </w:p>
    <w:p w14:paraId="44C58756" w14:textId="713F3F0B" w:rsidR="00720376" w:rsidRDefault="00720376" w:rsidP="00720376">
      <w:pPr>
        <w:pStyle w:val="ListParagraph"/>
        <w:rPr>
          <w:rFonts w:ascii="Arial" w:hAnsi="Arial" w:cs="Arial"/>
          <w:i/>
          <w:iCs/>
        </w:rPr>
      </w:pPr>
      <w:r>
        <w:rPr>
          <w:rFonts w:ascii="Arial" w:hAnsi="Arial" w:cs="Arial"/>
          <w:i/>
          <w:iCs/>
        </w:rPr>
        <w:t>Growing old: the process of disengagement.</w:t>
      </w:r>
    </w:p>
    <w:p w14:paraId="371F9354" w14:textId="1E90026E" w:rsidR="00720376" w:rsidRDefault="00720376" w:rsidP="00720376">
      <w:pPr>
        <w:pStyle w:val="ListParagraph"/>
        <w:rPr>
          <w:rFonts w:ascii="Arial" w:hAnsi="Arial" w:cs="Arial"/>
        </w:rPr>
      </w:pPr>
      <w:r>
        <w:rPr>
          <w:rFonts w:ascii="Arial" w:hAnsi="Arial" w:cs="Arial"/>
        </w:rPr>
        <w:t>New York Basic Books.</w:t>
      </w:r>
    </w:p>
    <w:p w14:paraId="1B81B9BA" w14:textId="47067DD4" w:rsidR="00720376" w:rsidRPr="00720376" w:rsidRDefault="00720376" w:rsidP="00720376">
      <w:pPr>
        <w:pStyle w:val="ListParagraph"/>
        <w:rPr>
          <w:rFonts w:ascii="Arial" w:hAnsi="Arial" w:cs="Arial"/>
        </w:rPr>
      </w:pPr>
      <w:r>
        <w:rPr>
          <w:rFonts w:ascii="Arial" w:hAnsi="Arial" w:cs="Arial"/>
        </w:rPr>
        <w:t>The disengagement theory proposes that ageing involves a gradual withdrawal from social roles and responsibilities. This is seen as a natural part of later life. Cumming and Henry believe older adults reduce their involvement in work, social activities and relationships in preparation for end of life. The belief is by withdrawing from these things, it helps the individual adjust to ageing and society. On the other hand, complete disengagement can lead to loneliness and depression and reduce wellbeing in a health and care setting. This theory shows professionals that some older adults</w:t>
      </w:r>
      <w:r w:rsidR="007B7847">
        <w:rPr>
          <w:rFonts w:ascii="Arial" w:hAnsi="Arial" w:cs="Arial"/>
        </w:rPr>
        <w:t xml:space="preserve"> might prefer a quieter lifestyle and may not choose the more active option. It also shows that these options should not be forced on an individual. Careworkers should respect this whilst still maintaining emotional support and opportunities for social interaction preventing isolation.</w:t>
      </w:r>
    </w:p>
    <w:p w14:paraId="7E8103E3" w14:textId="77777777" w:rsidR="00720376" w:rsidRPr="00720376" w:rsidRDefault="00720376" w:rsidP="00720376">
      <w:pPr>
        <w:pStyle w:val="ListParagraph"/>
        <w:rPr>
          <w:rFonts w:ascii="Arial" w:hAnsi="Arial" w:cs="Arial"/>
        </w:rPr>
      </w:pPr>
    </w:p>
    <w:p w14:paraId="35AAB95A" w14:textId="77777777" w:rsidR="008352BC" w:rsidRDefault="008352BC" w:rsidP="008352BC">
      <w:pPr>
        <w:pStyle w:val="ListParagraph"/>
        <w:rPr>
          <w:rFonts w:ascii="Arial" w:hAnsi="Arial" w:cs="Arial"/>
        </w:rPr>
      </w:pPr>
    </w:p>
    <w:p w14:paraId="6ADC0CF1" w14:textId="16714BC6" w:rsidR="00234EBE" w:rsidRPr="008352BC" w:rsidRDefault="00234EBE" w:rsidP="008352BC">
      <w:pPr>
        <w:pStyle w:val="ListParagraph"/>
        <w:rPr>
          <w:rFonts w:ascii="Arial" w:hAnsi="Arial" w:cs="Arial"/>
        </w:rPr>
      </w:pPr>
    </w:p>
    <w:p w14:paraId="5876A3F1" w14:textId="77777777" w:rsidR="0026639F" w:rsidRPr="0026639F" w:rsidRDefault="0026639F" w:rsidP="0026639F">
      <w:pPr>
        <w:rPr>
          <w:rFonts w:ascii="Arial" w:hAnsi="Arial" w:cs="Arial"/>
          <w:sz w:val="60"/>
          <w:szCs w:val="60"/>
        </w:rPr>
      </w:pPr>
    </w:p>
    <w:p w14:paraId="65431D9C" w14:textId="7E6AF3D7" w:rsidR="00CA4015" w:rsidRDefault="00CA4015">
      <w:pPr>
        <w:rPr>
          <w:rFonts w:ascii="Arial" w:hAnsi="Arial" w:cs="Arial"/>
          <w:sz w:val="60"/>
          <w:szCs w:val="60"/>
        </w:rPr>
      </w:pPr>
    </w:p>
    <w:p w14:paraId="32A668EF" w14:textId="77777777" w:rsidR="0026639F" w:rsidRDefault="0026639F">
      <w:pPr>
        <w:rPr>
          <w:rFonts w:ascii="Arial" w:hAnsi="Arial" w:cs="Arial"/>
          <w:sz w:val="60"/>
          <w:szCs w:val="60"/>
        </w:rPr>
      </w:pPr>
    </w:p>
    <w:p w14:paraId="6A8E6BCD" w14:textId="77777777" w:rsidR="0026639F" w:rsidRDefault="0026639F">
      <w:pPr>
        <w:rPr>
          <w:rFonts w:ascii="Arial" w:hAnsi="Arial" w:cs="Arial"/>
          <w:sz w:val="60"/>
          <w:szCs w:val="60"/>
        </w:rPr>
      </w:pPr>
    </w:p>
    <w:p w14:paraId="18B415D8" w14:textId="77777777" w:rsidR="0026639F" w:rsidRDefault="0026639F">
      <w:pPr>
        <w:rPr>
          <w:rFonts w:ascii="Arial" w:hAnsi="Arial" w:cs="Arial"/>
          <w:sz w:val="60"/>
          <w:szCs w:val="60"/>
        </w:rPr>
      </w:pPr>
    </w:p>
    <w:p w14:paraId="2D922C87" w14:textId="77777777" w:rsidR="00CA4015" w:rsidRDefault="00CA4015">
      <w:pPr>
        <w:rPr>
          <w:rFonts w:ascii="Arial" w:hAnsi="Arial" w:cs="Arial"/>
          <w:sz w:val="60"/>
          <w:szCs w:val="60"/>
        </w:rPr>
      </w:pPr>
    </w:p>
    <w:p w14:paraId="6104B278" w14:textId="77777777" w:rsidR="00CA4015" w:rsidRDefault="00CA4015">
      <w:pPr>
        <w:rPr>
          <w:rFonts w:ascii="Arial" w:hAnsi="Arial" w:cs="Arial"/>
          <w:sz w:val="60"/>
          <w:szCs w:val="60"/>
        </w:rPr>
      </w:pPr>
    </w:p>
    <w:p w14:paraId="7B985087" w14:textId="77777777" w:rsidR="00CA4015" w:rsidRPr="00525C16" w:rsidRDefault="00CA4015">
      <w:pPr>
        <w:rPr>
          <w:rFonts w:ascii="Arial" w:hAnsi="Arial" w:cs="Arial"/>
          <w:b/>
          <w:bCs/>
          <w:sz w:val="60"/>
          <w:szCs w:val="60"/>
        </w:rPr>
      </w:pPr>
    </w:p>
    <w:p w14:paraId="105E1AFC" w14:textId="77777777" w:rsidR="00CA4015" w:rsidRDefault="00CA4015">
      <w:pPr>
        <w:rPr>
          <w:rFonts w:ascii="Arial" w:hAnsi="Arial" w:cs="Arial"/>
        </w:rPr>
      </w:pPr>
    </w:p>
    <w:p w14:paraId="32B9FA3D" w14:textId="4591E2AC" w:rsidR="00C11D7D" w:rsidRDefault="00C11D7D">
      <w:pPr>
        <w:rPr>
          <w:rFonts w:ascii="Arial" w:hAnsi="Arial" w:cs="Arial"/>
          <w:b/>
          <w:bCs/>
          <w:u w:val="single"/>
        </w:rPr>
      </w:pPr>
      <w:r>
        <w:rPr>
          <w:rFonts w:ascii="Arial" w:hAnsi="Arial" w:cs="Arial"/>
          <w:b/>
          <w:bCs/>
          <w:u w:val="single"/>
        </w:rPr>
        <w:lastRenderedPageBreak/>
        <w:t>Component 2 report introduction.</w:t>
      </w:r>
    </w:p>
    <w:p w14:paraId="25BE8E65" w14:textId="4C4D04E9" w:rsidR="00C11D7D" w:rsidRDefault="00C11D7D">
      <w:pPr>
        <w:rPr>
          <w:rFonts w:ascii="Arial" w:hAnsi="Arial" w:cs="Arial"/>
        </w:rPr>
      </w:pPr>
      <w:r>
        <w:rPr>
          <w:rFonts w:ascii="Arial" w:hAnsi="Arial" w:cs="Arial"/>
        </w:rPr>
        <w:t>Psychological theories are of great use and importance for healthy workers who are supporting adults in later life. They help to explain how people develop and cope with change. During this time professionals who understand these theories will provide more effective person-centred care. I aim to show within this report how using Eriksons psychosocial theory within the health care sector and with older adults</w:t>
      </w:r>
      <w:r w:rsidR="00525C16">
        <w:rPr>
          <w:rFonts w:ascii="Arial" w:hAnsi="Arial" w:cs="Arial"/>
        </w:rPr>
        <w:t>, can improve their care and general wellbeing.</w:t>
      </w:r>
    </w:p>
    <w:p w14:paraId="558A415C" w14:textId="716EE115" w:rsidR="00525C16" w:rsidRDefault="00525C16">
      <w:pPr>
        <w:rPr>
          <w:rFonts w:ascii="Arial" w:hAnsi="Arial" w:cs="Arial"/>
          <w:b/>
          <w:bCs/>
          <w:u w:val="single"/>
        </w:rPr>
      </w:pPr>
      <w:r>
        <w:rPr>
          <w:rFonts w:ascii="Arial" w:hAnsi="Arial" w:cs="Arial"/>
          <w:b/>
          <w:bCs/>
          <w:u w:val="single"/>
        </w:rPr>
        <w:t>Explanation of the theory.</w:t>
      </w:r>
    </w:p>
    <w:p w14:paraId="1F60A663" w14:textId="0700EDF9" w:rsidR="00525C16" w:rsidRDefault="00525C16">
      <w:pPr>
        <w:rPr>
          <w:rFonts w:ascii="Arial" w:hAnsi="Arial" w:cs="Arial"/>
        </w:rPr>
      </w:pPr>
      <w:r>
        <w:rPr>
          <w:rFonts w:ascii="Arial" w:hAnsi="Arial" w:cs="Arial"/>
        </w:rPr>
        <w:t>Eriksons theory talks of there being eight stages of human development across the lifespan. Each stage involving a conflict that must be resolved to promote healthy emotional development. The stage of most importance and relevance to older adults is the final stage known as ego integrity versus despair. Ego integrity referring to a sense of acceptance and satisfaction with one’s life versus despair which occurs when a person feels regret,</w:t>
      </w:r>
      <w:r w:rsidR="004F13B3">
        <w:rPr>
          <w:rFonts w:ascii="Arial" w:hAnsi="Arial" w:cs="Arial"/>
        </w:rPr>
        <w:t xml:space="preserve"> disappointment or a lack of purpose. Erikson believes that success resolving this stage leads to wisdom </w:t>
      </w:r>
      <w:r>
        <w:rPr>
          <w:rFonts w:ascii="Arial" w:hAnsi="Arial" w:cs="Arial"/>
        </w:rPr>
        <w:t>and emotional wellbeing, where as a failure leads to loneliness and depression. A key concept that shows in this theory is that development is life long, meaning older adults still have emotional and psychological needs. Another important part of this theory is life review. This is where older adults reflect on past experiences to find meaning and value. This aspect of the theory is beneficial to older adults when engaging in reminiscence activities and talking about</w:t>
      </w:r>
      <w:r w:rsidR="004F13B3">
        <w:rPr>
          <w:rFonts w:ascii="Arial" w:hAnsi="Arial" w:cs="Arial"/>
        </w:rPr>
        <w:t xml:space="preserve"> past experiences helping them feel respected for their achievements</w:t>
      </w:r>
      <w:r>
        <w:rPr>
          <w:rFonts w:ascii="Arial" w:hAnsi="Arial" w:cs="Arial"/>
        </w:rPr>
        <w:t xml:space="preserve"> </w:t>
      </w:r>
      <w:r w:rsidR="004F13B3">
        <w:rPr>
          <w:rFonts w:ascii="Arial" w:hAnsi="Arial" w:cs="Arial"/>
        </w:rPr>
        <w:t>as well as feeling valued, independent and satisfied with their life.</w:t>
      </w:r>
    </w:p>
    <w:p w14:paraId="6A726F24" w14:textId="601AD4B0" w:rsidR="004F13B3" w:rsidRDefault="004F13B3">
      <w:pPr>
        <w:rPr>
          <w:rFonts w:ascii="Arial" w:hAnsi="Arial" w:cs="Arial"/>
          <w:b/>
          <w:bCs/>
          <w:u w:val="single"/>
        </w:rPr>
      </w:pPr>
      <w:r>
        <w:rPr>
          <w:rFonts w:ascii="Arial" w:hAnsi="Arial" w:cs="Arial"/>
          <w:b/>
          <w:bCs/>
          <w:u w:val="single"/>
        </w:rPr>
        <w:t>Application of theory.</w:t>
      </w:r>
    </w:p>
    <w:p w14:paraId="432BFDCA" w14:textId="3E7B34CA" w:rsidR="00745DCF" w:rsidRDefault="004F13B3">
      <w:pPr>
        <w:rPr>
          <w:rFonts w:ascii="Arial" w:hAnsi="Arial" w:cs="Arial"/>
        </w:rPr>
      </w:pPr>
      <w:r>
        <w:rPr>
          <w:rFonts w:ascii="Arial" w:hAnsi="Arial" w:cs="Arial"/>
        </w:rPr>
        <w:t>The application of this theory in a health care setting will help the professional work more effectively with older adults. Recognising the two concepts of ego integrity versus despair</w:t>
      </w:r>
      <w:r w:rsidR="00745DCF">
        <w:rPr>
          <w:rFonts w:ascii="Arial" w:hAnsi="Arial" w:cs="Arial"/>
        </w:rPr>
        <w:t>, can help shape a care plan suited to that of an older adult based on which one of the two the patient is more inclined to. Focusing more on whether they emotional support if they feel despair or more encouragement talking about their achievements and success. Those professionals who have a good understanding of this theory will be more equipped to deal with the emotional and psychological needs of the individual, creating a better sense of wellbeing. more person-centred care as well making the person feel safe and have a sense of belonging.</w:t>
      </w:r>
    </w:p>
    <w:p w14:paraId="316808A5" w14:textId="3407563C" w:rsidR="00745DCF" w:rsidRDefault="00745DCF">
      <w:pPr>
        <w:rPr>
          <w:rFonts w:ascii="Arial" w:hAnsi="Arial" w:cs="Arial"/>
          <w:b/>
          <w:bCs/>
          <w:u w:val="single"/>
        </w:rPr>
      </w:pPr>
      <w:r>
        <w:rPr>
          <w:rFonts w:ascii="Arial" w:hAnsi="Arial" w:cs="Arial"/>
          <w:b/>
          <w:bCs/>
          <w:u w:val="single"/>
        </w:rPr>
        <w:t>Real world example.</w:t>
      </w:r>
    </w:p>
    <w:p w14:paraId="19F1F16C" w14:textId="477DB7FB" w:rsidR="00745DCF" w:rsidRDefault="00745DCF">
      <w:pPr>
        <w:rPr>
          <w:rFonts w:ascii="Arial" w:hAnsi="Arial" w:cs="Arial"/>
        </w:rPr>
      </w:pPr>
      <w:r>
        <w:rPr>
          <w:rFonts w:ascii="Arial" w:hAnsi="Arial" w:cs="Arial"/>
        </w:rPr>
        <w:t>My Aunt is currently in a care home for older adults suffering from Dementia. I noticed that by the front door of every residents room, there is a picture frame. The frame contains pictures and photos relating to each individuals life and is personal to them. It shows pictures of their place of work as well as their favourite holiday destination, their idols whether that be actors/actresses or even singers and other scenes totally relev</w:t>
      </w:r>
      <w:r w:rsidR="002B1F72">
        <w:rPr>
          <w:rFonts w:ascii="Arial" w:hAnsi="Arial" w:cs="Arial"/>
        </w:rPr>
        <w:t>ant to them. This is a great idea when dealing with Dementia patients as it is a constant reminder of their life experiences. Some patients can remember experiences from long ago but not anything recent, so I think these boards are well thought out and of great benefit in reminding patients of their past and giving them a sense of achievement and belonging.</w:t>
      </w:r>
    </w:p>
    <w:p w14:paraId="433291A5" w14:textId="7BD392DC" w:rsidR="002B1F72" w:rsidRDefault="002B1F72">
      <w:pPr>
        <w:rPr>
          <w:rFonts w:ascii="Arial" w:hAnsi="Arial" w:cs="Arial"/>
          <w:b/>
          <w:bCs/>
          <w:u w:val="single"/>
        </w:rPr>
      </w:pPr>
      <w:r>
        <w:rPr>
          <w:rFonts w:ascii="Arial" w:hAnsi="Arial" w:cs="Arial"/>
          <w:b/>
          <w:bCs/>
          <w:u w:val="single"/>
        </w:rPr>
        <w:t>Challenges.</w:t>
      </w:r>
    </w:p>
    <w:p w14:paraId="26402599" w14:textId="02D10CA8" w:rsidR="002B1F72" w:rsidRDefault="002B1F72">
      <w:pPr>
        <w:rPr>
          <w:rFonts w:ascii="Arial" w:hAnsi="Arial" w:cs="Arial"/>
        </w:rPr>
      </w:pPr>
      <w:r>
        <w:rPr>
          <w:rFonts w:ascii="Arial" w:hAnsi="Arial" w:cs="Arial"/>
        </w:rPr>
        <w:t xml:space="preserve">When using this theory one challenge a professional may face in a care home setting, is when an older adult may not be willing or may have a negative memory from their past making them reluctant to engage in life review activities. This could lead to a feeling of </w:t>
      </w:r>
      <w:r>
        <w:rPr>
          <w:rFonts w:ascii="Arial" w:hAnsi="Arial" w:cs="Arial"/>
        </w:rPr>
        <w:lastRenderedPageBreak/>
        <w:t>sadness and despair. Instead of encouraging and reaching ego integrity, it could well lead to despair and disengagement and make the patient feel sadness and loneliness. Some patients may have Dementia or communication difficulties making it harder for them to reflect on past experiences. A solution to overcome this, is to use person-centred care</w:t>
      </w:r>
      <w:r w:rsidR="008A5138">
        <w:rPr>
          <w:rFonts w:ascii="Arial" w:hAnsi="Arial" w:cs="Arial"/>
        </w:rPr>
        <w:t xml:space="preserve"> such as gentle conversations. Memory prompts such as photos or familiar music. Staff should always move at the individuals pace and focus on positive experiences.</w:t>
      </w:r>
    </w:p>
    <w:p w14:paraId="5D7BA72E" w14:textId="5A7CB766" w:rsidR="008A5138" w:rsidRDefault="008A5138">
      <w:pPr>
        <w:rPr>
          <w:rFonts w:ascii="Arial" w:hAnsi="Arial" w:cs="Arial"/>
          <w:b/>
          <w:bCs/>
          <w:u w:val="single"/>
        </w:rPr>
      </w:pPr>
      <w:r>
        <w:rPr>
          <w:rFonts w:ascii="Arial" w:hAnsi="Arial" w:cs="Arial"/>
          <w:b/>
          <w:bCs/>
          <w:u w:val="single"/>
        </w:rPr>
        <w:t>Conclusion.</w:t>
      </w:r>
    </w:p>
    <w:p w14:paraId="76667022" w14:textId="762574B0" w:rsidR="002B1F72" w:rsidRDefault="008A5138">
      <w:pPr>
        <w:rPr>
          <w:rFonts w:ascii="Arial" w:hAnsi="Arial" w:cs="Arial"/>
        </w:rPr>
      </w:pPr>
      <w:r>
        <w:rPr>
          <w:rFonts w:ascii="Arial" w:hAnsi="Arial" w:cs="Arial"/>
        </w:rPr>
        <w:t>Hopefully this report has shown how Eriksons psychological theory can be used to understand the emotional development in older adults especially in the final stage ego integrity versus despair. It has shown that used correctly by health care professionals and putting it into practice. It helps support a persons wellbeing through person-centred care, and by also promoting self dignity and independence. Although there may be challenges to using this theory these can be overcome. I believe it is a great theory to help professionals understand the importance of emotional support as well as psychological in older adults. I hope this report has shown that</w:t>
      </w:r>
      <w:r w:rsidR="00BA44A3">
        <w:rPr>
          <w:rFonts w:ascii="Arial" w:hAnsi="Arial" w:cs="Arial"/>
        </w:rPr>
        <w:t>.</w:t>
      </w:r>
    </w:p>
    <w:p w14:paraId="46309050" w14:textId="77777777" w:rsidR="00BA44A3" w:rsidRDefault="00BA44A3">
      <w:pPr>
        <w:rPr>
          <w:rFonts w:ascii="Arial" w:hAnsi="Arial" w:cs="Arial"/>
        </w:rPr>
      </w:pPr>
    </w:p>
    <w:p w14:paraId="07287797" w14:textId="59285943" w:rsidR="00BA44A3" w:rsidRDefault="00410723">
      <w:pPr>
        <w:rPr>
          <w:rFonts w:ascii="Arial" w:hAnsi="Arial" w:cs="Arial"/>
        </w:rPr>
      </w:pPr>
      <w:r>
        <w:rPr>
          <w:rFonts w:ascii="Arial" w:hAnsi="Arial" w:cs="Arial"/>
        </w:rPr>
        <w:t>R</w:t>
      </w:r>
      <w:r w:rsidR="00E21B7C">
        <w:rPr>
          <w:rFonts w:ascii="Arial" w:hAnsi="Arial" w:cs="Arial"/>
        </w:rPr>
        <w:t>eferences</w:t>
      </w:r>
      <w:r>
        <w:rPr>
          <w:rFonts w:ascii="Arial" w:hAnsi="Arial" w:cs="Arial"/>
        </w:rPr>
        <w:t>:</w:t>
      </w:r>
    </w:p>
    <w:p w14:paraId="3B49EEC6" w14:textId="7E3588A7" w:rsidR="00AE2E97" w:rsidRDefault="00AE2E97">
      <w:pPr>
        <w:rPr>
          <w:rFonts w:ascii="Arial" w:hAnsi="Arial" w:cs="Arial"/>
        </w:rPr>
      </w:pPr>
      <w:r>
        <w:rPr>
          <w:rFonts w:ascii="Arial" w:hAnsi="Arial" w:cs="Arial"/>
        </w:rPr>
        <w:t>Albert Bandura (1977) social learni</w:t>
      </w:r>
      <w:r w:rsidR="00BD484C">
        <w:rPr>
          <w:rFonts w:ascii="Arial" w:hAnsi="Arial" w:cs="Arial"/>
        </w:rPr>
        <w:t>ng theory. Englewood Cliffs, NJ:</w:t>
      </w:r>
      <w:r w:rsidR="00F831F0">
        <w:rPr>
          <w:rFonts w:ascii="Arial" w:hAnsi="Arial" w:cs="Arial"/>
        </w:rPr>
        <w:t>Prentice Hall</w:t>
      </w:r>
    </w:p>
    <w:p w14:paraId="315DDDD4" w14:textId="082A91FE" w:rsidR="00F831F0" w:rsidRDefault="00F831F0">
      <w:pPr>
        <w:rPr>
          <w:rFonts w:ascii="Arial" w:hAnsi="Arial" w:cs="Arial"/>
        </w:rPr>
      </w:pPr>
      <w:r>
        <w:rPr>
          <w:rFonts w:ascii="Arial" w:hAnsi="Arial" w:cs="Arial"/>
        </w:rPr>
        <w:t>Erik Erikson (1963)</w:t>
      </w:r>
      <w:r w:rsidR="0047369A">
        <w:rPr>
          <w:rFonts w:ascii="Arial" w:hAnsi="Arial" w:cs="Arial"/>
        </w:rPr>
        <w:t xml:space="preserve"> childhood and society. 2</w:t>
      </w:r>
      <w:r w:rsidR="0047369A" w:rsidRPr="0047369A">
        <w:rPr>
          <w:rFonts w:ascii="Arial" w:hAnsi="Arial" w:cs="Arial"/>
          <w:vertAlign w:val="superscript"/>
        </w:rPr>
        <w:t>nd</w:t>
      </w:r>
      <w:r w:rsidR="0047369A">
        <w:rPr>
          <w:rFonts w:ascii="Arial" w:hAnsi="Arial" w:cs="Arial"/>
        </w:rPr>
        <w:t xml:space="preserve"> ed</w:t>
      </w:r>
      <w:r w:rsidR="00774EB0">
        <w:rPr>
          <w:rFonts w:ascii="Arial" w:hAnsi="Arial" w:cs="Arial"/>
        </w:rPr>
        <w:t>ition. New York: Norton</w:t>
      </w:r>
    </w:p>
    <w:p w14:paraId="0873050B" w14:textId="4F5D236A" w:rsidR="00011A8A" w:rsidRDefault="00486B72">
      <w:pPr>
        <w:rPr>
          <w:rFonts w:ascii="Arial" w:hAnsi="Arial" w:cs="Arial"/>
        </w:rPr>
      </w:pPr>
      <w:r>
        <w:rPr>
          <w:rFonts w:ascii="Arial" w:hAnsi="Arial" w:cs="Arial"/>
        </w:rPr>
        <w:t>John Bowlby (19</w:t>
      </w:r>
      <w:r w:rsidR="00B64E91">
        <w:rPr>
          <w:rFonts w:ascii="Arial" w:hAnsi="Arial" w:cs="Arial"/>
        </w:rPr>
        <w:t>88) a secure base:</w:t>
      </w:r>
      <w:r w:rsidR="002A7F4F">
        <w:rPr>
          <w:rFonts w:ascii="Arial" w:hAnsi="Arial" w:cs="Arial"/>
        </w:rPr>
        <w:t xml:space="preserve"> parent-child attachment and healthy human development. London: Routledge</w:t>
      </w:r>
    </w:p>
    <w:p w14:paraId="6B890B0D" w14:textId="2117BF0D" w:rsidR="00BC5BF3" w:rsidRDefault="002266E8">
      <w:pPr>
        <w:rPr>
          <w:rFonts w:ascii="Arial" w:hAnsi="Arial" w:cs="Arial"/>
        </w:rPr>
      </w:pPr>
      <w:r>
        <w:rPr>
          <w:rFonts w:ascii="Arial" w:hAnsi="Arial" w:cs="Arial"/>
        </w:rPr>
        <w:t>Robert J</w:t>
      </w:r>
      <w:r w:rsidR="001D0F90">
        <w:rPr>
          <w:rFonts w:ascii="Arial" w:hAnsi="Arial" w:cs="Arial"/>
        </w:rPr>
        <w:t>. Havighurst (1961) “successful aging</w:t>
      </w:r>
      <w:r w:rsidR="007D358C">
        <w:rPr>
          <w:rFonts w:ascii="Arial" w:hAnsi="Arial" w:cs="Arial"/>
        </w:rPr>
        <w:t>”, The Gerontologist, 1(1), pp. 8-13</w:t>
      </w:r>
    </w:p>
    <w:p w14:paraId="70D8774E" w14:textId="07677CA3" w:rsidR="00731F67" w:rsidRDefault="004F2A38">
      <w:pPr>
        <w:rPr>
          <w:rFonts w:ascii="Arial" w:hAnsi="Arial" w:cs="Arial"/>
        </w:rPr>
      </w:pPr>
      <w:r>
        <w:rPr>
          <w:rFonts w:ascii="Arial" w:hAnsi="Arial" w:cs="Arial"/>
        </w:rPr>
        <w:t xml:space="preserve">John </w:t>
      </w:r>
      <w:r w:rsidR="001414FA">
        <w:rPr>
          <w:rFonts w:ascii="Arial" w:hAnsi="Arial" w:cs="Arial"/>
        </w:rPr>
        <w:t>W. Santrock (2019) life span development. 17</w:t>
      </w:r>
      <w:r w:rsidR="001414FA" w:rsidRPr="001414FA">
        <w:rPr>
          <w:rFonts w:ascii="Arial" w:hAnsi="Arial" w:cs="Arial"/>
          <w:vertAlign w:val="superscript"/>
        </w:rPr>
        <w:t>th</w:t>
      </w:r>
      <w:r w:rsidR="001414FA">
        <w:rPr>
          <w:rFonts w:ascii="Arial" w:hAnsi="Arial" w:cs="Arial"/>
        </w:rPr>
        <w:t xml:space="preserve"> edition</w:t>
      </w:r>
      <w:r w:rsidR="00E27543">
        <w:rPr>
          <w:rFonts w:ascii="Arial" w:hAnsi="Arial" w:cs="Arial"/>
        </w:rPr>
        <w:t>. New York: McGraw-Hill Education</w:t>
      </w:r>
    </w:p>
    <w:p w14:paraId="3497FAD4" w14:textId="1734596D" w:rsidR="00E27543" w:rsidRPr="008A5138" w:rsidRDefault="00973928">
      <w:pPr>
        <w:rPr>
          <w:rFonts w:ascii="Arial" w:hAnsi="Arial" w:cs="Arial"/>
        </w:rPr>
      </w:pPr>
      <w:r>
        <w:rPr>
          <w:rFonts w:ascii="Arial" w:hAnsi="Arial" w:cs="Arial"/>
        </w:rPr>
        <w:t>World Hea</w:t>
      </w:r>
      <w:r w:rsidR="00E15C56">
        <w:rPr>
          <w:rFonts w:ascii="Arial" w:hAnsi="Arial" w:cs="Arial"/>
        </w:rPr>
        <w:t xml:space="preserve">lth Organization (2015) World report on </w:t>
      </w:r>
      <w:r w:rsidR="00763B40">
        <w:rPr>
          <w:rFonts w:ascii="Arial" w:hAnsi="Arial" w:cs="Arial"/>
        </w:rPr>
        <w:t>A</w:t>
      </w:r>
      <w:r w:rsidR="00E15C56">
        <w:rPr>
          <w:rFonts w:ascii="Arial" w:hAnsi="Arial" w:cs="Arial"/>
        </w:rPr>
        <w:t>geing and Health</w:t>
      </w:r>
      <w:r w:rsidR="00763B40">
        <w:rPr>
          <w:rFonts w:ascii="Arial" w:hAnsi="Arial" w:cs="Arial"/>
        </w:rPr>
        <w:t>. Geneva: World Health Organization</w:t>
      </w:r>
    </w:p>
    <w:p w14:paraId="346BEDFB" w14:textId="77777777" w:rsidR="00CA4015" w:rsidRPr="00CA4015" w:rsidRDefault="00CA4015">
      <w:pPr>
        <w:rPr>
          <w:rFonts w:ascii="Arial" w:hAnsi="Arial" w:cs="Arial"/>
          <w:sz w:val="60"/>
          <w:szCs w:val="60"/>
        </w:rPr>
      </w:pPr>
    </w:p>
    <w:sectPr w:rsidR="00CA4015" w:rsidRPr="00CA401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36016B"/>
    <w:multiLevelType w:val="hybridMultilevel"/>
    <w:tmpl w:val="E9A881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6994B51"/>
    <w:multiLevelType w:val="hybridMultilevel"/>
    <w:tmpl w:val="D3BEDD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98596513">
    <w:abstractNumId w:val="0"/>
  </w:num>
  <w:num w:numId="2" w16cid:durableId="49934940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4015"/>
    <w:rsid w:val="00011A8A"/>
    <w:rsid w:val="001414FA"/>
    <w:rsid w:val="001D0F90"/>
    <w:rsid w:val="002266E8"/>
    <w:rsid w:val="00234EBE"/>
    <w:rsid w:val="002428DF"/>
    <w:rsid w:val="0026639F"/>
    <w:rsid w:val="002A7F4F"/>
    <w:rsid w:val="002B1F72"/>
    <w:rsid w:val="00410723"/>
    <w:rsid w:val="00414904"/>
    <w:rsid w:val="0047369A"/>
    <w:rsid w:val="00486B72"/>
    <w:rsid w:val="004F13B3"/>
    <w:rsid w:val="004F2A38"/>
    <w:rsid w:val="00525C16"/>
    <w:rsid w:val="00720376"/>
    <w:rsid w:val="00731F67"/>
    <w:rsid w:val="00745DCF"/>
    <w:rsid w:val="00746CE2"/>
    <w:rsid w:val="00763B40"/>
    <w:rsid w:val="00774EB0"/>
    <w:rsid w:val="007B7847"/>
    <w:rsid w:val="007D358C"/>
    <w:rsid w:val="008352BC"/>
    <w:rsid w:val="008A5138"/>
    <w:rsid w:val="00973928"/>
    <w:rsid w:val="00AD0E0A"/>
    <w:rsid w:val="00AE2E97"/>
    <w:rsid w:val="00B64E91"/>
    <w:rsid w:val="00BA44A3"/>
    <w:rsid w:val="00BB0722"/>
    <w:rsid w:val="00BC5BF3"/>
    <w:rsid w:val="00BD484C"/>
    <w:rsid w:val="00C11D7D"/>
    <w:rsid w:val="00CA4015"/>
    <w:rsid w:val="00D7257B"/>
    <w:rsid w:val="00E15C56"/>
    <w:rsid w:val="00E21B7C"/>
    <w:rsid w:val="00E27543"/>
    <w:rsid w:val="00F831F0"/>
    <w:rsid w:val="00FF5134"/>
    <w:rsid w:val="00FF73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68146E"/>
  <w15:chartTrackingRefBased/>
  <w15:docId w15:val="{B2D0F72A-7A13-45EF-8786-F0E9FA23A2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401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A401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A401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A401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A401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A401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A401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A401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A401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401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A401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A401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A401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A401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A401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A401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A401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A4015"/>
    <w:rPr>
      <w:rFonts w:eastAsiaTheme="majorEastAsia" w:cstheme="majorBidi"/>
      <w:color w:val="272727" w:themeColor="text1" w:themeTint="D8"/>
    </w:rPr>
  </w:style>
  <w:style w:type="paragraph" w:styleId="Title">
    <w:name w:val="Title"/>
    <w:basedOn w:val="Normal"/>
    <w:next w:val="Normal"/>
    <w:link w:val="TitleChar"/>
    <w:uiPriority w:val="10"/>
    <w:qFormat/>
    <w:rsid w:val="00CA401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401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A401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A401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A4015"/>
    <w:pPr>
      <w:spacing w:before="160"/>
      <w:jc w:val="center"/>
    </w:pPr>
    <w:rPr>
      <w:i/>
      <w:iCs/>
      <w:color w:val="404040" w:themeColor="text1" w:themeTint="BF"/>
    </w:rPr>
  </w:style>
  <w:style w:type="character" w:customStyle="1" w:styleId="QuoteChar">
    <w:name w:val="Quote Char"/>
    <w:basedOn w:val="DefaultParagraphFont"/>
    <w:link w:val="Quote"/>
    <w:uiPriority w:val="29"/>
    <w:rsid w:val="00CA4015"/>
    <w:rPr>
      <w:i/>
      <w:iCs/>
      <w:color w:val="404040" w:themeColor="text1" w:themeTint="BF"/>
    </w:rPr>
  </w:style>
  <w:style w:type="paragraph" w:styleId="ListParagraph">
    <w:name w:val="List Paragraph"/>
    <w:basedOn w:val="Normal"/>
    <w:uiPriority w:val="34"/>
    <w:qFormat/>
    <w:rsid w:val="00CA4015"/>
    <w:pPr>
      <w:ind w:left="720"/>
      <w:contextualSpacing/>
    </w:pPr>
  </w:style>
  <w:style w:type="character" w:styleId="IntenseEmphasis">
    <w:name w:val="Intense Emphasis"/>
    <w:basedOn w:val="DefaultParagraphFont"/>
    <w:uiPriority w:val="21"/>
    <w:qFormat/>
    <w:rsid w:val="00CA4015"/>
    <w:rPr>
      <w:i/>
      <w:iCs/>
      <w:color w:val="0F4761" w:themeColor="accent1" w:themeShade="BF"/>
    </w:rPr>
  </w:style>
  <w:style w:type="paragraph" w:styleId="IntenseQuote">
    <w:name w:val="Intense Quote"/>
    <w:basedOn w:val="Normal"/>
    <w:next w:val="Normal"/>
    <w:link w:val="IntenseQuoteChar"/>
    <w:uiPriority w:val="30"/>
    <w:qFormat/>
    <w:rsid w:val="00CA401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A4015"/>
    <w:rPr>
      <w:i/>
      <w:iCs/>
      <w:color w:val="0F4761" w:themeColor="accent1" w:themeShade="BF"/>
    </w:rPr>
  </w:style>
  <w:style w:type="character" w:styleId="IntenseReference">
    <w:name w:val="Intense Reference"/>
    <w:basedOn w:val="DefaultParagraphFont"/>
    <w:uiPriority w:val="32"/>
    <w:qFormat/>
    <w:rsid w:val="00CA401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231</TotalTime>
  <Pages>6</Pages>
  <Words>1530</Words>
  <Characters>8727</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woodfield</dc:creator>
  <cp:keywords/>
  <dc:description/>
  <cp:lastModifiedBy>mark woodfield</cp:lastModifiedBy>
  <cp:revision>24</cp:revision>
  <dcterms:created xsi:type="dcterms:W3CDTF">2026-03-23T20:34:00Z</dcterms:created>
  <dcterms:modified xsi:type="dcterms:W3CDTF">2026-03-24T00:25:00Z</dcterms:modified>
</cp:coreProperties>
</file>