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Default Extension="bin" ContentType="application/vnd.openxmlformats-officedocument.oleObject"/>
  <Override PartName="/word/numbering.xml" ContentType="application/vnd.openxmlformats-officedocument.wordprocessingml.numbering+xml"/>
  <Default Extension="wmf" ContentType="image/x-wmf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0" w:after="160" w:line="259"/>
        <w:ind w:right="0" w:left="0" w:firstLine="0"/>
        <w:jc w:val="center"/>
        <w:rPr>
          <w:rFonts w:ascii="Arial" w:hAnsi="Arial" w:cs="Arial" w:eastAsia="Arial"/>
          <w:color w:val="auto"/>
          <w:spacing w:val="0"/>
          <w:position w:val="0"/>
          <w:sz w:val="52"/>
          <w:shd w:fill="auto" w:val="clear"/>
        </w:rPr>
      </w:pPr>
      <w:r>
        <w:object w:dxaOrig="6566" w:dyaOrig="2177">
          <v:rect xmlns:o="urn:schemas-microsoft-com:office:office" xmlns:v="urn:schemas-microsoft-com:vml" id="rectole0000000000" style="width:328.300000pt;height:108.850000pt" o:preferrelative="t" o:ole="">
            <o:lock v:ext="edit"/>
            <v:imagedata xmlns:r="http://schemas.openxmlformats.org/officeDocument/2006/relationships" r:id="docRId1" o:title=""/>
          </v:rect>
          <o:OLEObject xmlns:r="http://schemas.openxmlformats.org/officeDocument/2006/relationships" xmlns:o="urn:schemas-microsoft-com:office:office" Type="Embed" ProgID="StaticMetafile" DrawAspect="Content" ObjectID="0000000000" ShapeID="rectole0000000000" r:id="docRId0"/>
        </w:objec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52"/>
          <w:shd w:fill="auto" w:val="clear"/>
        </w:rPr>
      </w:pPr>
    </w:p>
    <w:p>
      <w:pPr>
        <w:spacing w:before="0" w:after="160" w:line="259"/>
        <w:ind w:right="0" w:left="0" w:firstLine="0"/>
        <w:jc w:val="center"/>
        <w:rPr>
          <w:rFonts w:ascii="Avenir Next LT Pro Demi" w:hAnsi="Avenir Next LT Pro Demi" w:cs="Avenir Next LT Pro Demi" w:eastAsia="Avenir Next LT Pro Demi"/>
          <w:color w:val="auto"/>
          <w:spacing w:val="0"/>
          <w:position w:val="0"/>
          <w:sz w:val="44"/>
          <w:shd w:fill="auto" w:val="clear"/>
        </w:rPr>
      </w:pPr>
      <w:r>
        <w:rPr>
          <w:rFonts w:ascii="Avenir Next LT Pro Demi" w:hAnsi="Avenir Next LT Pro Demi" w:cs="Avenir Next LT Pro Demi" w:eastAsia="Avenir Next LT Pro Demi"/>
          <w:color w:val="auto"/>
          <w:spacing w:val="0"/>
          <w:position w:val="0"/>
          <w:sz w:val="44"/>
          <w:shd w:fill="auto" w:val="clear"/>
        </w:rPr>
        <w:t xml:space="preserve">Managing Enterprise in the </w:t>
      </w:r>
      <w:r>
        <w:rPr>
          <w:rFonts w:ascii="Avenir Next LT Pro Demi" w:hAnsi="Avenir Next LT Pro Demi" w:cs="Avenir Next LT Pro Demi" w:eastAsia="Avenir Next LT Pro Demi"/>
          <w:color w:val="auto"/>
          <w:spacing w:val="0"/>
          <w:position w:val="0"/>
          <w:sz w:val="44"/>
          <w:shd w:fill="auto" w:val="clear"/>
        </w:rPr>
        <w:t xml:space="preserve">21</w:t>
      </w:r>
      <w:r>
        <w:rPr>
          <w:rFonts w:ascii="Avenir Next LT Pro Demi" w:hAnsi="Avenir Next LT Pro Demi" w:cs="Avenir Next LT Pro Demi" w:eastAsia="Avenir Next LT Pro Demi"/>
          <w:color w:val="auto"/>
          <w:spacing w:val="0"/>
          <w:position w:val="0"/>
          <w:sz w:val="44"/>
          <w:shd w:fill="auto" w:val="clear"/>
        </w:rPr>
        <w:t xml:space="preserve">st Century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5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52"/>
          <w:shd w:fill="auto" w:val="clear"/>
        </w:rPr>
      </w:pPr>
    </w:p>
    <w:p>
      <w:pPr>
        <w:spacing w:before="0" w:after="160" w:line="259"/>
        <w:ind w:right="0" w:left="0" w:firstLine="0"/>
        <w:jc w:val="center"/>
        <w:rPr>
          <w:rFonts w:ascii="Arial" w:hAnsi="Arial" w:cs="Arial" w:eastAsia="Arial"/>
          <w:color w:val="auto"/>
          <w:spacing w:val="0"/>
          <w:position w:val="0"/>
          <w:sz w:val="5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52"/>
          <w:shd w:fill="auto" w:val="clear"/>
        </w:rPr>
        <w:t xml:space="preserve">Business Plan</w:t>
      </w:r>
    </w:p>
    <w:p>
      <w:pPr>
        <w:spacing w:before="0" w:after="160" w:line="259"/>
        <w:ind w:right="0" w:left="0" w:firstLine="0"/>
        <w:jc w:val="center"/>
        <w:rPr>
          <w:rFonts w:ascii="Arial" w:hAnsi="Arial" w:cs="Arial" w:eastAsia="Arial"/>
          <w:color w:val="auto"/>
          <w:spacing w:val="0"/>
          <w:position w:val="0"/>
          <w:sz w:val="52"/>
          <w:shd w:fill="auto" w:val="clear"/>
        </w:rPr>
      </w:pPr>
    </w:p>
    <w:p>
      <w:pPr>
        <w:spacing w:before="0" w:after="160" w:line="259"/>
        <w:ind w:right="0" w:left="0" w:firstLine="0"/>
        <w:jc w:val="center"/>
        <w:rPr>
          <w:rFonts w:ascii="Arial" w:hAnsi="Arial" w:cs="Arial" w:eastAsia="Arial"/>
          <w:color w:val="FF0000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FF0000"/>
          <w:spacing w:val="0"/>
          <w:position w:val="0"/>
          <w:sz w:val="52"/>
          <w:shd w:fill="auto" w:val="clear"/>
        </w:rPr>
        <w:t xml:space="preserve">Please put name/logo/website of your company here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b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b/>
          <w:color w:val="auto"/>
          <w:spacing w:val="0"/>
          <w:position w:val="0"/>
          <w:sz w:val="24"/>
          <w:shd w:fill="auto" w:val="clear"/>
        </w:rPr>
        <w:t xml:space="preserve">Submission Date: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b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b/>
          <w:color w:val="auto"/>
          <w:spacing w:val="0"/>
          <w:position w:val="0"/>
          <w:sz w:val="24"/>
          <w:shd w:fill="auto" w:val="clear"/>
        </w:rPr>
        <w:t xml:space="preserve">Lecturer: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keepNext w:val="true"/>
        <w:keepLines w:val="true"/>
        <w:spacing w:before="240" w:after="0" w:line="259"/>
        <w:ind w:right="0" w:left="0" w:firstLine="0"/>
        <w:jc w:val="left"/>
        <w:rPr>
          <w:rFonts w:ascii="Arial" w:hAnsi="Arial" w:cs="Arial" w:eastAsia="Arial"/>
          <w:b/>
          <w:color w:val="2F5496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b/>
          <w:color w:val="2F5496"/>
          <w:spacing w:val="0"/>
          <w:position w:val="0"/>
          <w:sz w:val="28"/>
          <w:shd w:fill="auto" w:val="clear"/>
        </w:rPr>
        <w:t xml:space="preserve">Executive Summary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my business plan for "Robel Lounge" is a comprehensive, wide-scale strategy for a high-end, diverse bar in Canary Wharf, London. This plan focuses on adult-only, international-facing hospitality with a mission to deliver consistent profitability through a hybrid corporate-social model.Mission: To provide an inclusive, luxury lounge environment that reflects the international spirit of London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’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s financial district.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keepNext w:val="true"/>
        <w:keepLines w:val="true"/>
        <w:spacing w:before="240" w:after="0" w:line="259"/>
        <w:ind w:right="0" w:left="0" w:firstLine="0"/>
        <w:jc w:val="left"/>
        <w:rPr>
          <w:rFonts w:ascii="Arial" w:hAnsi="Arial" w:cs="Arial" w:eastAsia="Arial"/>
          <w:b/>
          <w:color w:val="2F5496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b/>
          <w:color w:val="2F5496"/>
          <w:spacing w:val="0"/>
          <w:position w:val="0"/>
          <w:sz w:val="28"/>
          <w:shd w:fill="auto" w:val="clear"/>
        </w:rPr>
        <w:t xml:space="preserve">Business Concept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The Concept: A "Global Exchange" bar where the drinks, décor, and atmosphere change through the day to serve the Wharf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’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s 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120,000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+ daily professionals and its growing internationaLegal Standing: Strictly 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18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+ (No children allowed) in full compliance with the Licensing Act 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2003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.l resident base.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keepNext w:val="true"/>
        <w:keepLines w:val="true"/>
        <w:spacing w:before="40" w:after="0" w:line="259"/>
        <w:ind w:right="0" w:left="0" w:firstLine="0"/>
        <w:jc w:val="left"/>
        <w:rPr>
          <w:rFonts w:ascii="Arial" w:hAnsi="Arial" w:cs="Arial" w:eastAsia="Arial"/>
          <w:b/>
          <w:color w:val="833C0B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b/>
          <w:color w:val="833C0B"/>
          <w:spacing w:val="0"/>
          <w:position w:val="0"/>
          <w:sz w:val="28"/>
          <w:shd w:fill="auto" w:val="clear"/>
        </w:rPr>
        <w:t xml:space="preserve">Business Description 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Targeted at Wood Wharf or Crossrail Place to capture the highest density of high-earning professionals (average salary £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130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k) and modern residents.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The "Wide" Scale: A large-capacity venue (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400-600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guests) featuring distinct "Experiential Zones"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—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ranging from intimate cocktail corners to high-energy social decks.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keepNext w:val="true"/>
        <w:keepLines w:val="true"/>
        <w:spacing w:before="40" w:after="0" w:line="259"/>
        <w:ind w:right="0" w:left="0" w:firstLine="0"/>
        <w:jc w:val="left"/>
        <w:rPr>
          <w:rFonts w:ascii="Arial" w:hAnsi="Arial" w:cs="Arial" w:eastAsia="Arial"/>
          <w:b/>
          <w:color w:val="833C0B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b/>
          <w:color w:val="833C0B"/>
          <w:spacing w:val="0"/>
          <w:position w:val="0"/>
          <w:sz w:val="28"/>
          <w:shd w:fill="auto" w:val="clear"/>
        </w:rPr>
        <w:t xml:space="preserve">Product Description 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  <w:t xml:space="preserve"> </w:t>
      </w:r>
      <w:r>
        <w:rPr>
          <w:rFonts w:ascii="Arial" w:hAnsi="Arial" w:cs="Arial" w:eastAsia="Arial"/>
          <w:color w:val="auto"/>
          <w:spacing w:val="0"/>
          <w:position w:val="0"/>
          <w:sz w:val="28"/>
          <w:shd w:fill="auto" w:val="clear"/>
        </w:rPr>
        <w:t xml:space="preserve">A menu featuring premium spirits and techniques from around the world (e.g., Japanese Suntory whiskies, Brazilian Cachaça cocktails, and South African wines).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8"/>
          <w:shd w:fill="auto" w:val="clear"/>
        </w:rPr>
        <w:t xml:space="preserve">Cultural Rotation: Thematic "International Residencies" every quarter, highlighting the food, music, and art of a different continent to keep the experience fresh for repeat customers</w:t>
      </w:r>
      <w:r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  <w:t xml:space="preserve">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keepNext w:val="true"/>
        <w:keepLines w:val="true"/>
        <w:spacing w:before="40" w:after="0" w:line="259"/>
        <w:ind w:right="0" w:left="0" w:firstLine="0"/>
        <w:jc w:val="left"/>
        <w:rPr>
          <w:rFonts w:ascii="Arial" w:hAnsi="Arial" w:cs="Arial" w:eastAsia="Arial"/>
          <w:b/>
          <w:color w:val="833C0B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b/>
          <w:color w:val="833C0B"/>
          <w:spacing w:val="0"/>
          <w:position w:val="0"/>
          <w:sz w:val="28"/>
          <w:shd w:fill="auto" w:val="clear"/>
        </w:rPr>
        <w:t xml:space="preserve">Business Objectives (SMART Objectives)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Achiving a full break even on the £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1.2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M - £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1.5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M start up investment with in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24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days of opening by mantaining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65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% gross profit on beverages and security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5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plus rucurring corporate partnerships in the first year.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keepNext w:val="true"/>
        <w:keepLines w:val="true"/>
        <w:spacing w:before="40" w:after="0" w:line="259"/>
        <w:ind w:right="0" w:left="0" w:firstLine="0"/>
        <w:jc w:val="left"/>
        <w:rPr>
          <w:rFonts w:ascii="Arial" w:hAnsi="Arial" w:cs="Arial" w:eastAsia="Arial"/>
          <w:b/>
          <w:color w:val="385623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b/>
          <w:color w:val="385623"/>
          <w:spacing w:val="0"/>
          <w:position w:val="0"/>
          <w:sz w:val="24"/>
          <w:shd w:fill="auto" w:val="clear"/>
        </w:rPr>
        <w:t xml:space="preserve">Short-Term Objectives (less than a year)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launch &amp; licensing: secure the premesis lisence and complete the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800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kpremium fit out to open the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400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-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600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capacity venuewith in the first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6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months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Digitsl foundation: acuire at least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1000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active global citizen app users from the local resident and professional pool with in the first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90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days or two month of trading to 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keepNext w:val="true"/>
        <w:keepLines w:val="true"/>
        <w:spacing w:before="40" w:after="0" w:line="259"/>
        <w:ind w:right="0" w:left="0" w:firstLine="0"/>
        <w:jc w:val="left"/>
        <w:rPr>
          <w:rFonts w:ascii="Arial" w:hAnsi="Arial" w:cs="Arial" w:eastAsia="Arial"/>
          <w:b/>
          <w:color w:val="385623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b/>
          <w:color w:val="385623"/>
          <w:spacing w:val="0"/>
          <w:position w:val="0"/>
          <w:sz w:val="24"/>
          <w:shd w:fill="auto" w:val="clear"/>
        </w:rPr>
        <w:t xml:space="preserve">Long-Term Objectives (More than a year)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market dominance: become the primary thid space for canary wharfs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120,000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plus professionals, capturing atleast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15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% of local corporate hospitality spend with in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36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months.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operational excellence: build a world class global citizen data base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20,000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plus active members, using data drive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40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% of total revenue through repeat visists and and esclusisve member events 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keepNext w:val="true"/>
        <w:keepLines w:val="true"/>
        <w:spacing w:before="240" w:after="0" w:line="259"/>
        <w:ind w:right="0" w:left="0" w:firstLine="0"/>
        <w:jc w:val="left"/>
        <w:rPr>
          <w:rFonts w:ascii="Arial" w:hAnsi="Arial" w:cs="Arial" w:eastAsia="Arial"/>
          <w:b/>
          <w:color w:val="2F5496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b/>
          <w:color w:val="2F5496"/>
          <w:spacing w:val="0"/>
          <w:position w:val="0"/>
          <w:sz w:val="28"/>
          <w:shd w:fill="auto" w:val="clear"/>
        </w:rPr>
        <w:t xml:space="preserve">Market Analysis and Marketing Plan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the Audience: Canary Wharf is a unique demographic melting pot.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Diversity: The area is significantly more diverse than the London average, with 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22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% "Other White," 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19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% Bangladeshi, 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10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% Chinese, and 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8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% Indian.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Age Profile: 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55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% of residents are aged 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20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–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39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, the prime "going out" demographic.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Demand: 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60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% of Londoners feel nightlife connects them to their community.</w:t>
      </w:r>
    </w:p>
    <w:p>
      <w:pPr>
        <w:keepNext w:val="true"/>
        <w:keepLines w:val="true"/>
        <w:spacing w:before="40" w:after="0" w:line="259"/>
        <w:ind w:right="0" w:left="0" w:firstLine="0"/>
        <w:jc w:val="left"/>
        <w:rPr>
          <w:rFonts w:ascii="Arial" w:hAnsi="Arial" w:cs="Arial" w:eastAsia="Arial"/>
          <w:b/>
          <w:color w:val="833C0B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b/>
          <w:color w:val="833C0B"/>
          <w:spacing w:val="0"/>
          <w:position w:val="0"/>
          <w:sz w:val="28"/>
          <w:shd w:fill="auto" w:val="clear"/>
        </w:rPr>
        <w:t xml:space="preserve">Market Analysis (Competitors, Customers, Target Groups)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Global Beverage Program: A menu featuring premium spirits and techniques from around the world (e.g., Japanese Suntory whiskies, Brazilian Cachaça cocktails, and South African wines).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Cultural Rotation: Thematic "International Residencies" every quarter, highlighting the food, music, and art of a different continent to keep the experience fresh for repeat customers.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keepNext w:val="true"/>
        <w:keepLines w:val="true"/>
        <w:spacing w:before="40" w:after="0" w:line="259"/>
        <w:ind w:right="0" w:left="0" w:firstLine="0"/>
        <w:jc w:val="left"/>
        <w:rPr>
          <w:rFonts w:ascii="Arial" w:hAnsi="Arial" w:cs="Arial" w:eastAsia="Arial"/>
          <w:b/>
          <w:color w:val="833C0B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b/>
          <w:color w:val="833C0B"/>
          <w:spacing w:val="0"/>
          <w:position w:val="0"/>
          <w:sz w:val="28"/>
          <w:shd w:fill="auto" w:val="clear"/>
        </w:rPr>
        <w:t xml:space="preserve">PESTEL Analysis 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Segoe UI Emoji" w:hAnsi="Segoe UI Emoji" w:cs="Segoe UI Emoji" w:eastAsia="Segoe UI Emoji"/>
          <w:color w:val="auto"/>
          <w:spacing w:val="0"/>
          <w:position w:val="0"/>
          <w:sz w:val="22"/>
          <w:shd w:fill="auto" w:val="clear"/>
        </w:rPr>
        <w:t xml:space="preserve">🏛️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Political</w:t>
      </w:r>
    </w:p>
    <w:p>
      <w:pPr>
        <w:numPr>
          <w:ilvl w:val="0"/>
          <w:numId w:val="28"/>
        </w:numPr>
        <w:spacing w:before="0" w:after="160" w:line="259"/>
        <w:ind w:right="0" w:left="720" w:hanging="36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 Licensing Reform: The [National Licensing Policy Framework]Policy Framework](https://www.thecaterer.com/news/what-does-budget-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2025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-mean-for-hospitality) (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2025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) aims to modernise outdated rules and may introduce "hospitality zones" in London with fast-tracked permissions for extended opening hours and alfresco dining.</w:t>
      </w:r>
    </w:p>
    <w:p>
      <w:pPr>
        <w:numPr>
          <w:ilvl w:val="0"/>
          <w:numId w:val="28"/>
        </w:numPr>
        <w:spacing w:before="0" w:after="160" w:line="259"/>
        <w:ind w:right="0" w:left="720" w:hanging="36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* Immigration Policy: Post-Brexit shifts continue to cause [labour shortages](https://pestelanalysisuk.blog/pestel-analysis-of-hospitality-industry-in-uk/) in the hospitality sector, particularly for skilled roles like chefs and international specialists, driving up recruitment and visa sponsorship costs. 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Segoe UI Symbol" w:hAnsi="Segoe UI Symbol" w:cs="Segoe UI Symbol" w:eastAsia="Segoe UI Symbol"/>
          <w:color w:val="auto"/>
          <w:spacing w:val="0"/>
          <w:position w:val="0"/>
          <w:sz w:val="22"/>
          <w:shd w:fill="auto" w:val="clear"/>
        </w:rPr>
        <w:t xml:space="preserve">📉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Economic</w:t>
      </w:r>
    </w:p>
    <w:p>
      <w:pPr>
        <w:numPr>
          <w:ilvl w:val="0"/>
          <w:numId w:val="30"/>
        </w:numPr>
        <w:spacing w:before="0" w:after="160" w:line="259"/>
        <w:ind w:right="0" w:left="720" w:hanging="36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Business Rates Revaluation: A major revaluation takes effect on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1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April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2026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. While the government has introduced lower permanent tax multipliers for hospitality, many London venues face [significant bill increases](https://www.theguardian.com/business/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2026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/jan/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27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/pubs-support-package-business-rates-rachel-reeves-england-wales) due to rising property values since the pandemic.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Segoe UI Symbol" w:hAnsi="Segoe UI Symbol" w:cs="Segoe UI Symbol" w:eastAsia="Segoe UI Symbol"/>
          <w:color w:val="auto"/>
          <w:spacing w:val="0"/>
          <w:position w:val="0"/>
          <w:sz w:val="22"/>
          <w:shd w:fill="auto" w:val="clear"/>
        </w:rPr>
        <w:t xml:space="preserve">🌍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Social</w:t>
      </w:r>
    </w:p>
    <w:p>
      <w:pPr>
        <w:numPr>
          <w:ilvl w:val="0"/>
          <w:numId w:val="32"/>
        </w:numPr>
        <w:spacing w:before="0" w:after="160" w:line="259"/>
        <w:ind w:right="0" w:left="720" w:hanging="36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Demographic Profile: Canary Wharf has a unique age band;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55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% of residents are aged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20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–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39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, significantly higher than the London average of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33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%.</w:t>
      </w:r>
    </w:p>
    <w:p>
      <w:pPr>
        <w:numPr>
          <w:ilvl w:val="0"/>
          <w:numId w:val="32"/>
        </w:numPr>
        <w:spacing w:before="0" w:after="160" w:line="259"/>
        <w:ind w:right="0" w:left="720" w:hanging="36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 Diversity &amp; Inclusion: The area is a "melting pot" with high proportions of Other White (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22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%), Bangladeshi (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19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%), and Chinese (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10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%) residents. This supports the "Global Exchange" concept and creates demand for culturally diverse food and drink programs.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Segoe UI Symbol" w:hAnsi="Segoe UI Symbol" w:cs="Segoe UI Symbol" w:eastAsia="Segoe UI Symbol"/>
          <w:color w:val="auto"/>
          <w:spacing w:val="0"/>
          <w:position w:val="0"/>
          <w:sz w:val="22"/>
          <w:shd w:fill="auto" w:val="clear"/>
        </w:rPr>
        <w:t xml:space="preserve">💻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Technological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numPr>
          <w:ilvl w:val="0"/>
          <w:numId w:val="34"/>
        </w:numPr>
        <w:spacing w:before="0" w:after="160" w:line="259"/>
        <w:ind w:right="0" w:left="720" w:hanging="36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 AI Integration: Artificial Intelligence is moving from pilot to utility, used for dynamic pricing, personalised guest marketing, and optimising staff scheduling to combat rising labour costs.</w:t>
      </w:r>
    </w:p>
    <w:p>
      <w:pPr>
        <w:numPr>
          <w:ilvl w:val="0"/>
          <w:numId w:val="34"/>
        </w:numPr>
        <w:spacing w:before="0" w:after="160" w:line="259"/>
        <w:ind w:right="0" w:left="720" w:hanging="36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 Cybersecurity Risks: Increased reliance on digital bookings and membership apps (like your Global Citizen app) 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Segoe UI Symbol" w:hAnsi="Segoe UI Symbol" w:cs="Segoe UI Symbol" w:eastAsia="Segoe UI Symbol"/>
          <w:color w:val="auto"/>
          <w:spacing w:val="0"/>
          <w:position w:val="0"/>
          <w:sz w:val="22"/>
          <w:shd w:fill="auto" w:val="clear"/>
        </w:rPr>
        <w:t xml:space="preserve">🌿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Environmental</w:t>
      </w:r>
    </w:p>
    <w:p>
      <w:pPr>
        <w:numPr>
          <w:ilvl w:val="0"/>
          <w:numId w:val="36"/>
        </w:numPr>
        <w:spacing w:before="0" w:after="160" w:line="259"/>
        <w:ind w:right="0" w:left="720" w:hanging="36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numPr>
          <w:ilvl w:val="0"/>
          <w:numId w:val="36"/>
        </w:numPr>
        <w:spacing w:before="0" w:after="160" w:line="259"/>
        <w:ind w:right="0" w:left="720" w:hanging="36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Sustainability Standards: Consumers are showing a [rising willingness to pay a premium</w:t>
      </w:r>
    </w:p>
    <w:p>
      <w:pPr>
        <w:numPr>
          <w:ilvl w:val="0"/>
          <w:numId w:val="36"/>
        </w:numPr>
        <w:spacing w:before="0" w:after="160" w:line="259"/>
        <w:ind w:right="0" w:left="720" w:hanging="36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 Energy Management: High utility costs are a persistent threat, forcing venues to invest in smart building systems and energy-efficient technologies to maintain margins</w:t>
      </w:r>
    </w:p>
    <w:p>
      <w:pPr>
        <w:numPr>
          <w:ilvl w:val="0"/>
          <w:numId w:val="36"/>
        </w:numPr>
        <w:spacing w:before="0" w:after="160" w:line="259"/>
        <w:ind w:right="0" w:left="720" w:hanging="36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keepNext w:val="true"/>
        <w:keepLines w:val="true"/>
        <w:spacing w:before="40" w:after="0" w:line="259"/>
        <w:ind w:right="0" w:left="0" w:firstLine="0"/>
        <w:jc w:val="left"/>
        <w:rPr>
          <w:rFonts w:ascii="Arial" w:hAnsi="Arial" w:cs="Arial" w:eastAsia="Arial"/>
          <w:b/>
          <w:color w:val="833C0B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b/>
          <w:color w:val="833C0B"/>
          <w:spacing w:val="0"/>
          <w:position w:val="0"/>
          <w:sz w:val="28"/>
          <w:shd w:fill="auto" w:val="clear"/>
        </w:rPr>
        <w:t xml:space="preserve">SWOT Analysis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 SWOT Analysis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Strengths: Prime location, high-spending demographic, unique "Diversity" hook.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Weaknesses: High rent and business rates in E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14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Opportunities: Expansion into corporate event hosting; Elizabeth Line bringing in cross-London traffic.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Threats: Rising energy costs and potential economic downturn impacting luxury spending.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keepNext w:val="true"/>
        <w:keepLines w:val="true"/>
        <w:spacing w:before="40" w:after="0" w:line="259"/>
        <w:ind w:right="0" w:left="0" w:firstLine="0"/>
        <w:jc w:val="left"/>
        <w:rPr>
          <w:rFonts w:ascii="Arial" w:hAnsi="Arial" w:cs="Arial" w:eastAsia="Arial"/>
          <w:b/>
          <w:color w:val="833C0B"/>
          <w:spacing w:val="0"/>
          <w:position w:val="0"/>
          <w:sz w:val="40"/>
          <w:shd w:fill="auto" w:val="clear"/>
        </w:rPr>
      </w:pPr>
      <w:r>
        <w:rPr>
          <w:rFonts w:ascii="Arial" w:hAnsi="Arial" w:cs="Arial" w:eastAsia="Arial"/>
          <w:b/>
          <w:color w:val="833C0B"/>
          <w:spacing w:val="0"/>
          <w:position w:val="0"/>
          <w:sz w:val="28"/>
          <w:shd w:fill="auto" w:val="clear"/>
        </w:rPr>
        <w:t xml:space="preserve">Marketing Mix (</w:t>
      </w:r>
      <w:r>
        <w:rPr>
          <w:rFonts w:ascii="Arial" w:hAnsi="Arial" w:cs="Arial" w:eastAsia="Arial"/>
          <w:b/>
          <w:color w:val="833C0B"/>
          <w:spacing w:val="0"/>
          <w:position w:val="0"/>
          <w:sz w:val="28"/>
          <w:shd w:fill="auto" w:val="clear"/>
        </w:rPr>
        <w:t xml:space="preserve">4</w:t>
      </w:r>
      <w:r>
        <w:rPr>
          <w:rFonts w:ascii="Arial" w:hAnsi="Arial" w:cs="Arial" w:eastAsia="Arial"/>
          <w:b/>
          <w:color w:val="833C0B"/>
          <w:spacing w:val="0"/>
          <w:position w:val="0"/>
          <w:sz w:val="28"/>
          <w:shd w:fill="auto" w:val="clear"/>
        </w:rPr>
        <w:t xml:space="preserve">Ps)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Price (Premium Value)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* Strategy: Premium-skimming. Cocktails at £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16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–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£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22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, small plates at £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12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–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£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18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* Corporate Tiering: Dedicated "Partner Packages" for local firms (HSBC, Barclays) offering fixed-price event menus to streamline corporate billing.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* The Global Citizen App: A loyalty-based system where frequent guests unlock "hidden" menu items at standard prices rather than discounting.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Place (Canary Wharf Core)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* Physical: High-footfall locations like Wood Wharf or Crossrail Place.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* Digital: A seamless booking interface integrated with LinkedIn (for professionals) and Instagram (for lifestyle).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* Elizabeth Line: Direct marketing to "City" workers (Liverpool St/Paddington) positioning the Lounge as a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15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-minute escape.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 People (International Talent)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* The Crew: Multilingual staff (at least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3-4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languages spoken per shift) to reflect the international clientele.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* Expertise: Mixologists trained in global techniques (e.g., Japanese ice carving, South American maceration).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* Dress Code:Corporate Chicuniforms that look like high-end retail, not traditional hospitality.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keepNext w:val="true"/>
        <w:keepLines w:val="true"/>
        <w:spacing w:before="240" w:after="0" w:line="259"/>
        <w:ind w:right="0" w:left="0" w:firstLine="0"/>
        <w:jc w:val="left"/>
        <w:rPr>
          <w:rFonts w:ascii="Arial" w:hAnsi="Arial" w:cs="Arial" w:eastAsia="Arial"/>
          <w:b/>
          <w:color w:val="2F5496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b/>
          <w:color w:val="2F5496"/>
          <w:spacing w:val="0"/>
          <w:position w:val="0"/>
          <w:sz w:val="28"/>
          <w:shd w:fill="auto" w:val="clear"/>
        </w:rPr>
        <w:t xml:space="preserve">Management Team 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General Manager: High-end London veteran (ex-Mayfair/Wharf) to own the P&amp;L and landlord relations.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 Beverage Director: Concept lead to manage the International Residencies and hit the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75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% GP target.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 Corporate Sales Manager: B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2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B specialist to hunt and lock in D&amp;I mixers with firms like HSBC/Barclays.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 Ops &amp; Tech Lead: Data-driven manager to run the Global Citizen app and keep staff costs at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33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%.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*Head of Security (SIA): High-touch "host" to enforce the Strictly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18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+ policy and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2026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safety laws.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keepNext w:val="true"/>
        <w:keepLines w:val="true"/>
        <w:spacing w:before="40" w:after="0" w:line="259"/>
        <w:ind w:right="0" w:left="0" w:firstLine="0"/>
        <w:jc w:val="left"/>
        <w:rPr>
          <w:rFonts w:ascii="Arial" w:hAnsi="Arial" w:cs="Arial" w:eastAsia="Arial"/>
          <w:b/>
          <w:color w:val="833C0B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b/>
          <w:color w:val="833C0B"/>
          <w:spacing w:val="0"/>
          <w:position w:val="0"/>
          <w:sz w:val="28"/>
          <w:shd w:fill="auto" w:val="clear"/>
        </w:rPr>
        <w:t xml:space="preserve">Key Milestones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The Build: Secure Premises Licence (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18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+ only) and complete the £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1.5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M fit-out.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 The Network: Sign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10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anchor corporate partners (e.g., HSBC, Barclays) for recurring events.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 Launch Day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–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The Global Exchange: Open with the first International Residency and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5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k+ App downloads.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 Month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6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–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Efficiency: Stabilize staff costs at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30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–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33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% and hit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80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% occupancy on Thursdays.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 Month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20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–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24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–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Break-Even: Reach the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£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162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k monthly revenue target to cover all operating costs.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 Year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3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–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Expansion: Finalize the "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Robel lounge blue print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" for a second site (City/Dubai).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keepNext w:val="true"/>
        <w:keepLines w:val="true"/>
        <w:spacing w:before="240" w:after="0" w:line="259"/>
        <w:ind w:right="0" w:left="0" w:firstLine="0"/>
        <w:jc w:val="left"/>
        <w:rPr>
          <w:rFonts w:ascii="Arial" w:hAnsi="Arial" w:cs="Arial" w:eastAsia="Arial"/>
          <w:b/>
          <w:color w:val="2F5496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b/>
          <w:color w:val="2F5496"/>
          <w:spacing w:val="0"/>
          <w:position w:val="0"/>
          <w:sz w:val="28"/>
          <w:shd w:fill="auto" w:val="clear"/>
        </w:rPr>
        <w:t xml:space="preserve">Financial Plan (One Year)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Startup Costs: Budgeted at £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1.2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M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–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£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1.5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M.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Fit-out/Design: £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800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k (Canary Wharf standards require premium finishes).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Licensing &amp; Legal: £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50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k.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Working Capital: £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200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k for the first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6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months.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Profitability Targets: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Gross Profit (GP): Target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75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% on drinks and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65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% on small plates.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Break-even: Projected within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20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–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24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months based on high-volume Thursday-Saturday trade.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keepNext w:val="true"/>
        <w:keepLines w:val="true"/>
        <w:spacing w:before="40" w:after="0" w:line="259"/>
        <w:ind w:right="0" w:left="0" w:firstLine="0"/>
        <w:jc w:val="left"/>
        <w:rPr>
          <w:rFonts w:ascii="Arial" w:hAnsi="Arial" w:cs="Arial" w:eastAsia="Arial"/>
          <w:b/>
          <w:color w:val="833C0B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b/>
          <w:color w:val="833C0B"/>
          <w:spacing w:val="0"/>
          <w:position w:val="0"/>
          <w:sz w:val="28"/>
          <w:shd w:fill="auto" w:val="clear"/>
        </w:rPr>
        <w:t xml:space="preserve">Sources of Finance 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Debt Finance (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80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%):  via a Commercial Bank Loan (e.g., Barclays/HSBC) or Asset Finance specifically for high-end kitchen and bar fit-outs.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keepNext w:val="true"/>
        <w:keepLines w:val="true"/>
        <w:spacing w:before="40" w:after="0" w:line="259"/>
        <w:ind w:right="0" w:left="0" w:firstLine="0"/>
        <w:jc w:val="left"/>
        <w:rPr>
          <w:rFonts w:ascii="Arial" w:hAnsi="Arial" w:cs="Arial" w:eastAsia="Arial"/>
          <w:b/>
          <w:color w:val="833C0B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b/>
          <w:color w:val="833C0B"/>
          <w:spacing w:val="0"/>
          <w:position w:val="0"/>
          <w:sz w:val="28"/>
          <w:shd w:fill="auto" w:val="clear"/>
        </w:rPr>
        <w:t xml:space="preserve">Break Even Analysis 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he Break-Even Targets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Daily Guests: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103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covers.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Weekly Guests: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713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covers.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Monthly Revenue: £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162,160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Estimated Timeframe: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20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–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24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months to recover the initial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£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1.5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M investment 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Cost Components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Fixed Costs (~£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60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k/month): These are constant expenses regardless of guest volume, including high-end Canary Wharf rent, business rates, management salaries, and insurance.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Variable Costs (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63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% per guest): Includes the Cost of Goods Sold (COGS) for premium spirits and ingredients (~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30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%) plus variable labour costs for floor staff (~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33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%).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Contribution Margin (~£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19.43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per guest): With an average transaction value (ATV) of £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52.50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, this is the amount left from each guest to pay off your fixed costs after covering their individual drink/food and service expenses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keepNext w:val="true"/>
        <w:keepLines w:val="true"/>
        <w:spacing w:before="240" w:after="0" w:line="259"/>
        <w:ind w:right="0" w:left="0" w:firstLine="0"/>
        <w:jc w:val="left"/>
        <w:rPr>
          <w:rFonts w:ascii="Arial" w:hAnsi="Arial" w:cs="Arial" w:eastAsia="Arial"/>
          <w:b/>
          <w:color w:val="2F5496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b/>
          <w:color w:val="2F5496"/>
          <w:spacing w:val="0"/>
          <w:position w:val="0"/>
          <w:sz w:val="28"/>
          <w:shd w:fill="auto" w:val="clear"/>
        </w:rPr>
        <w:t xml:space="preserve">Operations and Management Plan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Staffing: A team of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15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–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20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international staff. Professional standards are high; staff costs are projected at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30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–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33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% of revenue.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Licensing &amp; Security: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Premises Licence: Required for the sale of alcohol and "late-night refreshment".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SIA Security: Professional door supervisors will enforce the strict No Children policy and maintain the upscale atmosphere.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Technology: Deployment of a high-end Square for Bars POS or Lightspeed system to track real-time inventory and international stock levels.</w:t>
      </w:r>
    </w:p>
    <w:p>
      <w:pPr>
        <w:keepNext w:val="true"/>
        <w:keepLines w:val="true"/>
        <w:spacing w:before="40" w:after="0" w:line="259"/>
        <w:ind w:right="0" w:left="0" w:firstLine="0"/>
        <w:jc w:val="left"/>
        <w:rPr>
          <w:rFonts w:ascii="Arial" w:hAnsi="Arial" w:cs="Arial" w:eastAsia="Arial"/>
          <w:b/>
          <w:color w:val="833C0B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b/>
          <w:color w:val="833C0B"/>
          <w:spacing w:val="0"/>
          <w:position w:val="0"/>
          <w:sz w:val="28"/>
          <w:shd w:fill="auto" w:val="clear"/>
        </w:rPr>
        <w:t xml:space="preserve">Production of Good and Service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Robel Lounge delivers a high-margin, dual-category offering: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 Goods (Product): A Global Beverage Program (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75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% GP) featuring premium international spirits (Suntory, Cachaça) and a rotating International Small Plates menu (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65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% GP).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 Services: High-end Event Hosting for corporate D&amp;I mixers and an exclusive Global Citizen App for priority booking, hidden menus, and seamless B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2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B billing.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keepNext w:val="true"/>
        <w:keepLines w:val="true"/>
        <w:spacing w:before="40" w:after="0" w:line="259"/>
        <w:ind w:right="0" w:left="0" w:firstLine="0"/>
        <w:jc w:val="left"/>
        <w:rPr>
          <w:rFonts w:ascii="Arial" w:hAnsi="Arial" w:cs="Arial" w:eastAsia="Arial"/>
          <w:b/>
          <w:color w:val="833C0B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b/>
          <w:color w:val="833C0B"/>
          <w:spacing w:val="0"/>
          <w:position w:val="0"/>
          <w:sz w:val="28"/>
          <w:shd w:fill="auto" w:val="clear"/>
        </w:rPr>
        <w:t xml:space="preserve">Technology Plan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POS &amp; Inventory: Lightspeed/Square for Bars to track global stock levels and real-time margins.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The Global Citizen App: Proprietary app for QR-code entry, priority bookings, and "hidden" international menus.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B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2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B Integration: Digital invoicing for corporate accounts (Barclays/HSBC) to streamline event billing.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Smart Ops: AI-driven staff scheduling and automated energy management to protect the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30-33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% labor target.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keepNext w:val="true"/>
        <w:keepLines w:val="true"/>
        <w:spacing w:before="40" w:after="0" w:line="259"/>
        <w:ind w:right="0" w:left="0" w:firstLine="0"/>
        <w:jc w:val="left"/>
        <w:rPr>
          <w:rFonts w:ascii="Arial" w:hAnsi="Arial" w:cs="Arial" w:eastAsia="Arial"/>
          <w:b/>
          <w:color w:val="833C0B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b/>
          <w:color w:val="833C0B"/>
          <w:spacing w:val="0"/>
          <w:position w:val="0"/>
          <w:sz w:val="28"/>
          <w:shd w:fill="auto" w:val="clear"/>
        </w:rPr>
        <w:t xml:space="preserve">Human Resource Plan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Lean Team: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15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–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20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international staff, including multilingual floor hosts and specialist mixologists.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Cost Control: Staff costs capped at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30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–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33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% of revenue through AI-driven scheduling.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Training: "Meridian Academy" for global spirit expertise and strict 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18</w:t>
      </w: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+ licensing compliance.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Retention: Performance-based bonuses linked to "Global Citizen" app ratings and corporate booking targets.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keepNext w:val="true"/>
        <w:keepLines w:val="true"/>
        <w:spacing w:before="40" w:after="0" w:line="259"/>
        <w:ind w:right="0" w:left="0" w:firstLine="0"/>
        <w:jc w:val="left"/>
        <w:rPr>
          <w:rFonts w:ascii="Arial" w:hAnsi="Arial" w:cs="Arial" w:eastAsia="Arial"/>
          <w:b/>
          <w:color w:val="833C0B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b/>
          <w:color w:val="833C0B"/>
          <w:spacing w:val="0"/>
          <w:position w:val="0"/>
          <w:sz w:val="28"/>
          <w:shd w:fill="auto" w:val="clear"/>
        </w:rPr>
        <w:t xml:space="preserve">Expansion Plan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Phase 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1 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(Month 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24-30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): Full repayment of the £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1.5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M startup capital and formalisation of the "Global Exchange" operations manual.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Phase 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2 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(Year 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3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): Launch of a second London site in The City (Square Mile) or Mayfair to capture the cross-town professional demographic.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Phase 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3 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(Year 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5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): International franchising or JV partnerships in global Tier-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1 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hubs like Dubai (DIFC) or Singapore.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40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keepNext w:val="true"/>
        <w:keepLines w:val="true"/>
        <w:spacing w:before="240" w:after="0" w:line="259"/>
        <w:ind w:right="0" w:left="0" w:firstLine="0"/>
        <w:jc w:val="left"/>
        <w:rPr>
          <w:rFonts w:ascii="Arial" w:hAnsi="Arial" w:cs="Arial" w:eastAsia="Arial"/>
          <w:b/>
          <w:color w:val="2F5496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b/>
          <w:color w:val="2F5496"/>
          <w:spacing w:val="0"/>
          <w:position w:val="0"/>
          <w:sz w:val="28"/>
          <w:shd w:fill="auto" w:val="clear"/>
        </w:rPr>
        <w:t xml:space="preserve">Reference List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hyperlink xmlns:r="http://schemas.openxmlformats.org/officeDocument/2006/relationships" r:id="docRId2"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https://www.smartsheet.com/content/cash-flow-projection#:~:text=To%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20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create%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20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a%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20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cash%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20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flow%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20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projection%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2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C%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20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start,inflows%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20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to%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20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determine%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20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your%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20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projected%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20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cash%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20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balance</w:t>
        </w:r>
      </w:hyperlink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hyperlink xmlns:r="http://schemas.openxmlformats.org/officeDocument/2006/relationships" r:id="docRId3"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https://www.liveplan.com/blog/forecasting/cash-flow-forecasting#:~:text=A%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20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good%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20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cash%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20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flow%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20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forecast%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20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might%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20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be,is%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20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about%E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2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%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80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%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94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predicting%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20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your%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20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money%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20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needs%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20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in%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20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advance</w:t>
        </w:r>
      </w:hyperlink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hyperlink xmlns:r="http://schemas.openxmlformats.org/officeDocument/2006/relationships" r:id="docRId4"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https://dwightfunding.com/the-practical-guide-to-establishing-a-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13</w:t>
        </w:r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-week-cash-flow-model/</w:t>
        </w:r>
      </w:hyperlink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hyperlink xmlns:r="http://schemas.openxmlformats.org/officeDocument/2006/relationships" r:id="docRId5"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https://www.rsmuk.com/insights/consumer-outlook/leisure-and-hospitality-industry-outlookhttps://www.rsmuk.com/insights/consumer-outlook/leisure-and-hospitality-industry-outlook</w:t>
        </w:r>
      </w:hyperlink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keepNext w:val="true"/>
        <w:keepLines w:val="true"/>
        <w:spacing w:before="240" w:after="0" w:line="259"/>
        <w:ind w:right="0" w:left="0" w:firstLine="0"/>
        <w:jc w:val="left"/>
        <w:rPr>
          <w:rFonts w:ascii="Arial" w:hAnsi="Arial" w:cs="Arial" w:eastAsia="Arial"/>
          <w:b/>
          <w:color w:val="2F5496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b/>
          <w:color w:val="2F5496"/>
          <w:spacing w:val="0"/>
          <w:position w:val="0"/>
          <w:sz w:val="28"/>
          <w:shd w:fill="auto" w:val="clear"/>
        </w:rPr>
        <w:t xml:space="preserve">Appendices: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center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tabs>
          <w:tab w:val="left" w:pos="1008" w:leader="none"/>
        </w:tabs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ab/>
      </w:r>
    </w:p>
    <w:p>
      <w:pPr>
        <w:tabs>
          <w:tab w:val="left" w:pos="1008" w:leader="none"/>
        </w:tabs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</w:body>
</w:document>
</file>

<file path=word/numbering.xml><?xml version="1.0" encoding="utf-8"?>
<w:numbering xmlns:w="http://schemas.openxmlformats.org/wordprocessingml/2006/main">
  <w:abstractNum w:abstractNumId="0">
    <w:lvl w:ilvl="0">
      <w:start w:val="1"/>
      <w:numFmt w:val="bullet"/>
      <w:lvlText w:val="•"/>
    </w:lvl>
  </w:abstractNum>
  <w:abstractNum w:abstractNumId="6">
    <w:lvl w:ilvl="0">
      <w:start w:val="1"/>
      <w:numFmt w:val="bullet"/>
      <w:lvlText w:val="•"/>
    </w:lvl>
  </w:abstractNum>
  <w:abstractNum w:abstractNumId="12">
    <w:lvl w:ilvl="0">
      <w:start w:val="1"/>
      <w:numFmt w:val="bullet"/>
      <w:lvlText w:val="•"/>
    </w:lvl>
  </w:abstractNum>
  <w:abstractNum w:abstractNumId="18">
    <w:lvl w:ilvl="0">
      <w:start w:val="1"/>
      <w:numFmt w:val="bullet"/>
      <w:lvlText w:val="•"/>
    </w:lvl>
  </w:abstractNum>
  <w:abstractNum w:abstractNumId="24">
    <w:lvl w:ilvl="0">
      <w:start w:val="1"/>
      <w:numFmt w:val="bullet"/>
      <w:lvlText w:val="•"/>
    </w:lvl>
  </w:abstractNum>
  <w:num w:numId="28">
    <w:abstractNumId w:val="24"/>
  </w:num>
  <w:num w:numId="30">
    <w:abstractNumId w:val="18"/>
  </w:num>
  <w:num w:numId="32">
    <w:abstractNumId w:val="12"/>
  </w:num>
  <w:num w:numId="34">
    <w:abstractNumId w:val="6"/>
  </w:num>
  <w:num w:numId="36">
    <w:abstractNumId w:val="0"/>
  </w:num>
</w:numbering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="media/image0.wmf" Id="docRId1" Type="http://schemas.openxmlformats.org/officeDocument/2006/relationships/image" /><Relationship TargetMode="External" Target="https://www.liveplan.com/blog/forecasting/cash-flow-forecasting#:~:text=A%20good%20cash%20flow%20forecast%20might%20be,is%20about%E2%80%94predicting%20your%20money%20needs%20in%20advance" Id="docRId3" Type="http://schemas.openxmlformats.org/officeDocument/2006/relationships/hyperlink" /><Relationship TargetMode="External" Target="https://www.rsmuk.com/insights/consumer-outlook/leisure-and-hospitality-industry-outlookhttps://www.rsmuk.com/insights/consumer-outlook/leisure-and-hospitality-industry-outlook" Id="docRId5" Type="http://schemas.openxmlformats.org/officeDocument/2006/relationships/hyperlink" /><Relationship Target="styles.xml" Id="docRId7" Type="http://schemas.openxmlformats.org/officeDocument/2006/relationships/styles" /><Relationship Target="embeddings/oleObject0.bin" Id="docRId0" Type="http://schemas.openxmlformats.org/officeDocument/2006/relationships/oleObject" /><Relationship TargetMode="External" Target="https://www.smartsheet.com/content/cash-flow-projection#:~:text=To%20create%20a%20cash%20flow%20projection%2C%20start,inflows%20to%20determine%20your%20projected%20cash%20balance" Id="docRId2" Type="http://schemas.openxmlformats.org/officeDocument/2006/relationships/hyperlink" /><Relationship TargetMode="External" Target="https://dwightfunding.com/the-practical-guide-to-establishing-a-13-week-cash-flow-model/" Id="docRId4" Type="http://schemas.openxmlformats.org/officeDocument/2006/relationships/hyperlink" /><Relationship Target="numbering.xml" Id="docRId6" Type="http://schemas.openxmlformats.org/officeDocument/2006/relationships/numbering" /></Relationships>
</file>