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16753" w14:textId="77777777" w:rsidR="00EA5F6B" w:rsidRDefault="00EA5F6B" w:rsidP="00E611D9">
      <w:pPr>
        <w:pStyle w:val="AssignBody"/>
      </w:pPr>
    </w:p>
    <w:p w14:paraId="2DB9D15A" w14:textId="75894769" w:rsidR="00A71B40" w:rsidRPr="00A71B40" w:rsidRDefault="00A71B40" w:rsidP="00A71B40">
      <w:pPr>
        <w:pStyle w:val="AssignSubHeader"/>
        <w:jc w:val="center"/>
        <w:rPr>
          <w:bCs/>
          <w:sz w:val="36"/>
          <w:u w:val="single"/>
        </w:rPr>
      </w:pPr>
      <w:r w:rsidRPr="00A71B40">
        <w:rPr>
          <w:bCs/>
          <w:sz w:val="36"/>
          <w:u w:val="single"/>
        </w:rPr>
        <w:t xml:space="preserve">“KS4 Lesson Study: How does scaffolding </w:t>
      </w:r>
      <w:r>
        <w:rPr>
          <w:bCs/>
          <w:sz w:val="36"/>
          <w:u w:val="single"/>
        </w:rPr>
        <w:br/>
      </w:r>
      <w:r w:rsidRPr="00A71B40">
        <w:rPr>
          <w:bCs/>
          <w:sz w:val="36"/>
          <w:u w:val="single"/>
        </w:rPr>
        <w:t>support pupils to meet success criteria?”</w:t>
      </w:r>
    </w:p>
    <w:p w14:paraId="11419B84" w14:textId="2F776DCA" w:rsidR="00D83A40" w:rsidRDefault="00D83A40" w:rsidP="00CD1240">
      <w:pPr>
        <w:pStyle w:val="AssignSubHeader"/>
      </w:pPr>
    </w:p>
    <w:p w14:paraId="13BBB0E2" w14:textId="2088A8D8" w:rsidR="00755E37" w:rsidRDefault="00755E37" w:rsidP="00755E37">
      <w:pPr>
        <w:pStyle w:val="AssignBody"/>
      </w:pP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271"/>
        <w:gridCol w:w="3402"/>
        <w:gridCol w:w="4343"/>
      </w:tblGrid>
      <w:tr w:rsidR="00755E37" w14:paraId="337F1D26" w14:textId="77777777" w:rsidTr="002D7298">
        <w:tc>
          <w:tcPr>
            <w:tcW w:w="1271" w:type="dxa"/>
            <w:tcBorders>
              <w:top w:val="single" w:sz="4" w:space="0" w:color="auto"/>
              <w:left w:val="single" w:sz="4" w:space="0" w:color="auto"/>
              <w:bottom w:val="single" w:sz="4" w:space="0" w:color="auto"/>
              <w:right w:val="single" w:sz="4" w:space="0" w:color="auto"/>
            </w:tcBorders>
          </w:tcPr>
          <w:p w14:paraId="6536D85E" w14:textId="77777777" w:rsidR="00755E37" w:rsidRPr="000D2907" w:rsidRDefault="00755E37">
            <w:pPr>
              <w:pStyle w:val="AssignBody"/>
              <w:rPr>
                <w:rFonts w:cs="Arial"/>
              </w:rPr>
            </w:pPr>
          </w:p>
        </w:tc>
        <w:tc>
          <w:tcPr>
            <w:tcW w:w="3402" w:type="dxa"/>
            <w:tcBorders>
              <w:top w:val="single" w:sz="4" w:space="0" w:color="auto"/>
              <w:left w:val="single" w:sz="4" w:space="0" w:color="auto"/>
              <w:bottom w:val="single" w:sz="4" w:space="0" w:color="auto"/>
              <w:right w:val="single" w:sz="4" w:space="0" w:color="auto"/>
            </w:tcBorders>
            <w:hideMark/>
          </w:tcPr>
          <w:p w14:paraId="041783CA" w14:textId="44BD8551" w:rsidR="00755E37" w:rsidRPr="000D2907" w:rsidRDefault="00755E37" w:rsidP="00807344">
            <w:pPr>
              <w:pStyle w:val="AssignBody"/>
              <w:jc w:val="center"/>
              <w:rPr>
                <w:rFonts w:cs="Arial"/>
              </w:rPr>
            </w:pPr>
            <w:r w:rsidRPr="000D2907">
              <w:rPr>
                <w:rFonts w:cs="Arial"/>
              </w:rPr>
              <w:t>Target</w:t>
            </w:r>
          </w:p>
        </w:tc>
        <w:tc>
          <w:tcPr>
            <w:tcW w:w="4343" w:type="dxa"/>
            <w:tcBorders>
              <w:top w:val="single" w:sz="4" w:space="0" w:color="auto"/>
              <w:left w:val="single" w:sz="4" w:space="0" w:color="auto"/>
              <w:bottom w:val="single" w:sz="4" w:space="0" w:color="auto"/>
              <w:right w:val="single" w:sz="4" w:space="0" w:color="auto"/>
            </w:tcBorders>
          </w:tcPr>
          <w:p w14:paraId="0CFF26C5" w14:textId="321AC52F" w:rsidR="00755E37" w:rsidRPr="000D2907" w:rsidRDefault="00755E37" w:rsidP="00807344">
            <w:pPr>
              <w:pStyle w:val="NormalWeb"/>
              <w:spacing w:before="0" w:beforeAutospacing="0" w:after="0" w:afterAutospacing="0"/>
              <w:jc w:val="center"/>
              <w:rPr>
                <w:rFonts w:ascii="Arial" w:hAnsi="Arial" w:cs="Arial"/>
                <w:sz w:val="22"/>
                <w:szCs w:val="22"/>
                <w:lang w:val="en-US" w:eastAsia="en-US"/>
              </w:rPr>
            </w:pPr>
            <w:r w:rsidRPr="000D2907">
              <w:rPr>
                <w:rFonts w:ascii="Arial" w:hAnsi="Arial" w:cs="Arial"/>
                <w:sz w:val="22"/>
                <w:szCs w:val="22"/>
                <w:lang w:val="en-US" w:eastAsia="en-US"/>
              </w:rPr>
              <w:t>What I have done in this assignment.</w:t>
            </w:r>
          </w:p>
        </w:tc>
      </w:tr>
      <w:tr w:rsidR="00755E37" w14:paraId="5916A988" w14:textId="77777777" w:rsidTr="002D7298">
        <w:tc>
          <w:tcPr>
            <w:tcW w:w="1271" w:type="dxa"/>
            <w:tcBorders>
              <w:top w:val="single" w:sz="4" w:space="0" w:color="auto"/>
              <w:left w:val="single" w:sz="4" w:space="0" w:color="auto"/>
              <w:bottom w:val="single" w:sz="4" w:space="0" w:color="auto"/>
              <w:right w:val="single" w:sz="4" w:space="0" w:color="auto"/>
            </w:tcBorders>
            <w:hideMark/>
          </w:tcPr>
          <w:p w14:paraId="2E8DFC85" w14:textId="35B04A5F" w:rsidR="00755E37" w:rsidRPr="000D2907" w:rsidRDefault="00755E37" w:rsidP="00807344">
            <w:pPr>
              <w:pStyle w:val="AssignBody"/>
              <w:jc w:val="center"/>
              <w:rPr>
                <w:rFonts w:cs="Arial"/>
              </w:rPr>
            </w:pPr>
            <w:r w:rsidRPr="000D2907">
              <w:rPr>
                <w:rFonts w:cs="Arial"/>
              </w:rPr>
              <w:t>Target 1</w:t>
            </w:r>
          </w:p>
        </w:tc>
        <w:tc>
          <w:tcPr>
            <w:tcW w:w="3402" w:type="dxa"/>
            <w:tcBorders>
              <w:top w:val="single" w:sz="4" w:space="0" w:color="auto"/>
              <w:left w:val="single" w:sz="4" w:space="0" w:color="auto"/>
              <w:bottom w:val="single" w:sz="4" w:space="0" w:color="auto"/>
              <w:right w:val="single" w:sz="4" w:space="0" w:color="auto"/>
            </w:tcBorders>
          </w:tcPr>
          <w:p w14:paraId="181D3942" w14:textId="47515B09" w:rsidR="00755E37" w:rsidRPr="000D2907" w:rsidRDefault="008B3E84">
            <w:pPr>
              <w:pStyle w:val="AssignBody"/>
              <w:rPr>
                <w:rFonts w:cs="Arial"/>
              </w:rPr>
            </w:pPr>
            <w:r w:rsidRPr="000D2907">
              <w:rPr>
                <w:rFonts w:cs="Arial"/>
                <w:color w:val="283041"/>
                <w:shd w:val="clear" w:color="auto" w:fill="FFFFFF"/>
              </w:rPr>
              <w:t xml:space="preserve">Make more clear links between the literature used </w:t>
            </w:r>
            <w:r w:rsidR="00FB0CC0" w:rsidRPr="000D2907">
              <w:rPr>
                <w:rFonts w:cs="Arial"/>
                <w:color w:val="283041"/>
                <w:shd w:val="clear" w:color="auto" w:fill="FFFFFF"/>
              </w:rPr>
              <w:t xml:space="preserve">in my </w:t>
            </w:r>
            <w:r w:rsidRPr="000D2907">
              <w:rPr>
                <w:rFonts w:cs="Arial"/>
                <w:color w:val="283041"/>
                <w:shd w:val="clear" w:color="auto" w:fill="FFFFFF"/>
              </w:rPr>
              <w:t>own practice/reflection. </w:t>
            </w:r>
          </w:p>
        </w:tc>
        <w:tc>
          <w:tcPr>
            <w:tcW w:w="4343" w:type="dxa"/>
            <w:tcBorders>
              <w:top w:val="single" w:sz="4" w:space="0" w:color="auto"/>
              <w:left w:val="single" w:sz="4" w:space="0" w:color="auto"/>
              <w:bottom w:val="single" w:sz="4" w:space="0" w:color="auto"/>
              <w:right w:val="single" w:sz="4" w:space="0" w:color="auto"/>
            </w:tcBorders>
          </w:tcPr>
          <w:p w14:paraId="342A62A2" w14:textId="1BD3B0B9" w:rsidR="00755E37" w:rsidRPr="000D2907" w:rsidRDefault="000D2907">
            <w:pPr>
              <w:pStyle w:val="AssignBody"/>
              <w:rPr>
                <w:rFonts w:cs="Arial"/>
              </w:rPr>
            </w:pPr>
            <w:r>
              <w:rPr>
                <w:rFonts w:cs="Arial"/>
                <w:color w:val="283041"/>
                <w:shd w:val="clear" w:color="auto" w:fill="FFFFFF"/>
              </w:rPr>
              <w:t xml:space="preserve">Attempted to make </w:t>
            </w:r>
            <w:r w:rsidR="009D46AB">
              <w:rPr>
                <w:rFonts w:cs="Arial"/>
                <w:color w:val="283041"/>
                <w:shd w:val="clear" w:color="auto" w:fill="FFFFFF"/>
              </w:rPr>
              <w:t>include more</w:t>
            </w:r>
            <w:r w:rsidRPr="000D2907">
              <w:rPr>
                <w:rFonts w:cs="Arial"/>
                <w:color w:val="283041"/>
                <w:shd w:val="clear" w:color="auto" w:fill="FFFFFF"/>
              </w:rPr>
              <w:t xml:space="preserve"> clear links between the literature used in </w:t>
            </w:r>
            <w:r w:rsidR="009D46AB">
              <w:rPr>
                <w:rFonts w:cs="Arial"/>
                <w:color w:val="283041"/>
                <w:shd w:val="clear" w:color="auto" w:fill="FFFFFF"/>
              </w:rPr>
              <w:t>the reflection of my practice</w:t>
            </w:r>
            <w:r w:rsidRPr="000D2907">
              <w:rPr>
                <w:rFonts w:cs="Arial"/>
                <w:color w:val="283041"/>
                <w:shd w:val="clear" w:color="auto" w:fill="FFFFFF"/>
              </w:rPr>
              <w:t>. </w:t>
            </w:r>
          </w:p>
        </w:tc>
      </w:tr>
      <w:tr w:rsidR="00755E37" w14:paraId="59BF48B3" w14:textId="77777777" w:rsidTr="002D7298">
        <w:tc>
          <w:tcPr>
            <w:tcW w:w="1271" w:type="dxa"/>
            <w:tcBorders>
              <w:top w:val="single" w:sz="4" w:space="0" w:color="auto"/>
              <w:left w:val="single" w:sz="4" w:space="0" w:color="auto"/>
              <w:bottom w:val="single" w:sz="4" w:space="0" w:color="auto"/>
              <w:right w:val="single" w:sz="4" w:space="0" w:color="auto"/>
            </w:tcBorders>
            <w:hideMark/>
          </w:tcPr>
          <w:p w14:paraId="0D8D349B" w14:textId="77777777" w:rsidR="00755E37" w:rsidRPr="000D2907" w:rsidRDefault="00755E37" w:rsidP="00807344">
            <w:pPr>
              <w:pStyle w:val="AssignBody"/>
              <w:jc w:val="center"/>
              <w:rPr>
                <w:rFonts w:cs="Arial"/>
              </w:rPr>
            </w:pPr>
            <w:r w:rsidRPr="000D2907">
              <w:rPr>
                <w:rFonts w:cs="Arial"/>
              </w:rPr>
              <w:t>Target 2</w:t>
            </w:r>
          </w:p>
          <w:p w14:paraId="5572A796" w14:textId="43A78B06" w:rsidR="005E68D9" w:rsidRPr="000D2907" w:rsidRDefault="005E68D9" w:rsidP="00807344">
            <w:pPr>
              <w:pStyle w:val="AssignBody"/>
              <w:jc w:val="center"/>
              <w:rPr>
                <w:rFonts w:cs="Arial"/>
              </w:rPr>
            </w:pPr>
          </w:p>
        </w:tc>
        <w:tc>
          <w:tcPr>
            <w:tcW w:w="3402" w:type="dxa"/>
            <w:tcBorders>
              <w:top w:val="single" w:sz="4" w:space="0" w:color="auto"/>
              <w:left w:val="single" w:sz="4" w:space="0" w:color="auto"/>
              <w:bottom w:val="single" w:sz="4" w:space="0" w:color="auto"/>
              <w:right w:val="single" w:sz="4" w:space="0" w:color="auto"/>
            </w:tcBorders>
          </w:tcPr>
          <w:p w14:paraId="2A9415E3" w14:textId="58A7BB57" w:rsidR="00755E37" w:rsidRPr="000D2907" w:rsidRDefault="00F146AB">
            <w:pPr>
              <w:pStyle w:val="AssignBody"/>
              <w:rPr>
                <w:rFonts w:cs="Arial"/>
              </w:rPr>
            </w:pPr>
            <w:r w:rsidRPr="000D2907">
              <w:rPr>
                <w:rFonts w:cs="Arial"/>
                <w:color w:val="283041"/>
                <w:shd w:val="clear" w:color="auto" w:fill="FFFFFF"/>
              </w:rPr>
              <w:t>Expand</w:t>
            </w:r>
            <w:r w:rsidR="00877E0D" w:rsidRPr="000D2907">
              <w:rPr>
                <w:rFonts w:cs="Arial"/>
                <w:color w:val="283041"/>
                <w:shd w:val="clear" w:color="auto" w:fill="FFFFFF"/>
              </w:rPr>
              <w:t xml:space="preserve"> on how </w:t>
            </w:r>
            <w:r w:rsidRPr="000D2907">
              <w:rPr>
                <w:rFonts w:cs="Arial"/>
                <w:color w:val="283041"/>
                <w:shd w:val="clear" w:color="auto" w:fill="FFFFFF"/>
              </w:rPr>
              <w:t xml:space="preserve">I </w:t>
            </w:r>
            <w:r w:rsidR="00877E0D" w:rsidRPr="000D2907">
              <w:rPr>
                <w:rFonts w:cs="Arial"/>
                <w:color w:val="283041"/>
                <w:shd w:val="clear" w:color="auto" w:fill="FFFFFF"/>
              </w:rPr>
              <w:t>would make further improvements to</w:t>
            </w:r>
            <w:r w:rsidR="004D7384" w:rsidRPr="000D2907">
              <w:rPr>
                <w:rFonts w:cs="Arial"/>
                <w:color w:val="283041"/>
                <w:shd w:val="clear" w:color="auto" w:fill="FFFFFF"/>
              </w:rPr>
              <w:t xml:space="preserve"> my </w:t>
            </w:r>
            <w:r w:rsidR="00877E0D" w:rsidRPr="000D2907">
              <w:rPr>
                <w:rFonts w:cs="Arial"/>
                <w:color w:val="283041"/>
                <w:shd w:val="clear" w:color="auto" w:fill="FFFFFF"/>
              </w:rPr>
              <w:t>practice.</w:t>
            </w:r>
          </w:p>
        </w:tc>
        <w:tc>
          <w:tcPr>
            <w:tcW w:w="4343" w:type="dxa"/>
            <w:tcBorders>
              <w:top w:val="single" w:sz="4" w:space="0" w:color="auto"/>
              <w:left w:val="single" w:sz="4" w:space="0" w:color="auto"/>
              <w:bottom w:val="single" w:sz="4" w:space="0" w:color="auto"/>
              <w:right w:val="single" w:sz="4" w:space="0" w:color="auto"/>
            </w:tcBorders>
          </w:tcPr>
          <w:p w14:paraId="0E186AA1" w14:textId="3BBDF5DA" w:rsidR="00755E37" w:rsidRPr="000D2907" w:rsidRDefault="005B72C5">
            <w:pPr>
              <w:pStyle w:val="AssignBody"/>
              <w:rPr>
                <w:rFonts w:cs="Arial"/>
              </w:rPr>
            </w:pPr>
            <w:r w:rsidRPr="000D2907">
              <w:rPr>
                <w:rFonts w:cs="Arial"/>
              </w:rPr>
              <w:t xml:space="preserve">This is </w:t>
            </w:r>
            <w:r w:rsidR="00306CC5" w:rsidRPr="000D2907">
              <w:rPr>
                <w:rFonts w:cs="Arial"/>
              </w:rPr>
              <w:t>considered</w:t>
            </w:r>
            <w:r w:rsidRPr="000D2907">
              <w:rPr>
                <w:rFonts w:cs="Arial"/>
              </w:rPr>
              <w:t xml:space="preserve"> in detail in </w:t>
            </w:r>
            <w:r w:rsidR="00306CC5" w:rsidRPr="000D2907">
              <w:rPr>
                <w:rFonts w:cs="Arial"/>
              </w:rPr>
              <w:t>the Conclusions section of the paper.</w:t>
            </w:r>
          </w:p>
        </w:tc>
      </w:tr>
      <w:tr w:rsidR="00755E37" w14:paraId="2E4AF60A" w14:textId="77777777" w:rsidTr="002D7298">
        <w:tc>
          <w:tcPr>
            <w:tcW w:w="1271" w:type="dxa"/>
            <w:tcBorders>
              <w:top w:val="single" w:sz="4" w:space="0" w:color="auto"/>
              <w:left w:val="single" w:sz="4" w:space="0" w:color="auto"/>
              <w:bottom w:val="single" w:sz="4" w:space="0" w:color="auto"/>
              <w:right w:val="single" w:sz="4" w:space="0" w:color="auto"/>
            </w:tcBorders>
            <w:hideMark/>
          </w:tcPr>
          <w:p w14:paraId="3F65E8FA" w14:textId="77777777" w:rsidR="00755E37" w:rsidRPr="000D2907" w:rsidRDefault="00755E37" w:rsidP="00807344">
            <w:pPr>
              <w:pStyle w:val="AssignBody"/>
              <w:jc w:val="center"/>
              <w:rPr>
                <w:rFonts w:cs="Arial"/>
              </w:rPr>
            </w:pPr>
            <w:r w:rsidRPr="000D2907">
              <w:rPr>
                <w:rFonts w:cs="Arial"/>
              </w:rPr>
              <w:t>Target 3</w:t>
            </w:r>
          </w:p>
          <w:p w14:paraId="1A54ED4C" w14:textId="4B19FF59" w:rsidR="005E68D9" w:rsidRPr="000D2907" w:rsidRDefault="005E68D9" w:rsidP="00807344">
            <w:pPr>
              <w:pStyle w:val="AssignBody"/>
              <w:jc w:val="center"/>
              <w:rPr>
                <w:rFonts w:cs="Arial"/>
              </w:rPr>
            </w:pPr>
          </w:p>
        </w:tc>
        <w:tc>
          <w:tcPr>
            <w:tcW w:w="3402" w:type="dxa"/>
            <w:tcBorders>
              <w:top w:val="single" w:sz="4" w:space="0" w:color="auto"/>
              <w:left w:val="single" w:sz="4" w:space="0" w:color="auto"/>
              <w:bottom w:val="single" w:sz="4" w:space="0" w:color="auto"/>
              <w:right w:val="single" w:sz="4" w:space="0" w:color="auto"/>
            </w:tcBorders>
          </w:tcPr>
          <w:p w14:paraId="47203029" w14:textId="4DB91D75" w:rsidR="00755E37" w:rsidRPr="000D2907" w:rsidRDefault="00F146AB">
            <w:pPr>
              <w:pStyle w:val="AssignBody"/>
              <w:rPr>
                <w:rFonts w:cs="Arial"/>
              </w:rPr>
            </w:pPr>
            <w:r w:rsidRPr="000D2907">
              <w:rPr>
                <w:rFonts w:cs="Arial"/>
                <w:color w:val="283041"/>
                <w:shd w:val="clear" w:color="auto" w:fill="FFFFFF"/>
              </w:rPr>
              <w:t>Improve accuracy of language.</w:t>
            </w:r>
          </w:p>
        </w:tc>
        <w:tc>
          <w:tcPr>
            <w:tcW w:w="4343" w:type="dxa"/>
            <w:tcBorders>
              <w:top w:val="single" w:sz="4" w:space="0" w:color="auto"/>
              <w:left w:val="single" w:sz="4" w:space="0" w:color="auto"/>
              <w:bottom w:val="single" w:sz="4" w:space="0" w:color="auto"/>
              <w:right w:val="single" w:sz="4" w:space="0" w:color="auto"/>
            </w:tcBorders>
          </w:tcPr>
          <w:p w14:paraId="38E46D89" w14:textId="56A37828" w:rsidR="00755E37" w:rsidRPr="000D2907" w:rsidRDefault="00CF52DF">
            <w:pPr>
              <w:pStyle w:val="AssignBody"/>
              <w:rPr>
                <w:rFonts w:cs="Arial"/>
              </w:rPr>
            </w:pPr>
            <w:r w:rsidRPr="000D2907">
              <w:rPr>
                <w:rFonts w:cs="Arial"/>
              </w:rPr>
              <w:t xml:space="preserve">Attempted to </w:t>
            </w:r>
            <w:r w:rsidR="005D6107" w:rsidRPr="000D2907">
              <w:rPr>
                <w:rFonts w:cs="Arial"/>
              </w:rPr>
              <w:t>proof-read small sections at time to stay alert to errors.</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4362936D" w14:textId="68281749" w:rsidR="00755E37" w:rsidRDefault="00755E37" w:rsidP="00755E37">
      <w:pPr>
        <w:pStyle w:val="AssignBody"/>
      </w:pPr>
    </w:p>
    <w:p w14:paraId="65122894" w14:textId="255D4F1E" w:rsidR="00755E37" w:rsidRDefault="00755E37" w:rsidP="00755E37">
      <w:pPr>
        <w:pStyle w:val="AssignBody"/>
      </w:pPr>
    </w:p>
    <w:p w14:paraId="7C20BC95" w14:textId="77777777" w:rsidR="001E30DB" w:rsidRDefault="001E30DB">
      <w:pPr>
        <w:rPr>
          <w:rFonts w:ascii="Arial" w:hAnsi="Arial" w:cs="Arial"/>
          <w:b/>
          <w:bCs/>
          <w:i/>
          <w:iCs/>
          <w:sz w:val="28"/>
          <w:szCs w:val="28"/>
          <w:u w:val="single"/>
        </w:rPr>
      </w:pPr>
      <w:r>
        <w:rPr>
          <w:rFonts w:ascii="Arial" w:hAnsi="Arial" w:cs="Arial"/>
          <w:b/>
          <w:bCs/>
          <w:i/>
          <w:iCs/>
          <w:sz w:val="28"/>
          <w:szCs w:val="28"/>
          <w:u w:val="single"/>
        </w:rPr>
        <w:br w:type="page"/>
      </w:r>
    </w:p>
    <w:p w14:paraId="1B42C87E" w14:textId="319A00E2" w:rsidR="00AA5863" w:rsidRPr="00DC0E53" w:rsidRDefault="00AA5863" w:rsidP="00AA5863">
      <w:pPr>
        <w:spacing w:line="360" w:lineRule="auto"/>
        <w:rPr>
          <w:rFonts w:ascii="Arial" w:hAnsi="Arial" w:cs="Arial"/>
          <w:b/>
          <w:bCs/>
          <w:i/>
          <w:iCs/>
          <w:sz w:val="28"/>
          <w:szCs w:val="28"/>
          <w:u w:val="single"/>
        </w:rPr>
      </w:pPr>
      <w:r w:rsidRPr="00DC0E53">
        <w:rPr>
          <w:rFonts w:ascii="Arial" w:hAnsi="Arial" w:cs="Arial"/>
          <w:b/>
          <w:bCs/>
          <w:i/>
          <w:iCs/>
          <w:sz w:val="28"/>
          <w:szCs w:val="28"/>
          <w:u w:val="single"/>
        </w:rPr>
        <w:lastRenderedPageBreak/>
        <w:t>Focus of Research</w:t>
      </w:r>
    </w:p>
    <w:p w14:paraId="6C125839" w14:textId="77777777" w:rsidR="00AA5863" w:rsidRPr="00172717" w:rsidRDefault="00AA5863" w:rsidP="00AA5863">
      <w:pPr>
        <w:spacing w:line="360" w:lineRule="auto"/>
        <w:rPr>
          <w:rFonts w:ascii="Arial" w:hAnsi="Arial" w:cs="Arial"/>
        </w:rPr>
      </w:pPr>
      <w:r w:rsidRPr="00172717">
        <w:rPr>
          <w:rFonts w:ascii="Arial" w:hAnsi="Arial" w:cs="Arial"/>
        </w:rPr>
        <w:t xml:space="preserve">The purpose of my research was to discover how pupils benefitted from the use of scaffolding techniques during teaching. The issue of scaffolding interested me as it was a </w:t>
      </w:r>
      <w:r w:rsidRPr="00FB28CB">
        <w:rPr>
          <w:rFonts w:ascii="Arial" w:hAnsi="Arial" w:cs="Arial"/>
        </w:rPr>
        <w:t xml:space="preserve">frequently challenged issue amongst colleagues in the school of my placement. Having done research on the topic, scaffolding as a technique is mostly seen as an effective teaching technique in recent literature. Academics such as Janson and Soellner (2017) and Hao (2016) applaud scaffolding for its impact on diminishing cognitive overload, however Myhill and Warren (2005), </w:t>
      </w:r>
      <w:r w:rsidRPr="00FB28CB">
        <w:rPr>
          <w:rFonts w:ascii="Arial" w:hAnsi="Arial" w:cs="Arial"/>
          <w:shd w:val="clear" w:color="auto" w:fill="FCFCFC"/>
        </w:rPr>
        <w:t xml:space="preserve">Dehler and Welsh (2014) and Al-Saadi (2011) </w:t>
      </w:r>
      <w:r w:rsidRPr="00FB28CB">
        <w:rPr>
          <w:rFonts w:ascii="Arial" w:hAnsi="Arial" w:cs="Arial"/>
        </w:rPr>
        <w:t>believe scaffolding may lead to pupils’ over-reliance on teachers and unable to study independently.</w:t>
      </w:r>
      <w:r w:rsidRPr="00172717">
        <w:rPr>
          <w:rFonts w:ascii="Arial" w:hAnsi="Arial" w:cs="Arial"/>
        </w:rPr>
        <w:t xml:space="preserve"> </w:t>
      </w:r>
    </w:p>
    <w:p w14:paraId="16CF635E" w14:textId="77777777" w:rsidR="00AA5863" w:rsidRPr="00172717" w:rsidRDefault="00AA5863" w:rsidP="00AA5863">
      <w:pPr>
        <w:spacing w:line="360" w:lineRule="auto"/>
        <w:rPr>
          <w:rFonts w:ascii="Arial" w:hAnsi="Arial" w:cs="Arial"/>
        </w:rPr>
      </w:pPr>
      <w:r w:rsidRPr="00172717">
        <w:rPr>
          <w:rFonts w:ascii="Arial" w:hAnsi="Arial" w:cs="Arial"/>
        </w:rPr>
        <w:t>Little research has been done in recent years on the comparison of pupil attainment when provided with scaffolding throughout a lesson, compared with pupil attainment when scaffolding is only provided once pupils have had an opportunity to complete a task independently. After discussion with my research partner, to explore this opening in literature we decided on the research question “KS4 Lesson Study: How does scaffolding support pupils to meet success criteria?”. Through a lesson study method, our objective was to discover whether scaffolding tasks for all pupils from the beginning of a lesson compared with only scaffolding tasks part-way through a lesson helped pupils to meet success criteria.</w:t>
      </w:r>
    </w:p>
    <w:p w14:paraId="2D23CCEA" w14:textId="77777777" w:rsidR="00AA5863" w:rsidRPr="00172717" w:rsidRDefault="00AA5863" w:rsidP="00AA5863">
      <w:pPr>
        <w:spacing w:line="360" w:lineRule="auto"/>
        <w:rPr>
          <w:rFonts w:ascii="Arial" w:hAnsi="Arial" w:cs="Arial"/>
          <w:b/>
          <w:bCs/>
          <w:color w:val="FF0000"/>
          <w:u w:val="single"/>
        </w:rPr>
      </w:pPr>
    </w:p>
    <w:p w14:paraId="5178F696" w14:textId="77777777" w:rsidR="00AA5863" w:rsidRPr="00E365AC" w:rsidRDefault="00AA5863" w:rsidP="00AA5863">
      <w:pPr>
        <w:spacing w:line="360" w:lineRule="auto"/>
        <w:rPr>
          <w:rFonts w:ascii="Arial" w:hAnsi="Arial" w:cs="Arial"/>
          <w:b/>
          <w:bCs/>
          <w:i/>
          <w:iCs/>
          <w:sz w:val="28"/>
          <w:szCs w:val="28"/>
          <w:u w:val="single"/>
        </w:rPr>
      </w:pPr>
      <w:r w:rsidRPr="00E365AC">
        <w:rPr>
          <w:rFonts w:ascii="Arial" w:hAnsi="Arial" w:cs="Arial"/>
          <w:b/>
          <w:bCs/>
          <w:i/>
          <w:iCs/>
          <w:sz w:val="28"/>
          <w:szCs w:val="28"/>
          <w:u w:val="single"/>
        </w:rPr>
        <w:t>Research Context</w:t>
      </w:r>
    </w:p>
    <w:p w14:paraId="2898C092" w14:textId="77777777" w:rsidR="00AA5863" w:rsidRPr="00172717" w:rsidRDefault="00AA5863" w:rsidP="00AA5863">
      <w:pPr>
        <w:spacing w:line="360" w:lineRule="auto"/>
        <w:rPr>
          <w:rFonts w:ascii="Arial" w:hAnsi="Arial" w:cs="Arial"/>
          <w:b/>
          <w:bCs/>
          <w:color w:val="FF0000"/>
        </w:rPr>
      </w:pPr>
      <w:r w:rsidRPr="00172717">
        <w:rPr>
          <w:rFonts w:ascii="Arial" w:hAnsi="Arial" w:cs="Arial"/>
          <w:bCs/>
        </w:rPr>
        <w:t>The research activity took place in an English Medium Comprehensive School in South Wales. The classes chosen to participate in the lesson study were two Year 9 classes of mixed prior attainment. Although two classes of 30 pupils took part in the lesson study, only</w:t>
      </w:r>
      <w:r w:rsidRPr="00172717">
        <w:rPr>
          <w:rFonts w:ascii="Arial" w:hAnsi="Arial" w:cs="Arial"/>
        </w:rPr>
        <w:t xml:space="preserve"> three case pupils in each class were observed and interviewed for the research activity. In each group of 3 pupils, one was of high prior attainment level, one was of medium prior attainment level, and one was of low prior attainment level. One lesson observed was a Geography lesson and the other was a Welsh lesson, though both were literacy-based.  </w:t>
      </w:r>
    </w:p>
    <w:p w14:paraId="07205FFC" w14:textId="77777777" w:rsidR="00AA5863" w:rsidRPr="00172717" w:rsidRDefault="00AA5863" w:rsidP="00AA5863">
      <w:pPr>
        <w:spacing w:line="360" w:lineRule="auto"/>
        <w:rPr>
          <w:rFonts w:ascii="Arial" w:hAnsi="Arial" w:cs="Arial"/>
        </w:rPr>
      </w:pPr>
    </w:p>
    <w:p w14:paraId="000EE9D8" w14:textId="77777777" w:rsidR="00AA5863" w:rsidRDefault="00AA5863" w:rsidP="00AA5863">
      <w:pPr>
        <w:spacing w:line="360" w:lineRule="auto"/>
        <w:rPr>
          <w:rFonts w:ascii="Arial" w:hAnsi="Arial" w:cs="Arial"/>
          <w:b/>
          <w:bCs/>
          <w:i/>
          <w:iCs/>
          <w:sz w:val="28"/>
          <w:szCs w:val="28"/>
          <w:u w:val="single"/>
        </w:rPr>
      </w:pPr>
    </w:p>
    <w:p w14:paraId="4AB56211" w14:textId="77777777" w:rsidR="00C6232A" w:rsidRDefault="00C6232A">
      <w:pPr>
        <w:rPr>
          <w:rFonts w:ascii="Arial" w:hAnsi="Arial" w:cs="Arial"/>
          <w:b/>
          <w:bCs/>
          <w:i/>
          <w:iCs/>
          <w:sz w:val="28"/>
          <w:szCs w:val="28"/>
          <w:u w:val="single"/>
        </w:rPr>
      </w:pPr>
      <w:r>
        <w:rPr>
          <w:rFonts w:ascii="Arial" w:hAnsi="Arial" w:cs="Arial"/>
          <w:b/>
          <w:bCs/>
          <w:i/>
          <w:iCs/>
          <w:sz w:val="28"/>
          <w:szCs w:val="28"/>
          <w:u w:val="single"/>
        </w:rPr>
        <w:br w:type="page"/>
      </w:r>
    </w:p>
    <w:p w14:paraId="572DA5C9" w14:textId="4A30BC52" w:rsidR="00AA5863" w:rsidRPr="0046019A" w:rsidRDefault="00AA5863" w:rsidP="00AA5863">
      <w:pPr>
        <w:spacing w:line="360" w:lineRule="auto"/>
        <w:rPr>
          <w:rFonts w:ascii="Arial" w:hAnsi="Arial" w:cs="Arial"/>
          <w:b/>
          <w:bCs/>
          <w:i/>
          <w:iCs/>
          <w:sz w:val="28"/>
          <w:szCs w:val="28"/>
          <w:u w:val="single"/>
        </w:rPr>
      </w:pPr>
      <w:r w:rsidRPr="0046019A">
        <w:rPr>
          <w:rFonts w:ascii="Arial" w:hAnsi="Arial" w:cs="Arial"/>
          <w:b/>
          <w:bCs/>
          <w:i/>
          <w:iCs/>
          <w:sz w:val="28"/>
          <w:szCs w:val="28"/>
          <w:u w:val="single"/>
        </w:rPr>
        <w:lastRenderedPageBreak/>
        <w:t>Literature Review</w:t>
      </w:r>
    </w:p>
    <w:p w14:paraId="0D3DF135" w14:textId="77777777" w:rsidR="00AA5863" w:rsidRPr="00B67497" w:rsidRDefault="00AA5863" w:rsidP="00AA5863">
      <w:pPr>
        <w:spacing w:line="360" w:lineRule="auto"/>
        <w:rPr>
          <w:rFonts w:ascii="Arial" w:hAnsi="Arial" w:cs="Arial"/>
        </w:rPr>
      </w:pPr>
      <w:r w:rsidRPr="00172717">
        <w:rPr>
          <w:rFonts w:ascii="Arial" w:hAnsi="Arial" w:cs="Arial"/>
        </w:rPr>
        <w:t xml:space="preserve">In order to undertake the research with an understanding of recent findings, I looked further into the topic of scaffolding. Scaffolding is mostly seen as an effective teaching technique in </w:t>
      </w:r>
      <w:r w:rsidRPr="003B2776">
        <w:rPr>
          <w:rFonts w:ascii="Arial" w:hAnsi="Arial" w:cs="Arial"/>
        </w:rPr>
        <w:t xml:space="preserve">recent literature, </w:t>
      </w:r>
      <w:r w:rsidRPr="00B67497">
        <w:rPr>
          <w:rFonts w:ascii="Arial" w:hAnsi="Arial" w:cs="Arial"/>
        </w:rPr>
        <w:t xml:space="preserve">with most academics linking their endorsement of scaffolding to cognitive load theory and scaffolding’s effect on reducing working memory limits (Janson and Soellner, 2017; Offerdahl et al, 2017). Research on working memory (Leahy &amp; Sweller, 2019, Mancinetti et al, 2019; Treffers, 2019) has provided evidence that individuals are only capable of keeping a handful of units of information active simultaneously, and once working memory is overloaded “student learning is impaired” (Ginns &amp; Leppink, 2019). Furthermore, when an individual has limited cognitive capacity, they have fewer opportunities to make connections to existing knowledge, which is how constructivists believe learning is achieved. </w:t>
      </w:r>
    </w:p>
    <w:p w14:paraId="1C5B2F8F" w14:textId="77777777" w:rsidR="00AA5863" w:rsidRPr="00B67497" w:rsidRDefault="00AA5863" w:rsidP="00AA5863">
      <w:pPr>
        <w:spacing w:line="360" w:lineRule="auto"/>
        <w:rPr>
          <w:rFonts w:ascii="Arial" w:hAnsi="Arial" w:cs="Arial"/>
        </w:rPr>
      </w:pPr>
      <w:r w:rsidRPr="00B67497">
        <w:rPr>
          <w:rFonts w:ascii="Arial" w:hAnsi="Arial" w:cs="Arial"/>
        </w:rPr>
        <w:t xml:space="preserve">Scaffolding is defined by Belland as “support that leverages what students already know to help them meaningfully participate in and gain skill at tasks that are beyond their unassisted abilities” (2017: 5). </w:t>
      </w:r>
      <w:r w:rsidRPr="00B67497">
        <w:rPr>
          <w:rFonts w:ascii="Arial" w:hAnsi="Arial" w:cs="Arial"/>
          <w:shd w:val="clear" w:color="auto" w:fill="FCFCFC"/>
        </w:rPr>
        <w:t xml:space="preserve">This is consistent with Vygotsky’s ideas of cognitive development, and his belief that learners need a ‘more knowledgeable other’ to help guide them through their learning. </w:t>
      </w:r>
    </w:p>
    <w:p w14:paraId="713C485A" w14:textId="63ADCF5F" w:rsidR="00AA5863" w:rsidRPr="00E70B20" w:rsidRDefault="00AA5863" w:rsidP="00AA5863">
      <w:pPr>
        <w:spacing w:line="360" w:lineRule="auto"/>
        <w:rPr>
          <w:rFonts w:ascii="Arial" w:hAnsi="Arial" w:cs="Arial"/>
        </w:rPr>
      </w:pPr>
      <w:r w:rsidRPr="00B67497">
        <w:rPr>
          <w:rFonts w:ascii="Arial" w:hAnsi="Arial" w:cs="Arial"/>
        </w:rPr>
        <w:t>Significantly, several academics have suggested that cognitive load theory is most applicable when information is new to pupils</w:t>
      </w:r>
      <w:r w:rsidRPr="00B67497">
        <w:rPr>
          <w:rFonts w:ascii="Arial" w:hAnsi="Arial" w:cs="Arial"/>
          <w:i/>
          <w:iCs/>
        </w:rPr>
        <w:t xml:space="preserve"> </w:t>
      </w:r>
      <w:r w:rsidRPr="00B67497">
        <w:rPr>
          <w:rFonts w:ascii="Arial" w:hAnsi="Arial" w:cs="Arial"/>
        </w:rPr>
        <w:t>therefore much scaffolding can be called into question. Chen et al, (2016) and Kaluyga &amp; Sweller (2018) believe</w:t>
      </w:r>
      <w:r w:rsidRPr="00172717">
        <w:rPr>
          <w:rFonts w:ascii="Arial" w:hAnsi="Arial" w:cs="Arial"/>
        </w:rPr>
        <w:t xml:space="preserve"> in the theory of the ‘Expertise Reversal Effect’; that as a pupil's learning increases, the positive effects of scaffolding designed for novices disappear or even reverse, as information becomes an unnecessary distraction. However, regarding our research study, pupils were novices in both </w:t>
      </w:r>
      <w:r w:rsidRPr="00E70B20">
        <w:rPr>
          <w:rFonts w:ascii="Arial" w:hAnsi="Arial" w:cs="Arial"/>
        </w:rPr>
        <w:t xml:space="preserve">lessons, thus suggesting the scaffolding provided would be useful. </w:t>
      </w:r>
    </w:p>
    <w:p w14:paraId="30B0A8DF" w14:textId="77777777" w:rsidR="00AA5863" w:rsidRPr="00172717" w:rsidRDefault="00AA5863" w:rsidP="00AA5863">
      <w:pPr>
        <w:tabs>
          <w:tab w:val="left" w:pos="6400"/>
        </w:tabs>
        <w:spacing w:line="360" w:lineRule="auto"/>
        <w:rPr>
          <w:rFonts w:ascii="Arial" w:hAnsi="Arial" w:cs="Arial"/>
          <w:shd w:val="clear" w:color="auto" w:fill="FCFCFC"/>
        </w:rPr>
      </w:pPr>
      <w:r w:rsidRPr="00E70B20">
        <w:rPr>
          <w:rFonts w:ascii="Arial" w:hAnsi="Arial" w:cs="Arial"/>
          <w:shd w:val="clear" w:color="auto" w:fill="FCFCFC"/>
        </w:rPr>
        <w:t>Didau (2014) believes that if students lack confidence in their work, they are going to struggle to think independently later, hence helping students with scaffolding in the short-term will reap long-term benefits. Scaffolding in the form of numerous repetitions is supported by Fiechter and Benjamin (2018) and Harbour et al (2015), therefore</w:t>
      </w:r>
      <w:r w:rsidRPr="00172717">
        <w:rPr>
          <w:rFonts w:ascii="Arial" w:hAnsi="Arial" w:cs="Arial"/>
          <w:shd w:val="clear" w:color="auto" w:fill="FCFCFC"/>
        </w:rPr>
        <w:t xml:space="preserve"> drilling new vocabulary was planned for the second research lesson. However, it is scaffolding methods such as this that have become associated with tools of low expectation where pupils have little </w:t>
      </w:r>
      <w:r w:rsidRPr="002B0330">
        <w:rPr>
          <w:rFonts w:ascii="Arial" w:hAnsi="Arial" w:cs="Arial"/>
          <w:shd w:val="clear" w:color="auto" w:fill="FCFCFC"/>
        </w:rPr>
        <w:t>insight of the processes involved (Didau, 2014) and become a “straitjacket upon pupil learning” (Myhill &amp; Warren, 2005).</w:t>
      </w:r>
      <w:r w:rsidRPr="00172717">
        <w:rPr>
          <w:rFonts w:ascii="Arial" w:hAnsi="Arial" w:cs="Arial"/>
          <w:shd w:val="clear" w:color="auto" w:fill="FCFCFC"/>
        </w:rPr>
        <w:t xml:space="preserve">  </w:t>
      </w:r>
    </w:p>
    <w:p w14:paraId="044B3660" w14:textId="177D4560" w:rsidR="00AA5863" w:rsidRPr="00172717" w:rsidRDefault="00AA5863" w:rsidP="00AA5863">
      <w:pPr>
        <w:spacing w:line="360" w:lineRule="auto"/>
        <w:rPr>
          <w:rFonts w:ascii="Arial" w:hAnsi="Arial" w:cs="Arial"/>
          <w:shd w:val="clear" w:color="auto" w:fill="FCFCFC"/>
        </w:rPr>
      </w:pPr>
      <w:r w:rsidRPr="00A72747">
        <w:rPr>
          <w:rFonts w:ascii="Arial" w:hAnsi="Arial" w:cs="Arial"/>
          <w:shd w:val="clear" w:color="auto" w:fill="FCFCFC"/>
        </w:rPr>
        <w:t>Studies inspired us to include a discussion task in the heavily scaffolded second research lesson, as theorists such as Vygotsky (1962) and Lightbown &amp; Spada (2006) suggest that learning is vastly socially constructed. Various studies agree that scaffolding with</w:t>
      </w:r>
      <w:r w:rsidRPr="00172717">
        <w:rPr>
          <w:rFonts w:ascii="Arial" w:hAnsi="Arial" w:cs="Arial"/>
          <w:shd w:val="clear" w:color="auto" w:fill="FCFCFC"/>
        </w:rPr>
        <w:t xml:space="preserve"> </w:t>
      </w:r>
      <w:r w:rsidRPr="00A72747">
        <w:rPr>
          <w:rFonts w:ascii="Arial" w:hAnsi="Arial" w:cs="Arial"/>
          <w:shd w:val="clear" w:color="auto" w:fill="FCFCFC"/>
        </w:rPr>
        <w:lastRenderedPageBreak/>
        <w:t>discussions related to learning should be encouraged, particularly in language lessons (Smith, 2019; Chernova &amp; Mustafina, 2016; Sato &amp; Ballinger, 2016) such as the Welsh language research lesson, as discussions</w:t>
      </w:r>
      <w:r w:rsidRPr="00054655">
        <w:rPr>
          <w:rFonts w:ascii="Arial" w:hAnsi="Arial" w:cs="Arial"/>
          <w:shd w:val="clear" w:color="auto" w:fill="FCFCFC"/>
        </w:rPr>
        <w:t xml:space="preserve"> provide </w:t>
      </w:r>
      <w:r w:rsidRPr="00054655">
        <w:rPr>
          <w:rFonts w:ascii="Arial" w:hAnsi="Arial" w:cs="Arial"/>
        </w:rPr>
        <w:t>learners with “a context for experimenting with the language” (Philip, Adams &amp; Iwashita, 2014</w:t>
      </w:r>
      <w:r w:rsidR="00745529">
        <w:rPr>
          <w:rFonts w:ascii="Arial" w:hAnsi="Arial" w:cs="Arial"/>
        </w:rPr>
        <w:t>, p.</w:t>
      </w:r>
      <w:r w:rsidRPr="00054655">
        <w:rPr>
          <w:rFonts w:ascii="Arial" w:hAnsi="Arial" w:cs="Arial"/>
        </w:rPr>
        <w:t xml:space="preserve"> 17)</w:t>
      </w:r>
      <w:r w:rsidRPr="00054655">
        <w:rPr>
          <w:rFonts w:ascii="Arial" w:hAnsi="Arial" w:cs="Arial"/>
          <w:shd w:val="clear" w:color="auto" w:fill="FCFCFC"/>
        </w:rPr>
        <w:t>.</w:t>
      </w:r>
      <w:r w:rsidRPr="00172717">
        <w:rPr>
          <w:rFonts w:ascii="Arial" w:hAnsi="Arial" w:cs="Arial"/>
          <w:shd w:val="clear" w:color="auto" w:fill="FCFCFC"/>
        </w:rPr>
        <w:t xml:space="preserve"> </w:t>
      </w:r>
    </w:p>
    <w:p w14:paraId="5471BFAA" w14:textId="77777777" w:rsidR="00AA5863" w:rsidRPr="005C525A" w:rsidRDefault="00AA5863" w:rsidP="00AA5863">
      <w:pPr>
        <w:spacing w:line="360" w:lineRule="auto"/>
        <w:rPr>
          <w:rFonts w:ascii="Arial" w:hAnsi="Arial" w:cs="Arial"/>
          <w:shd w:val="clear" w:color="auto" w:fill="FCFCFC"/>
        </w:rPr>
      </w:pPr>
      <w:r w:rsidRPr="00172717">
        <w:rPr>
          <w:rFonts w:ascii="Arial" w:hAnsi="Arial" w:cs="Arial"/>
          <w:shd w:val="clear" w:color="auto" w:fill="FCFCFC"/>
        </w:rPr>
        <w:t xml:space="preserve">It has been also been suggested that to enhance learning, teachers should scaffold learning by demonstrating their internal thought process, enabling novices to witness the expert thinking that would otherwise be hidden </w:t>
      </w:r>
      <w:r w:rsidRPr="00650308">
        <w:rPr>
          <w:rFonts w:ascii="Arial" w:hAnsi="Arial" w:cs="Arial"/>
          <w:shd w:val="clear" w:color="auto" w:fill="FCFCFC"/>
        </w:rPr>
        <w:t>(Sandholtz, 2011; Scott et al. 2012). This is similar to the worked example method of scaffolding endorsed by Venkateshwar (2018) and Sandholtz (2011). Several similar studies have reported decreases in student error</w:t>
      </w:r>
      <w:r w:rsidRPr="00172717">
        <w:rPr>
          <w:rFonts w:ascii="Arial" w:hAnsi="Arial" w:cs="Arial"/>
          <w:shd w:val="clear" w:color="auto" w:fill="FCFCFC"/>
        </w:rPr>
        <w:t xml:space="preserve"> after students had </w:t>
      </w:r>
      <w:r w:rsidRPr="005C525A">
        <w:rPr>
          <w:rFonts w:ascii="Arial" w:hAnsi="Arial" w:cs="Arial"/>
          <w:shd w:val="clear" w:color="auto" w:fill="FCFCFC"/>
        </w:rPr>
        <w:t>been shown several worked examples versus problem solving on their own (Renkl and Atkinson, 2010; Badeau et al, 2017) particularly regarding lower-knowledge learners (Kalyuga et al. 2012). Studies by Fisher, Frey and Lapp (2011) and Silven and Vaurus (1992) indicate that scaffolding in this way had particularly positive influences when students were encouraged to participate, therefore the discussion planned for the second lesson comprised small groups to encourage contribution.</w:t>
      </w:r>
    </w:p>
    <w:p w14:paraId="2AD2BED7" w14:textId="77777777" w:rsidR="00AA5863" w:rsidRPr="00172717" w:rsidRDefault="00AA5863" w:rsidP="00AA5863">
      <w:pPr>
        <w:spacing w:line="360" w:lineRule="auto"/>
        <w:rPr>
          <w:rFonts w:ascii="Arial" w:hAnsi="Arial" w:cs="Arial"/>
          <w:shd w:val="clear" w:color="auto" w:fill="FCFCFC"/>
        </w:rPr>
      </w:pPr>
      <w:r w:rsidRPr="005C525A">
        <w:rPr>
          <w:rFonts w:ascii="Arial" w:hAnsi="Arial" w:cs="Arial"/>
        </w:rPr>
        <w:t>In contrast, Day and Goldstone (2012) and Sousa (2006) argue that some worked examples may be too specific and too tightly bound for students to apply their</w:t>
      </w:r>
      <w:r w:rsidRPr="00172717">
        <w:rPr>
          <w:rFonts w:ascii="Arial" w:hAnsi="Arial" w:cs="Arial"/>
        </w:rPr>
        <w:t xml:space="preserve"> knowledge in a suitable way elsewhere. It might also be worth considering that it might not be the worked example itself that is beneficial, but the fact that learners are spending time considering the idea for longer </w:t>
      </w:r>
      <w:r w:rsidRPr="0035591F">
        <w:rPr>
          <w:rFonts w:ascii="Arial" w:hAnsi="Arial" w:cs="Arial"/>
        </w:rPr>
        <w:t xml:space="preserve">when it is expanded upon. Moreover, the worked example method of scaffolding has come under criticism as they may stop pupils from using their own initiative (Scharle and Szabo, 2000). </w:t>
      </w:r>
      <w:r w:rsidRPr="0035591F">
        <w:rPr>
          <w:rFonts w:ascii="Arial" w:hAnsi="Arial" w:cs="Arial"/>
          <w:shd w:val="clear" w:color="auto" w:fill="FCFCFC"/>
        </w:rPr>
        <w:t>Universities have accused secondary schools of helping pupils too much, and it is claimed that six in ten universities have provided additional classes to undergraduates who require additional tuition in independent study (Paton, 2012). This has been a frequent topic for journalists over the past decade, namely Telegraph journalist, Paton (2010, 2012), and TES reporters Hazell (2018) and Spalding (2017).</w:t>
      </w:r>
      <w:r w:rsidRPr="00172717">
        <w:rPr>
          <w:rFonts w:ascii="Arial" w:hAnsi="Arial" w:cs="Arial"/>
          <w:shd w:val="clear" w:color="auto" w:fill="FCFCFC"/>
        </w:rPr>
        <w:t xml:space="preserve"> </w:t>
      </w:r>
    </w:p>
    <w:p w14:paraId="71F00F06" w14:textId="77777777" w:rsidR="00AA5863" w:rsidRPr="00172717" w:rsidRDefault="00AA5863" w:rsidP="00AA5863">
      <w:pPr>
        <w:spacing w:line="360" w:lineRule="auto"/>
        <w:rPr>
          <w:rFonts w:ascii="Arial" w:hAnsi="Arial" w:cs="Arial"/>
          <w:shd w:val="clear" w:color="auto" w:fill="FCFCFC"/>
        </w:rPr>
      </w:pPr>
      <w:r w:rsidRPr="00172717">
        <w:rPr>
          <w:rFonts w:ascii="Arial" w:hAnsi="Arial" w:cs="Arial"/>
          <w:shd w:val="clear" w:color="auto" w:fill="FCFCFC"/>
        </w:rPr>
        <w:t xml:space="preserve">Researchers such </w:t>
      </w:r>
      <w:r w:rsidRPr="00E92C8A">
        <w:rPr>
          <w:rFonts w:ascii="Arial" w:hAnsi="Arial" w:cs="Arial"/>
          <w:shd w:val="clear" w:color="auto" w:fill="FCFCFC"/>
        </w:rPr>
        <w:t>as Dehler and Welsh (2014) and Al-Saadi (2011) have discussed pupils’ over-reliance on the teacher and suggest a</w:t>
      </w:r>
      <w:r w:rsidRPr="00E92C8A">
        <w:rPr>
          <w:rFonts w:ascii="Arial" w:hAnsi="Arial" w:cs="Arial"/>
          <w:i/>
          <w:iCs/>
          <w:shd w:val="clear" w:color="auto" w:fill="FCFCFC"/>
        </w:rPr>
        <w:t xml:space="preserve"> “gradual handover of some of the roles traditionally held by teachers to the students” (Al-Saadhi, 2011: 95)</w:t>
      </w:r>
      <w:r w:rsidRPr="00E92C8A">
        <w:rPr>
          <w:rFonts w:ascii="Arial" w:hAnsi="Arial" w:cs="Arial"/>
          <w:shd w:val="clear" w:color="auto" w:fill="FCFCFC"/>
        </w:rPr>
        <w:t>. These studies were considered, and it was decided that worked examples would not feature in either</w:t>
      </w:r>
      <w:r w:rsidRPr="00172717">
        <w:rPr>
          <w:rFonts w:ascii="Arial" w:hAnsi="Arial" w:cs="Arial"/>
          <w:shd w:val="clear" w:color="auto" w:fill="FCFCFC"/>
        </w:rPr>
        <w:t xml:space="preserve"> lesson, and the tasks in the second research lesson would build in challenge and independence. </w:t>
      </w:r>
    </w:p>
    <w:p w14:paraId="217D5FFA" w14:textId="77777777" w:rsidR="00AA5863" w:rsidRPr="00172717" w:rsidRDefault="00AA5863" w:rsidP="00AA5863">
      <w:pPr>
        <w:spacing w:line="360" w:lineRule="auto"/>
        <w:rPr>
          <w:rFonts w:ascii="Arial" w:hAnsi="Arial" w:cs="Arial"/>
          <w:shd w:val="clear" w:color="auto" w:fill="FCFCFC"/>
        </w:rPr>
      </w:pPr>
      <w:r w:rsidRPr="00172717">
        <w:rPr>
          <w:rFonts w:ascii="Arial" w:hAnsi="Arial" w:cs="Arial"/>
          <w:shd w:val="clear" w:color="auto" w:fill="FCFCFC"/>
        </w:rPr>
        <w:t xml:space="preserve">In conclusion, I believe that for the technique to be effective, teachers must know their students well enough to know their Zone of Proximal Development, to ensure scaffolding is targeted efficiently to individuals, and that pupils are appropriately challenged. </w:t>
      </w:r>
    </w:p>
    <w:p w14:paraId="61D7CAF7" w14:textId="77777777" w:rsidR="00AA5863" w:rsidRPr="00172717" w:rsidRDefault="00AA5863" w:rsidP="00AA5863">
      <w:pPr>
        <w:spacing w:line="360" w:lineRule="auto"/>
        <w:rPr>
          <w:rFonts w:ascii="Arial" w:hAnsi="Arial" w:cs="Arial"/>
        </w:rPr>
      </w:pPr>
      <w:r w:rsidRPr="00172717">
        <w:rPr>
          <w:rFonts w:ascii="Arial" w:hAnsi="Arial" w:cs="Arial"/>
        </w:rPr>
        <w:lastRenderedPageBreak/>
        <w:t xml:space="preserve">While research on the effects and opinions on the different methods of scaffolding is plentiful as described, much less attention has been given to the assessment and comparison of varying degrees of scaffolding throughout a lesson on pupil attainment. </w:t>
      </w:r>
    </w:p>
    <w:p w14:paraId="2E925B12" w14:textId="77777777" w:rsidR="00AA5863" w:rsidRPr="00172717" w:rsidRDefault="00AA5863" w:rsidP="00AA5863">
      <w:pPr>
        <w:spacing w:line="360" w:lineRule="auto"/>
        <w:rPr>
          <w:rFonts w:ascii="Arial" w:hAnsi="Arial" w:cs="Arial"/>
          <w:shd w:val="clear" w:color="auto" w:fill="FCFCFC"/>
        </w:rPr>
      </w:pPr>
    </w:p>
    <w:p w14:paraId="3FBC8640" w14:textId="77777777" w:rsidR="00AA5863" w:rsidRPr="00D63B77" w:rsidRDefault="00AA5863" w:rsidP="00AA5863">
      <w:pPr>
        <w:spacing w:line="360" w:lineRule="auto"/>
        <w:rPr>
          <w:rFonts w:ascii="Arial" w:hAnsi="Arial" w:cs="Arial"/>
          <w:b/>
          <w:bCs/>
          <w:i/>
          <w:iCs/>
          <w:sz w:val="28"/>
          <w:szCs w:val="28"/>
          <w:u w:val="single"/>
        </w:rPr>
      </w:pPr>
      <w:r w:rsidRPr="00D63B77">
        <w:rPr>
          <w:rFonts w:ascii="Arial" w:hAnsi="Arial" w:cs="Arial"/>
          <w:b/>
          <w:bCs/>
          <w:i/>
          <w:iCs/>
          <w:sz w:val="28"/>
          <w:szCs w:val="28"/>
          <w:u w:val="single"/>
        </w:rPr>
        <w:t>Lesson Study Design</w:t>
      </w:r>
    </w:p>
    <w:p w14:paraId="3E770E61" w14:textId="77777777" w:rsidR="00AA5863" w:rsidRPr="00172717" w:rsidRDefault="00AA5863" w:rsidP="00AA5863">
      <w:pPr>
        <w:spacing w:line="360" w:lineRule="auto"/>
        <w:rPr>
          <w:rFonts w:ascii="Arial" w:hAnsi="Arial" w:cs="Arial"/>
          <w:b/>
          <w:bCs/>
          <w:u w:val="single"/>
        </w:rPr>
      </w:pPr>
      <w:r w:rsidRPr="00172717">
        <w:rPr>
          <w:rFonts w:ascii="Arial" w:hAnsi="Arial" w:cs="Arial"/>
        </w:rPr>
        <w:t xml:space="preserve">A lesson </w:t>
      </w:r>
      <w:r w:rsidRPr="00A07AC7">
        <w:rPr>
          <w:rFonts w:ascii="Arial" w:hAnsi="Arial" w:cs="Arial"/>
        </w:rPr>
        <w:t>study (Dudley, 2011) was the main method of data collection, a method that “appears to offer many positives” (Hird et al. 2014) due to its collaborative and reflective nature. Elements of lesson study have been used to positive effect to support student-teacher development in numerous articles (Larssen et al., 2017). My research</w:t>
      </w:r>
      <w:r w:rsidRPr="00172717">
        <w:rPr>
          <w:rFonts w:ascii="Arial" w:hAnsi="Arial" w:cs="Arial"/>
        </w:rPr>
        <w:t xml:space="preserve"> partner and I planned and observed two Year 9 mixed-ability lessons, where the amount of scaffolding increased between lessons to discover how the scaffolding helped pupils achieve success criteria. </w:t>
      </w:r>
    </w:p>
    <w:p w14:paraId="786F83DD" w14:textId="77777777" w:rsidR="00AA5863" w:rsidRPr="00172717" w:rsidRDefault="00AA5863" w:rsidP="00AA5863">
      <w:pPr>
        <w:spacing w:line="360" w:lineRule="auto"/>
        <w:rPr>
          <w:rFonts w:ascii="Arial" w:hAnsi="Arial" w:cs="Arial"/>
        </w:rPr>
      </w:pPr>
      <w:r w:rsidRPr="00172717">
        <w:rPr>
          <w:rFonts w:ascii="Arial" w:hAnsi="Arial" w:cs="Arial"/>
        </w:rPr>
        <w:t xml:space="preserve">In the first lesson success criteria required pupils to peer-assess work correctly. At the beginning of the lesson, there was an opportunity for pupils to individually consider how one might peer-assess the piece of work. Following this, pupils were asked to share their ideas with a partner. Afterwards, there was a class discussion to share ideas about how to peer-assess the work correctly and achieve the success criteria. Pupils were subsequently asked to peer-assess work using suggestions they had heard during the class discussion. After a couple of minutes, pupils were </w:t>
      </w:r>
      <w:r w:rsidRPr="00A07AC7">
        <w:rPr>
          <w:rFonts w:ascii="Arial" w:hAnsi="Arial" w:cs="Arial"/>
        </w:rPr>
        <w:t>asked to feedback how they were finding the task. Following pupil feedback, a mark scheme (Appendix M) was given to pupils to help guide them to achieve success criteria, and pupils had more time to peer-assess the work. Scaffolding was then provided after a few more minutes, by simplifying the mark scheme for pupils (Appendix N) and writing pupil-friendly key points on the board. Subsequently, pupils used the remainder of the lesson to peer-assess pupils’ work using the guidance on the</w:t>
      </w:r>
      <w:r w:rsidRPr="00172717">
        <w:rPr>
          <w:rFonts w:ascii="Arial" w:hAnsi="Arial" w:cs="Arial"/>
        </w:rPr>
        <w:t xml:space="preserve"> board.</w:t>
      </w:r>
    </w:p>
    <w:p w14:paraId="6922B350" w14:textId="77777777" w:rsidR="00AA5863" w:rsidRPr="00172717" w:rsidRDefault="00AA5863" w:rsidP="00AA5863">
      <w:pPr>
        <w:spacing w:line="360" w:lineRule="auto"/>
        <w:rPr>
          <w:rFonts w:ascii="Arial" w:hAnsi="Arial" w:cs="Arial"/>
        </w:rPr>
      </w:pPr>
      <w:r w:rsidRPr="00172717">
        <w:rPr>
          <w:rFonts w:ascii="Arial" w:hAnsi="Arial" w:cs="Arial"/>
        </w:rPr>
        <w:t>In the group of case pupils, one was of high prior attainment level (Pupil A), one was of medium prior attainment level (Pupil B), and one was of low prior attainment level (Pupil C). The stratified sample size of three was chosen as this represented the cross-section required to answer the research question and was a feasible number of pupils to comprehensively observe simultaneously.</w:t>
      </w:r>
    </w:p>
    <w:p w14:paraId="7345F1FB" w14:textId="38DF0FDA" w:rsidR="00AA5863" w:rsidRPr="00A72747" w:rsidRDefault="00AA5863" w:rsidP="00AA5863">
      <w:pPr>
        <w:spacing w:line="360" w:lineRule="auto"/>
        <w:rPr>
          <w:rFonts w:ascii="Arial" w:hAnsi="Arial" w:cs="Arial"/>
        </w:rPr>
      </w:pPr>
      <w:r w:rsidRPr="00172717">
        <w:rPr>
          <w:rFonts w:ascii="Arial" w:hAnsi="Arial" w:cs="Arial"/>
        </w:rPr>
        <w:t xml:space="preserve">For this first lesson study my </w:t>
      </w:r>
      <w:r w:rsidRPr="00A07AC7">
        <w:rPr>
          <w:rFonts w:ascii="Arial" w:hAnsi="Arial" w:cs="Arial"/>
        </w:rPr>
        <w:t>research partner acted as an overt non-participant observer throughout and took notes through observation focussing on the three case pupils. The observer used the observation schedule (Appendix B) to focus their observation. An observation method was used to observe pupils’ physical, verbal, and expressive behaviour in relation to other people and objects. The observer attempted to be</w:t>
      </w:r>
      <w:r w:rsidRPr="00172717">
        <w:rPr>
          <w:rFonts w:ascii="Arial" w:hAnsi="Arial" w:cs="Arial"/>
        </w:rPr>
        <w:t xml:space="preserve"> unobtrusive to observe </w:t>
      </w:r>
      <w:r w:rsidRPr="00172717">
        <w:rPr>
          <w:rFonts w:ascii="Arial" w:hAnsi="Arial" w:cs="Arial"/>
        </w:rPr>
        <w:lastRenderedPageBreak/>
        <w:t xml:space="preserve">pupils in a natural context. Observation </w:t>
      </w:r>
      <w:r w:rsidRPr="00A72747">
        <w:rPr>
          <w:rFonts w:ascii="Arial" w:hAnsi="Arial" w:cs="Arial"/>
        </w:rPr>
        <w:t xml:space="preserve">allowed the researcher to watch what actually happened in the lesson, rather than relying on pupils account </w:t>
      </w:r>
      <w:r w:rsidR="00E66FDE" w:rsidRPr="00A72747">
        <w:rPr>
          <w:rFonts w:ascii="Arial" w:hAnsi="Arial" w:cs="Arial"/>
        </w:rPr>
        <w:t>who</w:t>
      </w:r>
      <w:r w:rsidRPr="00A72747">
        <w:rPr>
          <w:rFonts w:ascii="Arial" w:hAnsi="Arial" w:cs="Arial"/>
        </w:rPr>
        <w:t xml:space="preserve"> may be unwilling to share some ideas, and some events may have escaped pupils’ conscious awareness</w:t>
      </w:r>
      <w:r w:rsidR="0033592F" w:rsidRPr="00A72747">
        <w:rPr>
          <w:rFonts w:ascii="Arial" w:hAnsi="Arial" w:cs="Arial"/>
        </w:rPr>
        <w:t xml:space="preserve"> </w:t>
      </w:r>
      <w:r w:rsidR="006A4B13" w:rsidRPr="00A72747">
        <w:rPr>
          <w:rFonts w:ascii="Arial" w:hAnsi="Arial" w:cs="Arial"/>
        </w:rPr>
        <w:t>(</w:t>
      </w:r>
      <w:r w:rsidR="0033592F" w:rsidRPr="00A72747">
        <w:rPr>
          <w:rFonts w:ascii="Arial" w:hAnsi="Arial" w:cs="Arial"/>
        </w:rPr>
        <w:t>Cohen et al., 2007</w:t>
      </w:r>
      <w:r w:rsidR="006A4B13" w:rsidRPr="00A72747">
        <w:rPr>
          <w:rFonts w:ascii="Arial" w:hAnsi="Arial" w:cs="Arial"/>
        </w:rPr>
        <w:t>)</w:t>
      </w:r>
      <w:r w:rsidRPr="00A72747">
        <w:rPr>
          <w:rFonts w:ascii="Arial" w:hAnsi="Arial" w:cs="Arial"/>
        </w:rPr>
        <w:t xml:space="preserve">. Due to congruity theory (Osgood and Tannenbaum, 1955) and dissonance theory (Festinger and Carlsmith, 1959) the observer did not know the prior attainment levels of the case pupils. </w:t>
      </w:r>
    </w:p>
    <w:p w14:paraId="5D6115EE" w14:textId="12E7AF6A" w:rsidR="00AA5863" w:rsidRPr="00172717" w:rsidRDefault="00AA5863" w:rsidP="00AA5863">
      <w:pPr>
        <w:spacing w:line="360" w:lineRule="auto"/>
        <w:rPr>
          <w:rFonts w:ascii="Arial" w:hAnsi="Arial" w:cs="Arial"/>
        </w:rPr>
      </w:pPr>
      <w:r w:rsidRPr="00A72747">
        <w:rPr>
          <w:rFonts w:ascii="Arial" w:hAnsi="Arial" w:cs="Arial"/>
        </w:rPr>
        <w:t xml:space="preserve">Immediately following the first lesson my partner and I quickly </w:t>
      </w:r>
      <w:r w:rsidR="005045DF" w:rsidRPr="00A72747">
        <w:rPr>
          <w:rFonts w:ascii="Arial" w:hAnsi="Arial" w:cs="Arial"/>
        </w:rPr>
        <w:t>stated</w:t>
      </w:r>
      <w:r w:rsidRPr="00A72747">
        <w:rPr>
          <w:rFonts w:ascii="Arial" w:hAnsi="Arial" w:cs="Arial"/>
        </w:rPr>
        <w:t xml:space="preserve"> any feelings we had, before interviewing the selected case pupils in the familiar surroundings of the classroom. We decided to interview the pupils in a group rather than individually to help the pupils feel comfortable and to limit the amount of school pupils were missing. Interviews were carried out as we were not able to learn about the feelings of pupils from observations alone. Interviews provided more flexibility than questionnaires and allowed spontaneous questions to be asked to provide greater insight if an area came up that had not previously been considered</w:t>
      </w:r>
      <w:r w:rsidR="00344826" w:rsidRPr="00A72747">
        <w:rPr>
          <w:rFonts w:ascii="Arial" w:hAnsi="Arial" w:cs="Arial"/>
        </w:rPr>
        <w:t xml:space="preserve"> (Cohen et al., 2007)</w:t>
      </w:r>
      <w:r w:rsidRPr="00A72747">
        <w:rPr>
          <w:rFonts w:ascii="Arial" w:hAnsi="Arial" w:cs="Arial"/>
        </w:rPr>
        <w:t>. Questions were open and unambiguous</w:t>
      </w:r>
      <w:r w:rsidR="001F181A" w:rsidRPr="00A72747">
        <w:rPr>
          <w:rFonts w:ascii="Arial" w:hAnsi="Arial" w:cs="Arial"/>
        </w:rPr>
        <w:t xml:space="preserve">. </w:t>
      </w:r>
      <w:r w:rsidRPr="00A72747">
        <w:rPr>
          <w:rFonts w:ascii="Arial" w:hAnsi="Arial" w:cs="Arial"/>
        </w:rPr>
        <w:t>Both my research partner and I asked questions and recorded answers to ensure all information was</w:t>
      </w:r>
      <w:r w:rsidRPr="00172717">
        <w:rPr>
          <w:rFonts w:ascii="Arial" w:hAnsi="Arial" w:cs="Arial"/>
        </w:rPr>
        <w:t xml:space="preserve"> recorded. We decided that coding was unnecessary for the small sample size and one cycle of lesson study. </w:t>
      </w:r>
    </w:p>
    <w:p w14:paraId="70932D17" w14:textId="77777777" w:rsidR="00AA5863" w:rsidRPr="00172717" w:rsidRDefault="00AA5863" w:rsidP="00AA5863">
      <w:pPr>
        <w:spacing w:line="360" w:lineRule="auto"/>
        <w:rPr>
          <w:rFonts w:ascii="Arial" w:hAnsi="Arial" w:cs="Arial"/>
        </w:rPr>
      </w:pPr>
      <w:r w:rsidRPr="00172717">
        <w:rPr>
          <w:rFonts w:ascii="Arial" w:hAnsi="Arial" w:cs="Arial"/>
        </w:rPr>
        <w:t xml:space="preserve">Following the interview, my research </w:t>
      </w:r>
      <w:r w:rsidRPr="00760189">
        <w:rPr>
          <w:rFonts w:ascii="Arial" w:hAnsi="Arial" w:cs="Arial"/>
        </w:rPr>
        <w:t>partner and I analysed pupil work to see whether success criteria was achieved, and used our Reflective Cycle Model (Appendix D) which was a slightly modified version of Gibbs’ 1988 model. Successes and failures of the lesson were identified, along with patterns found in the observation notes and interview transcripts. Using our reflections, we then amended the second lesson plan to trial the</w:t>
      </w:r>
      <w:r w:rsidRPr="00172717">
        <w:rPr>
          <w:rFonts w:ascii="Arial" w:hAnsi="Arial" w:cs="Arial"/>
        </w:rPr>
        <w:t xml:space="preserve"> importance of supporting pupils with scaffolding from the beginning of the lesson. </w:t>
      </w:r>
    </w:p>
    <w:p w14:paraId="5935BF32" w14:textId="77777777" w:rsidR="00AA5863" w:rsidRPr="00172717" w:rsidRDefault="00AA5863" w:rsidP="00AA5863">
      <w:pPr>
        <w:spacing w:line="360" w:lineRule="auto"/>
        <w:rPr>
          <w:rFonts w:ascii="Arial" w:hAnsi="Arial" w:cs="Arial"/>
        </w:rPr>
      </w:pPr>
      <w:r w:rsidRPr="00172717">
        <w:rPr>
          <w:rFonts w:ascii="Arial" w:hAnsi="Arial" w:cs="Arial"/>
        </w:rPr>
        <w:t xml:space="preserve">The second lesson, which my research partner delivered, consisted of several small tasks that gradually increased in difficulty and independence towards a challenging final task. The starter activity constituted a recap of previous vocabulary that would be useful for the lesson. This formed the first method of scaffolding. New vocabulary was then introduced to pupils, which was drilled for several minutes until the teacher believed the new words had been learned. The drilling constituted the second method of scaffolding. A short task was then set in which pupils had to translate a paragraph that included the new vocabulary. The third method of scaffolding was then provided through the next task, in which pupils had an opportunity to practice using the new words though a discussion in small groups. The final task of the lesson involved pupils completing an extended piece of writing. Success criteria was achieved once pupils completed this challenging, independent task. </w:t>
      </w:r>
    </w:p>
    <w:p w14:paraId="7DF4B41B" w14:textId="5B6BF650" w:rsidR="00AA5863" w:rsidRPr="00172717" w:rsidRDefault="00AA5863" w:rsidP="00AA5863">
      <w:pPr>
        <w:spacing w:line="360" w:lineRule="auto"/>
        <w:rPr>
          <w:rFonts w:ascii="Arial" w:hAnsi="Arial" w:cs="Arial"/>
        </w:rPr>
      </w:pPr>
      <w:r w:rsidRPr="00172717">
        <w:rPr>
          <w:rFonts w:ascii="Arial" w:hAnsi="Arial" w:cs="Arial"/>
        </w:rPr>
        <w:lastRenderedPageBreak/>
        <w:t xml:space="preserve">I observed this lesson as part of the lesson </w:t>
      </w:r>
      <w:r w:rsidRPr="00760189">
        <w:rPr>
          <w:rFonts w:ascii="Arial" w:hAnsi="Arial" w:cs="Arial"/>
        </w:rPr>
        <w:t>study and monitored the three case study pupils using the same observation schedule to focus my observations as the first lesson (Appendix B). As with the first lesson, the group of pupils were chosen to represent a mixture of prior attainment level. Pupil D was of high prior attainment level, Pupil E was of medium prior attainment level, and Pupil F was of low prior attainment level. Following the lesson, pupils were interviewed using the same questions as Interview 1 (Appendix C)</w:t>
      </w:r>
      <w:r w:rsidR="001D437F" w:rsidRPr="00760189">
        <w:rPr>
          <w:rFonts w:ascii="Arial" w:hAnsi="Arial" w:cs="Arial"/>
        </w:rPr>
        <w:t xml:space="preserve"> to control reliability</w:t>
      </w:r>
      <w:r w:rsidR="003C49E8" w:rsidRPr="00760189">
        <w:rPr>
          <w:rFonts w:ascii="Arial" w:hAnsi="Arial" w:cs="Arial"/>
        </w:rPr>
        <w:t xml:space="preserve">, as </w:t>
      </w:r>
      <w:r w:rsidR="00882154" w:rsidRPr="00760189">
        <w:rPr>
          <w:rFonts w:ascii="Arial" w:hAnsi="Arial" w:cs="Arial"/>
        </w:rPr>
        <w:t>“</w:t>
      </w:r>
      <w:r w:rsidR="003C49E8" w:rsidRPr="00760189">
        <w:rPr>
          <w:rFonts w:ascii="Arial" w:hAnsi="Arial" w:cs="Arial"/>
        </w:rPr>
        <w:t xml:space="preserve">bias can stem from alterations </w:t>
      </w:r>
      <w:r w:rsidR="004406F5" w:rsidRPr="00760189">
        <w:rPr>
          <w:rFonts w:ascii="Arial" w:hAnsi="Arial" w:cs="Arial"/>
        </w:rPr>
        <w:t>to wording</w:t>
      </w:r>
      <w:r w:rsidR="00882154" w:rsidRPr="00760189">
        <w:rPr>
          <w:rFonts w:ascii="Arial" w:hAnsi="Arial" w:cs="Arial"/>
        </w:rPr>
        <w:t xml:space="preserve">” </w:t>
      </w:r>
      <w:r w:rsidR="004406F5" w:rsidRPr="00760189">
        <w:rPr>
          <w:rFonts w:ascii="Arial" w:hAnsi="Arial" w:cs="Arial"/>
        </w:rPr>
        <w:t>(Cohen et al., 2007</w:t>
      </w:r>
      <w:r w:rsidR="00E90066" w:rsidRPr="00760189">
        <w:rPr>
          <w:rFonts w:ascii="Arial" w:hAnsi="Arial" w:cs="Arial"/>
        </w:rPr>
        <w:t>, p. 150</w:t>
      </w:r>
      <w:r w:rsidR="004406F5" w:rsidRPr="00760189">
        <w:rPr>
          <w:rFonts w:ascii="Arial" w:hAnsi="Arial" w:cs="Arial"/>
        </w:rPr>
        <w:t>)</w:t>
      </w:r>
      <w:r w:rsidRPr="00760189">
        <w:rPr>
          <w:rFonts w:ascii="Arial" w:hAnsi="Arial" w:cs="Arial"/>
        </w:rPr>
        <w:t>. Pupil work was then analysed to discover whether pupils had achieved success criteria. The second lesson was subsequently reflected upon using our modified version of Gibbs’ 1988 reflection model (Appendix D) to complete the lesson study cycle.</w:t>
      </w:r>
      <w:r w:rsidRPr="00172717">
        <w:rPr>
          <w:rFonts w:ascii="Arial" w:hAnsi="Arial" w:cs="Arial"/>
        </w:rPr>
        <w:t xml:space="preserve"> </w:t>
      </w:r>
    </w:p>
    <w:p w14:paraId="2FAE72EF" w14:textId="77777777" w:rsidR="00AA5863" w:rsidRPr="00172717" w:rsidRDefault="00AA5863" w:rsidP="00AA5863">
      <w:pPr>
        <w:spacing w:line="360" w:lineRule="auto"/>
        <w:rPr>
          <w:rFonts w:ascii="Arial" w:hAnsi="Arial" w:cs="Arial"/>
        </w:rPr>
      </w:pPr>
    </w:p>
    <w:p w14:paraId="527C0FDE" w14:textId="77777777" w:rsidR="00AA5863" w:rsidRPr="00CE7435" w:rsidRDefault="00AA5863" w:rsidP="00AA5863">
      <w:pPr>
        <w:spacing w:line="360" w:lineRule="auto"/>
        <w:rPr>
          <w:rFonts w:ascii="Arial" w:hAnsi="Arial" w:cs="Arial"/>
          <w:b/>
          <w:bCs/>
          <w:i/>
          <w:iCs/>
          <w:sz w:val="28"/>
          <w:szCs w:val="28"/>
          <w:u w:val="single"/>
        </w:rPr>
      </w:pPr>
      <w:r w:rsidRPr="00CE7435">
        <w:rPr>
          <w:rFonts w:ascii="Arial" w:hAnsi="Arial" w:cs="Arial"/>
          <w:b/>
          <w:bCs/>
          <w:i/>
          <w:iCs/>
          <w:sz w:val="28"/>
          <w:szCs w:val="28"/>
          <w:u w:val="single"/>
        </w:rPr>
        <w:t>Ethical considerations</w:t>
      </w:r>
    </w:p>
    <w:p w14:paraId="7C7997B4" w14:textId="11C5C816" w:rsidR="00AA5863" w:rsidRPr="00172717" w:rsidRDefault="00AA5863" w:rsidP="00AA5863">
      <w:pPr>
        <w:spacing w:line="360" w:lineRule="auto"/>
        <w:rPr>
          <w:rFonts w:ascii="Arial" w:hAnsi="Arial" w:cs="Arial"/>
        </w:rPr>
      </w:pPr>
      <w:r w:rsidRPr="00510645">
        <w:rPr>
          <w:rFonts w:ascii="Arial" w:hAnsi="Arial" w:cs="Arial"/>
        </w:rPr>
        <w:t xml:space="preserve">There are ethical considerations with doing research in a classroom, therefore BERA (2018) guidelines were followed throughout. Participation was voluntary and consent forms that explained confidentiality and the purpose of the research were returned prior to the research taking place. </w:t>
      </w:r>
      <w:r w:rsidRPr="00510645">
        <w:rPr>
          <w:rFonts w:ascii="Arial" w:hAnsi="Arial" w:cs="Arial"/>
          <w:shd w:val="clear" w:color="auto" w:fill="FFFFFF"/>
        </w:rPr>
        <w:t>Any data collected adhered to the University’s Research Data Management Policy (201</w:t>
      </w:r>
      <w:r w:rsidR="005F13EF" w:rsidRPr="00510645">
        <w:rPr>
          <w:rFonts w:ascii="Arial" w:hAnsi="Arial" w:cs="Arial"/>
          <w:shd w:val="clear" w:color="auto" w:fill="FFFFFF"/>
        </w:rPr>
        <w:t>6</w:t>
      </w:r>
      <w:r w:rsidRPr="00510645">
        <w:rPr>
          <w:rFonts w:ascii="Arial" w:hAnsi="Arial" w:cs="Arial"/>
          <w:shd w:val="clear" w:color="auto" w:fill="FFFFFF"/>
        </w:rPr>
        <w:t xml:space="preserve">), and data protection policies. </w:t>
      </w:r>
      <w:r w:rsidRPr="00510645">
        <w:rPr>
          <w:rFonts w:ascii="Arial" w:hAnsi="Arial" w:cs="Arial"/>
        </w:rPr>
        <w:t>Names of pupils and the school were kept completely confidential and anonymous, and full transparency was in place throughout the research. Steps were taken to address and mitigate any anticipated risks that may have adversely affected participants, researchers, and the University. These are explained in Appendix A.</w:t>
      </w:r>
    </w:p>
    <w:p w14:paraId="5FBDCF59" w14:textId="77777777" w:rsidR="00AA5863" w:rsidRPr="00172717" w:rsidRDefault="00AA5863" w:rsidP="00AA5863">
      <w:pPr>
        <w:spacing w:line="360" w:lineRule="auto"/>
        <w:rPr>
          <w:rFonts w:ascii="Arial" w:hAnsi="Arial" w:cs="Arial"/>
          <w:b/>
          <w:bCs/>
          <w:color w:val="FF0000"/>
          <w:u w:val="single"/>
        </w:rPr>
      </w:pPr>
    </w:p>
    <w:p w14:paraId="0FC86606" w14:textId="77777777" w:rsidR="00AA5863" w:rsidRPr="0072255E" w:rsidRDefault="00AA5863" w:rsidP="00AA5863">
      <w:pPr>
        <w:spacing w:line="360" w:lineRule="auto"/>
        <w:rPr>
          <w:rFonts w:ascii="Arial" w:hAnsi="Arial" w:cs="Arial"/>
          <w:b/>
          <w:bCs/>
          <w:i/>
          <w:iCs/>
          <w:sz w:val="28"/>
          <w:szCs w:val="28"/>
          <w:u w:val="single"/>
        </w:rPr>
      </w:pPr>
      <w:r w:rsidRPr="0072255E">
        <w:rPr>
          <w:rFonts w:ascii="Arial" w:hAnsi="Arial" w:cs="Arial"/>
          <w:b/>
          <w:bCs/>
          <w:i/>
          <w:iCs/>
          <w:sz w:val="28"/>
          <w:szCs w:val="28"/>
          <w:u w:val="single"/>
        </w:rPr>
        <w:t>Lesson 1 Study Results and Analysis</w:t>
      </w:r>
    </w:p>
    <w:p w14:paraId="15FE9BBF" w14:textId="77777777" w:rsidR="00AA5863" w:rsidRPr="00172717" w:rsidRDefault="00AA5863" w:rsidP="00AA5863">
      <w:pPr>
        <w:spacing w:line="360" w:lineRule="auto"/>
        <w:rPr>
          <w:rFonts w:ascii="Arial" w:hAnsi="Arial" w:cs="Arial"/>
          <w:b/>
          <w:bCs/>
          <w:color w:val="FF0000"/>
          <w:u w:val="single"/>
        </w:rPr>
      </w:pPr>
      <w:r w:rsidRPr="00172717">
        <w:rPr>
          <w:rFonts w:ascii="Arial" w:hAnsi="Arial" w:cs="Arial"/>
        </w:rPr>
        <w:t xml:space="preserve">Overall, observation and interview records from Lesson One showed that all case pupils struggled to meet the </w:t>
      </w:r>
      <w:r w:rsidRPr="00FE76E6">
        <w:rPr>
          <w:rFonts w:ascii="Arial" w:hAnsi="Arial" w:cs="Arial"/>
        </w:rPr>
        <w:t>success criteria of peer-assessing the work correctly initially when no scaffolding was provided (see Appendix E and Appendix F). It was only when scaffolding was provided that pupils achieved the goal of the lesson and achieved the success criteria. Regarding prior-attainment level, although all pupils were unable to achieve the success criteria without the mark scheme, the higher prior attaining level pupils (A and B) were</w:t>
      </w:r>
      <w:r w:rsidRPr="00172717">
        <w:rPr>
          <w:rFonts w:ascii="Arial" w:hAnsi="Arial" w:cs="Arial"/>
        </w:rPr>
        <w:t xml:space="preserve"> able to achieve success criteria sooner once scaffolding was in place, and were generally more on-task during the lesson than the lower-prior attaining Pupil C.</w:t>
      </w:r>
    </w:p>
    <w:p w14:paraId="63A99E44" w14:textId="77777777" w:rsidR="00AA5863" w:rsidRPr="00172717" w:rsidRDefault="00AA5863" w:rsidP="00AA5863">
      <w:pPr>
        <w:spacing w:line="360" w:lineRule="auto"/>
        <w:rPr>
          <w:rFonts w:ascii="Arial" w:hAnsi="Arial" w:cs="Arial"/>
        </w:rPr>
      </w:pPr>
      <w:r w:rsidRPr="00172717">
        <w:rPr>
          <w:rFonts w:ascii="Arial" w:hAnsi="Arial" w:cs="Arial"/>
        </w:rPr>
        <w:t xml:space="preserve">Firstly, when asked to share ideas regarding how to peer-assess work they had recently completed, pupils only briefly discussed the topic before discussing off-task matters, hence </w:t>
      </w:r>
      <w:r w:rsidRPr="00172717">
        <w:rPr>
          <w:rFonts w:ascii="Arial" w:hAnsi="Arial" w:cs="Arial"/>
        </w:rPr>
        <w:lastRenderedPageBreak/>
        <w:t xml:space="preserve">this task was kept short. This was despite all pupils agreeing in the interview that they understood the commands given and what they were meant to be doing during the task. Regardless of only sharing ideas briefly, Pupil A and Pupil B were able to contribute ideas towards the class discussion regarding ways in which to peer-assess the work. </w:t>
      </w:r>
    </w:p>
    <w:p w14:paraId="7D297329" w14:textId="1360BF52" w:rsidR="00AA5863" w:rsidRPr="00172717" w:rsidRDefault="00AA5863" w:rsidP="00AA5863">
      <w:pPr>
        <w:spacing w:line="360" w:lineRule="auto"/>
        <w:rPr>
          <w:rFonts w:ascii="Arial" w:hAnsi="Arial" w:cs="Arial"/>
          <w:b/>
          <w:bCs/>
          <w:color w:val="FF0000"/>
        </w:rPr>
      </w:pPr>
      <w:r w:rsidRPr="00172717">
        <w:rPr>
          <w:rFonts w:ascii="Arial" w:hAnsi="Arial" w:cs="Arial"/>
        </w:rPr>
        <w:t xml:space="preserve">During the first opportunity pupils were given to peer-assess the work, Pupil A and Pupil B were initially on-task but gave up attempting the task relatively quickly once they found it challenging. In the interview, Pupil A and Pupil B admitted that they knew they should be peer-assessing the work but found it a challenge to know the steps to do it. Pupil C gave up far quicker than Pupil A and Pupil B as they did not understand the task, and quickly got distracted by their peers’ off-task behaviour. Pupil A lamented that they were finding the task difficult and asked the teacher for clarity but did not use the support given by the teacher who repeated previous instructions in line with the research. Pupil B unsuccessfully asked peers for help. Feedback after the first attempt at peer-assessing the work revealed that pupils were familiar with peer-assessing work in other subjects but were still finding the task challenging. </w:t>
      </w:r>
    </w:p>
    <w:p w14:paraId="3A33F1A4" w14:textId="6D48AF14" w:rsidR="00AA5863" w:rsidRPr="00FE76E6" w:rsidRDefault="00AA5863" w:rsidP="00AA5863">
      <w:pPr>
        <w:spacing w:line="360" w:lineRule="auto"/>
        <w:rPr>
          <w:rFonts w:ascii="Arial" w:hAnsi="Arial" w:cs="Arial"/>
        </w:rPr>
      </w:pPr>
      <w:r w:rsidRPr="00172717">
        <w:rPr>
          <w:rFonts w:ascii="Arial" w:hAnsi="Arial" w:cs="Arial"/>
        </w:rPr>
        <w:t xml:space="preserve">All pupils commented that they found the task simpler once the mark scheme was provided, and Pupils A and B had a noticeably better attitude to learning. Questions from all three pupils were more specifically linked to the mark scheme which showed that all were now engaged and on-task. </w:t>
      </w:r>
      <w:r w:rsidR="00F43152">
        <w:rPr>
          <w:rFonts w:ascii="Arial" w:hAnsi="Arial" w:cs="Arial"/>
        </w:rPr>
        <w:t xml:space="preserve">Pupil A </w:t>
      </w:r>
      <w:r w:rsidR="00597617">
        <w:rPr>
          <w:rFonts w:ascii="Arial" w:hAnsi="Arial" w:cs="Arial"/>
        </w:rPr>
        <w:t xml:space="preserve">was </w:t>
      </w:r>
      <w:r w:rsidR="008E6C0D">
        <w:rPr>
          <w:rFonts w:ascii="Arial" w:hAnsi="Arial" w:cs="Arial"/>
        </w:rPr>
        <w:t>unconvinced</w:t>
      </w:r>
      <w:r w:rsidR="00597617">
        <w:rPr>
          <w:rFonts w:ascii="Arial" w:hAnsi="Arial" w:cs="Arial"/>
        </w:rPr>
        <w:t xml:space="preserve"> whether they had completed the task</w:t>
      </w:r>
      <w:r w:rsidR="00BE07F9">
        <w:rPr>
          <w:rFonts w:ascii="Arial" w:hAnsi="Arial" w:cs="Arial"/>
        </w:rPr>
        <w:t xml:space="preserve"> successfully</w:t>
      </w:r>
      <w:r w:rsidR="00597617">
        <w:rPr>
          <w:rFonts w:ascii="Arial" w:hAnsi="Arial" w:cs="Arial"/>
        </w:rPr>
        <w:t>.</w:t>
      </w:r>
      <w:r w:rsidR="00BE07F9">
        <w:rPr>
          <w:rFonts w:ascii="Arial" w:hAnsi="Arial" w:cs="Arial"/>
        </w:rPr>
        <w:t xml:space="preserve"> </w:t>
      </w:r>
      <w:r w:rsidRPr="00172717">
        <w:rPr>
          <w:rFonts w:ascii="Arial" w:hAnsi="Arial" w:cs="Arial"/>
        </w:rPr>
        <w:t xml:space="preserve">Pupil B and Pupil C still found the task difficult due to the wording of the mark scheme, and Pupil C </w:t>
      </w:r>
      <w:r w:rsidRPr="00FE76E6">
        <w:rPr>
          <w:rFonts w:ascii="Arial" w:hAnsi="Arial" w:cs="Arial"/>
        </w:rPr>
        <w:t>didn’t feel as though they could use it to methodically complete the task. An advantage to Pupil B over Pupil C was that they were sat close to Pupil A who offered support during the task (see Appendix G).</w:t>
      </w:r>
    </w:p>
    <w:p w14:paraId="75CA0341" w14:textId="77777777" w:rsidR="00AA5863" w:rsidRPr="00FE76E6" w:rsidRDefault="00AA5863" w:rsidP="00AA5863">
      <w:pPr>
        <w:spacing w:line="360" w:lineRule="auto"/>
        <w:rPr>
          <w:rFonts w:ascii="Arial" w:hAnsi="Arial" w:cs="Arial"/>
        </w:rPr>
      </w:pPr>
      <w:r w:rsidRPr="00FE76E6">
        <w:rPr>
          <w:rFonts w:ascii="Arial" w:hAnsi="Arial" w:cs="Arial"/>
        </w:rPr>
        <w:t xml:space="preserve">Once the mark scheme had been simplified and key points highlighted on the board, attitude to learning increased dramatically. All pupils worked quietly and completed the task to a high standard. However, Pupil C still asked for reassurance from the teacher whether the mark they had given was correct. Through the interview we discovered that it was during this final task that pupils finally knew what they had to do to complete the task. Pupil C remarked that they found the final task challenging but completed it, nevertheless. </w:t>
      </w:r>
    </w:p>
    <w:p w14:paraId="61EBDD48" w14:textId="77777777" w:rsidR="00AA5863" w:rsidRPr="00172717" w:rsidRDefault="00AA5863" w:rsidP="00AA5863">
      <w:pPr>
        <w:spacing w:line="360" w:lineRule="auto"/>
        <w:rPr>
          <w:rFonts w:ascii="Arial" w:hAnsi="Arial" w:cs="Arial"/>
        </w:rPr>
      </w:pPr>
      <w:r w:rsidRPr="00FE76E6">
        <w:rPr>
          <w:rFonts w:ascii="Arial" w:hAnsi="Arial" w:cs="Arial"/>
        </w:rPr>
        <w:t>From reflecting on the lesson using our Reflection Model (Appendix H) it was agreed that the main failure of Lesson One was the off-task behaviour of pupils. It could be argued that this could have been minimised by explaining and simplifying the mark scheme as soon as it was</w:t>
      </w:r>
      <w:r w:rsidRPr="00172717">
        <w:rPr>
          <w:rFonts w:ascii="Arial" w:hAnsi="Arial" w:cs="Arial"/>
        </w:rPr>
        <w:t xml:space="preserve"> provided. Asking pupils as a class if there were any queries before the task began may also have helped increased pupil confidence which has sometime been suggested to encourage pupils to stay on-task. Additionally, a worked example may have provided additional </w:t>
      </w:r>
      <w:r w:rsidRPr="00172717">
        <w:rPr>
          <w:rFonts w:ascii="Arial" w:hAnsi="Arial" w:cs="Arial"/>
        </w:rPr>
        <w:lastRenderedPageBreak/>
        <w:t xml:space="preserve">scaffolding to help the pupils of lower prior attainment level to visualise the process of peer-assessing work. </w:t>
      </w:r>
    </w:p>
    <w:p w14:paraId="3094F8FC" w14:textId="77777777" w:rsidR="00AA5863" w:rsidRPr="00172717" w:rsidRDefault="00AA5863" w:rsidP="00AA5863">
      <w:pPr>
        <w:spacing w:line="360" w:lineRule="auto"/>
        <w:rPr>
          <w:rFonts w:ascii="Arial" w:hAnsi="Arial" w:cs="Arial"/>
        </w:rPr>
      </w:pPr>
      <w:r w:rsidRPr="00172717">
        <w:rPr>
          <w:rFonts w:ascii="Arial" w:hAnsi="Arial" w:cs="Arial"/>
        </w:rPr>
        <w:t>In light of the first lesson’s results, to prevent off-task behaviour the second research lesson was planned to be far more structured. It was decided that pupils would not get the opportunity to discuss their ideas independently with no guidance. Instead, the planned discussion task was kept brief and pupils would be told to discuss specific ideas.</w:t>
      </w:r>
    </w:p>
    <w:p w14:paraId="5E20AF9D" w14:textId="77777777" w:rsidR="00AA5863" w:rsidRPr="00172717" w:rsidRDefault="00AA5863" w:rsidP="00AA5863">
      <w:pPr>
        <w:spacing w:line="360" w:lineRule="auto"/>
        <w:rPr>
          <w:rFonts w:ascii="Arial" w:hAnsi="Arial" w:cs="Arial"/>
        </w:rPr>
      </w:pPr>
      <w:r w:rsidRPr="00172717">
        <w:rPr>
          <w:rFonts w:ascii="Arial" w:hAnsi="Arial" w:cs="Arial"/>
        </w:rPr>
        <w:t>Furthermore, in contrast to the first lesson, the second lesson was planned to provide considerably more scaffolding from the beginning of the lesson. Scaffolding was provided firstly through recapping previously learned vocabulary that was beneficial to the lesson. Scaffolding was also provided through drilling new vocabulary in an effort to make pupils familiar and confident in their use of new words. A short translation task was then given for pupils to complete using these new words in sentences. Scaffolding was then provided by giving pupils an opportunity to further familiarise themselves with the new vocabulary by discussing the new words in small groups. This task was an increase in difficulty from the previous task, as pupils had to think on their feet to respond. By increasing tasks in difficulty through the lesson, our aim was for pupils to be able to complete the challenging task at the end of the lesson independently.</w:t>
      </w:r>
    </w:p>
    <w:p w14:paraId="26FE1299" w14:textId="77777777" w:rsidR="00AA5863" w:rsidRPr="00172717" w:rsidRDefault="00AA5863" w:rsidP="00AA5863">
      <w:pPr>
        <w:spacing w:line="360" w:lineRule="auto"/>
        <w:rPr>
          <w:rFonts w:ascii="Arial" w:hAnsi="Arial" w:cs="Arial"/>
          <w:b/>
          <w:bCs/>
          <w:color w:val="FF0000"/>
          <w:u w:val="single"/>
        </w:rPr>
      </w:pPr>
    </w:p>
    <w:p w14:paraId="7C1C3505" w14:textId="77777777" w:rsidR="00AA5863" w:rsidRPr="00864FB7" w:rsidRDefault="00AA5863" w:rsidP="00AA5863">
      <w:pPr>
        <w:spacing w:line="360" w:lineRule="auto"/>
        <w:rPr>
          <w:rFonts w:ascii="Arial" w:hAnsi="Arial" w:cs="Arial"/>
          <w:b/>
          <w:bCs/>
          <w:i/>
          <w:iCs/>
          <w:sz w:val="28"/>
          <w:szCs w:val="28"/>
          <w:u w:val="single"/>
        </w:rPr>
      </w:pPr>
      <w:r w:rsidRPr="00864FB7">
        <w:rPr>
          <w:rFonts w:ascii="Arial" w:hAnsi="Arial" w:cs="Arial"/>
          <w:b/>
          <w:bCs/>
          <w:i/>
          <w:iCs/>
          <w:sz w:val="28"/>
          <w:szCs w:val="28"/>
          <w:u w:val="single"/>
        </w:rPr>
        <w:t>Lesson Study 2 Results and Analysis</w:t>
      </w:r>
    </w:p>
    <w:p w14:paraId="612AFEEB" w14:textId="77777777" w:rsidR="00AA5863" w:rsidRPr="00172717" w:rsidRDefault="00AA5863" w:rsidP="00AA5863">
      <w:pPr>
        <w:spacing w:line="360" w:lineRule="auto"/>
        <w:rPr>
          <w:rFonts w:ascii="Arial" w:hAnsi="Arial" w:cs="Arial"/>
        </w:rPr>
      </w:pPr>
      <w:r w:rsidRPr="00172717">
        <w:rPr>
          <w:rFonts w:ascii="Arial" w:hAnsi="Arial" w:cs="Arial"/>
        </w:rPr>
        <w:t>All pupils achieved the goal of the starter activity as pupils were engaged and able to remember previous vocabulary reasonably well when questioned. Pupil F however asked a friend for reassurance before answering correctly. All pupils took part in the drilling of the new vocabulary and required little support in successfully translating the paragraph that included the drilled vocabulary.</w:t>
      </w:r>
    </w:p>
    <w:p w14:paraId="4982722F" w14:textId="77777777" w:rsidR="00AA5863" w:rsidRPr="00172717" w:rsidRDefault="00AA5863" w:rsidP="00AA5863">
      <w:pPr>
        <w:spacing w:line="360" w:lineRule="auto"/>
        <w:rPr>
          <w:rFonts w:ascii="Arial" w:hAnsi="Arial" w:cs="Arial"/>
        </w:rPr>
      </w:pPr>
      <w:r w:rsidRPr="00172717">
        <w:rPr>
          <w:rFonts w:ascii="Arial" w:hAnsi="Arial" w:cs="Arial"/>
        </w:rPr>
        <w:t>During the discussion task, Pupils D and F used this time productively to familiarise themselves with the new vocabulary, however Pupil E did not actively take part in their group’s discussion, and merely listened to the other group members. Although this task involved a significant amount of spontaneous thinking and challenge, pupils appeared to enjoy the less formal way of learning the new vocabulary.</w:t>
      </w:r>
    </w:p>
    <w:p w14:paraId="2C6355BC" w14:textId="77777777" w:rsidR="00AA5863" w:rsidRPr="00172717" w:rsidRDefault="00AA5863" w:rsidP="00AA5863">
      <w:pPr>
        <w:spacing w:line="360" w:lineRule="auto"/>
        <w:rPr>
          <w:rFonts w:ascii="Arial" w:hAnsi="Arial" w:cs="Arial"/>
        </w:rPr>
      </w:pPr>
      <w:r w:rsidRPr="00172717">
        <w:rPr>
          <w:rFonts w:ascii="Arial" w:hAnsi="Arial" w:cs="Arial"/>
        </w:rPr>
        <w:t xml:space="preserve">Notably, all pupils were on task throughout the final, most challenging, task of extended writing. Pupils D and F wrote for the whole duration of time allocated for the task. Pupil E did not write as much as Pupils D and F but did not distract others when not writing. Pupil E asked Pupil D for guidance during the task, who felt confident enough to help Pupil E, rather </w:t>
      </w:r>
      <w:r w:rsidRPr="00172717">
        <w:rPr>
          <w:rFonts w:ascii="Arial" w:hAnsi="Arial" w:cs="Arial"/>
        </w:rPr>
        <w:lastRenderedPageBreak/>
        <w:t>than direct the question to the teacher. On analysis of workbooks, all three pupils completed the challenging task and achieved success criteria.</w:t>
      </w:r>
    </w:p>
    <w:p w14:paraId="79DCCCE8" w14:textId="77777777" w:rsidR="00AA5863" w:rsidRPr="00172717" w:rsidRDefault="00AA5863" w:rsidP="00AA5863">
      <w:pPr>
        <w:spacing w:line="360" w:lineRule="auto"/>
        <w:rPr>
          <w:rFonts w:ascii="Arial" w:hAnsi="Arial" w:cs="Arial"/>
        </w:rPr>
      </w:pPr>
      <w:r w:rsidRPr="00172717">
        <w:rPr>
          <w:rFonts w:ascii="Arial" w:hAnsi="Arial" w:cs="Arial"/>
        </w:rPr>
        <w:t xml:space="preserve">Following the lesson, all pupils agreed that the lesson was pitched at the right level of challenge, and that there was enough </w:t>
      </w:r>
      <w:r w:rsidRPr="00C64187">
        <w:rPr>
          <w:rFonts w:ascii="Arial" w:hAnsi="Arial" w:cs="Arial"/>
        </w:rPr>
        <w:t>support available during each task. Pupil D noticed that the tasks went from closed one-word answers at the beginning of the lesson to open-ended opinion based, longer length tasks, that built in challenge. A similarity between Lesson One and Two was that it was the higher prior attainment level pupils (D and F) who achieved the success criteria sooner than the lower prior attainment level Pupil E. However, it is notable that there was little difference between the observations of the attitudes to learning of Pupil D and F in Lesson 2, whereas there was a greater degree of difference between Pupils A and B in Lesson 1.</w:t>
      </w:r>
      <w:r w:rsidRPr="00172717">
        <w:rPr>
          <w:rFonts w:ascii="Arial" w:hAnsi="Arial" w:cs="Arial"/>
        </w:rPr>
        <w:t xml:space="preserve"> </w:t>
      </w:r>
    </w:p>
    <w:p w14:paraId="26ADE8A7" w14:textId="77777777" w:rsidR="00AA5863" w:rsidRPr="00172717" w:rsidRDefault="00AA5863" w:rsidP="00AA5863">
      <w:pPr>
        <w:spacing w:line="360" w:lineRule="auto"/>
        <w:rPr>
          <w:rFonts w:ascii="Arial" w:hAnsi="Arial" w:cs="Arial"/>
        </w:rPr>
      </w:pPr>
      <w:r w:rsidRPr="00172717">
        <w:rPr>
          <w:rFonts w:ascii="Arial" w:hAnsi="Arial" w:cs="Arial"/>
        </w:rPr>
        <w:t xml:space="preserve">Through reflecting using the Reflection </w:t>
      </w:r>
      <w:r w:rsidRPr="00FE76E6">
        <w:rPr>
          <w:rFonts w:ascii="Arial" w:hAnsi="Arial" w:cs="Arial"/>
        </w:rPr>
        <w:t>Model (Appendix L), Lesson</w:t>
      </w:r>
      <w:r w:rsidRPr="00172717">
        <w:rPr>
          <w:rFonts w:ascii="Arial" w:hAnsi="Arial" w:cs="Arial"/>
        </w:rPr>
        <w:t xml:space="preserve"> Two was largely determined to be a success, however there were amendments suggested should the lesson be repeated.</w:t>
      </w:r>
    </w:p>
    <w:p w14:paraId="78C3189E" w14:textId="77777777" w:rsidR="00AA5863" w:rsidRPr="00172717" w:rsidRDefault="00AA5863" w:rsidP="00AA5863">
      <w:pPr>
        <w:spacing w:line="360" w:lineRule="auto"/>
        <w:rPr>
          <w:rFonts w:ascii="Arial" w:hAnsi="Arial" w:cs="Arial"/>
        </w:rPr>
      </w:pPr>
      <w:r w:rsidRPr="00172717">
        <w:rPr>
          <w:rFonts w:ascii="Arial" w:hAnsi="Arial" w:cs="Arial"/>
        </w:rPr>
        <w:t xml:space="preserve">Although the engaging starter activity provided opportunities for several pupils to recap previously learned vocabulary, not every pupil took part in answering questions, as it was dependent on where the toy was thrown. I do not find this a problem however, as all pupils may have benefitted from hearing other pupils taking part. </w:t>
      </w:r>
      <w:r w:rsidRPr="00172717">
        <w:rPr>
          <w:rFonts w:ascii="Arial" w:hAnsi="Arial" w:cs="Arial"/>
        </w:rPr>
        <w:br/>
        <w:t>To improve the efficiency of the drilling and consequently pupil attainment of the translating task, pupils could have written down the key words in their books before they were drilled out loud to ensure they have time to think about the new words and have something to refer back to afterwards. Furthermore, giving pupils the opportunity to contemplate the meaning of the new words before telling them their meanings would stretch pupils.</w:t>
      </w:r>
      <w:r w:rsidRPr="00172717">
        <w:rPr>
          <w:rFonts w:ascii="Arial" w:hAnsi="Arial" w:cs="Arial"/>
        </w:rPr>
        <w:br/>
        <w:t>To improve the discussion task, I would ensure all pupils were actively taking part by restricting groups to two people if possible. It could be argued that had Pupil E taken an active part in the discussion task rather than merely listening, they would have found the final task less challenging. Nevertheless, as Pupil E was slower the other two case pupils writing the final longer length writing task, providing additional scaffolding such as sentence starters to pupils with lower prior attainment levels may have improved attainment. Learning new vocabulary was the objective of the lesson rather than structuring a piece of extended writing thus providing sentence starters would not have been an unfair advantage.</w:t>
      </w:r>
    </w:p>
    <w:p w14:paraId="6F947050" w14:textId="77777777" w:rsidR="00AA5863" w:rsidRPr="00172717" w:rsidRDefault="00AA5863" w:rsidP="00AA5863">
      <w:pPr>
        <w:spacing w:line="360" w:lineRule="auto"/>
        <w:rPr>
          <w:rFonts w:ascii="Arial" w:hAnsi="Arial" w:cs="Arial"/>
        </w:rPr>
      </w:pPr>
    </w:p>
    <w:p w14:paraId="2CA5A446" w14:textId="77777777" w:rsidR="00AA5863" w:rsidRPr="00172717" w:rsidRDefault="00AA5863" w:rsidP="00AA5863">
      <w:pPr>
        <w:spacing w:line="360" w:lineRule="auto"/>
        <w:rPr>
          <w:rFonts w:ascii="Arial" w:hAnsi="Arial" w:cs="Arial"/>
        </w:rPr>
      </w:pPr>
    </w:p>
    <w:p w14:paraId="699BEAF7" w14:textId="77777777" w:rsidR="00AA5863" w:rsidRPr="00172717" w:rsidRDefault="00AA5863" w:rsidP="00AA5863">
      <w:pPr>
        <w:spacing w:line="360" w:lineRule="auto"/>
        <w:rPr>
          <w:rFonts w:ascii="Arial" w:hAnsi="Arial" w:cs="Arial"/>
          <w:b/>
          <w:bCs/>
          <w:color w:val="FF0000"/>
          <w:u w:val="single"/>
        </w:rPr>
      </w:pPr>
    </w:p>
    <w:p w14:paraId="06538F7E" w14:textId="77777777" w:rsidR="00AA5863" w:rsidRPr="00050F1A" w:rsidRDefault="00AA5863" w:rsidP="00AA5863">
      <w:pPr>
        <w:spacing w:line="360" w:lineRule="auto"/>
        <w:rPr>
          <w:rFonts w:ascii="Arial" w:hAnsi="Arial" w:cs="Arial"/>
          <w:b/>
          <w:bCs/>
          <w:i/>
          <w:iCs/>
          <w:sz w:val="28"/>
          <w:szCs w:val="28"/>
          <w:u w:val="single"/>
        </w:rPr>
      </w:pPr>
      <w:r w:rsidRPr="00050F1A">
        <w:rPr>
          <w:rFonts w:ascii="Arial" w:hAnsi="Arial" w:cs="Arial"/>
          <w:b/>
          <w:bCs/>
          <w:i/>
          <w:iCs/>
          <w:sz w:val="28"/>
          <w:szCs w:val="28"/>
          <w:u w:val="single"/>
        </w:rPr>
        <w:lastRenderedPageBreak/>
        <w:t>Discussion of research findings in relation to related literature</w:t>
      </w:r>
    </w:p>
    <w:p w14:paraId="14A452C2" w14:textId="74405E41" w:rsidR="00D30962" w:rsidRDefault="00823DAD" w:rsidP="00D30962">
      <w:pPr>
        <w:spacing w:line="360" w:lineRule="auto"/>
        <w:rPr>
          <w:rFonts w:ascii="Arial" w:hAnsi="Arial" w:cs="Arial"/>
        </w:rPr>
      </w:pPr>
      <w:r w:rsidRPr="009527DB">
        <w:rPr>
          <w:rFonts w:ascii="Arial" w:hAnsi="Arial" w:cs="Arial"/>
        </w:rPr>
        <w:t xml:space="preserve">In light of my research, I suggest that scaffolding tasks did not inhibit pupils being challenged to perform, which is a leading criticism of the teaching technique in literature (Dehler and Welsh, (2014), Vanderhyde (2019). This is due to the observation that none of the case pupils were able to achieve the success criteria of Lesson One (Appendix E and Appendix F) before scaffolding was provided through a mark scheme. This </w:t>
      </w:r>
      <w:r>
        <w:rPr>
          <w:rFonts w:ascii="Arial" w:hAnsi="Arial" w:cs="Arial"/>
        </w:rPr>
        <w:t xml:space="preserve">supports the </w:t>
      </w:r>
      <w:r w:rsidRPr="009527DB">
        <w:rPr>
          <w:rFonts w:ascii="Arial" w:hAnsi="Arial" w:cs="Arial"/>
        </w:rPr>
        <w:t xml:space="preserve">work of </w:t>
      </w:r>
      <w:r w:rsidR="005666D1">
        <w:rPr>
          <w:rFonts w:ascii="Arial" w:hAnsi="Arial" w:cs="Arial"/>
        </w:rPr>
        <w:t>Kolomitro and MacKenzie (2019)</w:t>
      </w:r>
      <w:r w:rsidR="00D30962">
        <w:rPr>
          <w:rFonts w:ascii="Arial" w:hAnsi="Arial" w:cs="Arial"/>
        </w:rPr>
        <w:t xml:space="preserve"> </w:t>
      </w:r>
      <w:r w:rsidR="00FB617E">
        <w:rPr>
          <w:rFonts w:ascii="Arial" w:hAnsi="Arial" w:cs="Arial"/>
        </w:rPr>
        <w:t>w</w:t>
      </w:r>
      <w:r w:rsidR="00D30962" w:rsidRPr="009527DB">
        <w:rPr>
          <w:rFonts w:ascii="Arial" w:hAnsi="Arial" w:cs="Arial"/>
        </w:rPr>
        <w:t>ho argue that scaffolding</w:t>
      </w:r>
      <w:r w:rsidR="00D30962">
        <w:rPr>
          <w:rFonts w:ascii="Arial" w:hAnsi="Arial" w:cs="Arial"/>
        </w:rPr>
        <w:t>, specifically ‘think-alouds’</w:t>
      </w:r>
      <w:r w:rsidR="00D30962" w:rsidRPr="009527DB">
        <w:rPr>
          <w:rFonts w:ascii="Arial" w:hAnsi="Arial" w:cs="Arial"/>
        </w:rPr>
        <w:t xml:space="preserve"> </w:t>
      </w:r>
      <w:r w:rsidR="00D30962">
        <w:rPr>
          <w:rFonts w:ascii="Arial" w:hAnsi="Arial" w:cs="Arial"/>
        </w:rPr>
        <w:t>are</w:t>
      </w:r>
      <w:r w:rsidR="00D30962" w:rsidRPr="009527DB">
        <w:rPr>
          <w:rFonts w:ascii="Arial" w:hAnsi="Arial" w:cs="Arial"/>
        </w:rPr>
        <w:t xml:space="preserve"> </w:t>
      </w:r>
      <w:r w:rsidR="00D30962">
        <w:rPr>
          <w:rFonts w:ascii="Arial" w:hAnsi="Arial" w:cs="Arial"/>
        </w:rPr>
        <w:t xml:space="preserve">powerful tools </w:t>
      </w:r>
      <w:r w:rsidR="00D30962" w:rsidRPr="009527DB">
        <w:rPr>
          <w:rFonts w:ascii="Arial" w:hAnsi="Arial" w:cs="Arial"/>
        </w:rPr>
        <w:t>to</w:t>
      </w:r>
      <w:r w:rsidR="00D30962">
        <w:rPr>
          <w:rFonts w:ascii="Arial" w:hAnsi="Arial" w:cs="Arial"/>
        </w:rPr>
        <w:t xml:space="preserve"> all</w:t>
      </w:r>
      <w:r w:rsidR="00D30962" w:rsidRPr="009527DB">
        <w:rPr>
          <w:rFonts w:ascii="Arial" w:hAnsi="Arial" w:cs="Arial"/>
        </w:rPr>
        <w:t xml:space="preserve"> pupils </w:t>
      </w:r>
      <w:r w:rsidR="00D30962">
        <w:rPr>
          <w:rFonts w:ascii="Arial" w:hAnsi="Arial" w:cs="Arial"/>
        </w:rPr>
        <w:t>when novices in a new topic</w:t>
      </w:r>
      <w:r w:rsidR="00D30962" w:rsidRPr="009527DB">
        <w:rPr>
          <w:rFonts w:ascii="Arial" w:hAnsi="Arial" w:cs="Arial"/>
        </w:rPr>
        <w:t xml:space="preserve">. </w:t>
      </w:r>
    </w:p>
    <w:p w14:paraId="3D2A03EB" w14:textId="34F67B4F" w:rsidR="00170F44" w:rsidRPr="008B324F" w:rsidRDefault="00170F44" w:rsidP="00170F44">
      <w:pPr>
        <w:spacing w:line="360" w:lineRule="auto"/>
        <w:rPr>
          <w:rFonts w:ascii="Arial" w:hAnsi="Arial" w:cs="Arial"/>
        </w:rPr>
      </w:pPr>
      <w:r w:rsidRPr="009527DB">
        <w:rPr>
          <w:rFonts w:ascii="Arial" w:hAnsi="Arial" w:cs="Arial"/>
        </w:rPr>
        <w:t xml:space="preserve">However, considering the interviews and observation records, I am inclined to suggest that lower prior attainment pupils require </w:t>
      </w:r>
      <w:r>
        <w:rPr>
          <w:rFonts w:ascii="Arial" w:hAnsi="Arial" w:cs="Arial"/>
        </w:rPr>
        <w:t>a great degree of</w:t>
      </w:r>
      <w:r w:rsidRPr="009527DB">
        <w:rPr>
          <w:rFonts w:ascii="Arial" w:hAnsi="Arial" w:cs="Arial"/>
        </w:rPr>
        <w:t xml:space="preserve"> scaffolding than higher prior attaining pupils, as generally, the lower attaining pupils were more off-task throughout Lesson One before scaffolding was provided (Appendix E and Appendix F</w:t>
      </w:r>
      <w:r w:rsidR="0065013D">
        <w:rPr>
          <w:rFonts w:ascii="Arial" w:hAnsi="Arial" w:cs="Arial"/>
        </w:rPr>
        <w:t>)</w:t>
      </w:r>
      <w:r w:rsidRPr="009527DB">
        <w:rPr>
          <w:rFonts w:ascii="Arial" w:hAnsi="Arial" w:cs="Arial"/>
        </w:rPr>
        <w:t xml:space="preserve">. This is in line with the research presented by </w:t>
      </w:r>
      <w:r w:rsidRPr="00B52BA8">
        <w:rPr>
          <w:rFonts w:ascii="Arial" w:hAnsi="Arial" w:cs="Arial"/>
          <w:shd w:val="clear" w:color="auto" w:fill="FCFCFC"/>
        </w:rPr>
        <w:t xml:space="preserve">Kalyuga </w:t>
      </w:r>
      <w:r>
        <w:rPr>
          <w:rFonts w:ascii="Arial" w:hAnsi="Arial" w:cs="Arial"/>
          <w:shd w:val="clear" w:color="auto" w:fill="FCFCFC"/>
        </w:rPr>
        <w:t>and Sweller (</w:t>
      </w:r>
      <w:r w:rsidRPr="00B52BA8">
        <w:rPr>
          <w:rFonts w:ascii="Arial" w:hAnsi="Arial" w:cs="Arial"/>
          <w:shd w:val="clear" w:color="auto" w:fill="FCFCFC"/>
        </w:rPr>
        <w:t>201</w:t>
      </w:r>
      <w:r>
        <w:rPr>
          <w:rFonts w:ascii="Arial" w:hAnsi="Arial" w:cs="Arial"/>
          <w:shd w:val="clear" w:color="auto" w:fill="FCFCFC"/>
        </w:rPr>
        <w:t xml:space="preserve">8) and </w:t>
      </w:r>
      <w:r w:rsidRPr="00B52BA8">
        <w:rPr>
          <w:rFonts w:ascii="Arial" w:hAnsi="Arial" w:cs="Arial"/>
        </w:rPr>
        <w:t>Rasku-Puttonen et al. (2003</w:t>
      </w:r>
      <w:r w:rsidRPr="00B52BA8">
        <w:rPr>
          <w:rFonts w:ascii="Arial" w:hAnsi="Arial" w:cs="Arial"/>
          <w:shd w:val="clear" w:color="auto" w:fill="FCFCFC"/>
        </w:rPr>
        <w:t>),</w:t>
      </w:r>
      <w:r w:rsidRPr="009527DB">
        <w:rPr>
          <w:rFonts w:ascii="Arial" w:hAnsi="Arial" w:cs="Arial"/>
          <w:shd w:val="clear" w:color="auto" w:fill="FCFCFC"/>
        </w:rPr>
        <w:t xml:space="preserve"> regarding the </w:t>
      </w:r>
      <w:r w:rsidR="00520C6D">
        <w:rPr>
          <w:rFonts w:ascii="Arial" w:hAnsi="Arial" w:cs="Arial"/>
          <w:shd w:val="clear" w:color="auto" w:fill="FCFCFC"/>
        </w:rPr>
        <w:t>‘</w:t>
      </w:r>
      <w:bookmarkStart w:id="0" w:name="_GoBack"/>
      <w:bookmarkEnd w:id="0"/>
      <w:r w:rsidRPr="009527DB">
        <w:rPr>
          <w:rFonts w:ascii="Arial" w:hAnsi="Arial" w:cs="Arial"/>
          <w:shd w:val="clear" w:color="auto" w:fill="FCFCFC"/>
        </w:rPr>
        <w:t>Expertise Reversal Effect</w:t>
      </w:r>
      <w:r w:rsidR="00520C6D">
        <w:rPr>
          <w:rFonts w:ascii="Arial" w:hAnsi="Arial" w:cs="Arial"/>
          <w:shd w:val="clear" w:color="auto" w:fill="FCFCFC"/>
        </w:rPr>
        <w:t>’</w:t>
      </w:r>
      <w:r w:rsidRPr="009527DB">
        <w:rPr>
          <w:rFonts w:ascii="Arial" w:hAnsi="Arial" w:cs="Arial"/>
          <w:shd w:val="clear" w:color="auto" w:fill="FCFCFC"/>
        </w:rPr>
        <w:t xml:space="preserve"> in which once pupils increase in expertise, long “</w:t>
      </w:r>
      <w:r w:rsidRPr="009527DB">
        <w:rPr>
          <w:rFonts w:ascii="Arial" w:hAnsi="Arial" w:cs="Arial"/>
        </w:rPr>
        <w:t>long-term memory can take over from external guidance</w:t>
      </w:r>
      <w:r w:rsidRPr="003B2CFA">
        <w:rPr>
          <w:rFonts w:ascii="Arial" w:hAnsi="Arial" w:cs="Arial"/>
        </w:rPr>
        <w:t>” (Kirschner, Sweller &amp; Clark, 2010, p</w:t>
      </w:r>
      <w:r w:rsidRPr="008B324F">
        <w:rPr>
          <w:rFonts w:ascii="Arial" w:hAnsi="Arial" w:cs="Arial"/>
        </w:rPr>
        <w:t>. 80).</w:t>
      </w:r>
    </w:p>
    <w:p w14:paraId="316B8812" w14:textId="7B4E8781" w:rsidR="00A10225" w:rsidRDefault="00E64F88" w:rsidP="00C70A86">
      <w:pPr>
        <w:spacing w:line="360" w:lineRule="auto"/>
        <w:rPr>
          <w:rFonts w:ascii="Arial" w:hAnsi="Arial" w:cs="Arial"/>
        </w:rPr>
      </w:pPr>
      <w:r w:rsidRPr="008B324F">
        <w:rPr>
          <w:rFonts w:ascii="Arial" w:hAnsi="Arial" w:cs="Arial"/>
        </w:rPr>
        <w:t>It is worth noting that the lower-prior attaining pupils (C and E) both displayed a lack of confidence in lessons. Pupil C asked for reassurance of their answer from the teacher in Lesson 1 (Appendix B) and Pupil E asked for support during a task from a higher prior attaining pupil in Lesson 2 (Appendix I). This is despite scaffolding being provided throughout Lesson 2</w:t>
      </w:r>
      <w:r w:rsidR="00A82B12" w:rsidRPr="008B324F">
        <w:rPr>
          <w:rFonts w:ascii="Arial" w:hAnsi="Arial" w:cs="Arial"/>
        </w:rPr>
        <w:t>, which is consistent with the research of</w:t>
      </w:r>
      <w:r w:rsidR="00B21BD2" w:rsidRPr="008B324F">
        <w:rPr>
          <w:rFonts w:ascii="Arial" w:hAnsi="Arial" w:cs="Arial"/>
        </w:rPr>
        <w:t xml:space="preserve"> Angeli and Valanides (2014) </w:t>
      </w:r>
      <w:r w:rsidR="0002487A" w:rsidRPr="008B324F">
        <w:rPr>
          <w:rFonts w:ascii="Arial" w:hAnsi="Arial" w:cs="Arial"/>
        </w:rPr>
        <w:t>who did not find any</w:t>
      </w:r>
      <w:r w:rsidR="007356B0" w:rsidRPr="008B324F">
        <w:rPr>
          <w:rFonts w:ascii="Arial" w:hAnsi="Arial" w:cs="Arial"/>
        </w:rPr>
        <w:t xml:space="preserve"> significant correlation</w:t>
      </w:r>
      <w:r w:rsidR="00772B6B" w:rsidRPr="008B324F">
        <w:rPr>
          <w:rFonts w:ascii="Arial" w:hAnsi="Arial" w:cs="Arial"/>
        </w:rPr>
        <w:t xml:space="preserve"> between self-confiden</w:t>
      </w:r>
      <w:r w:rsidR="00BF31EA" w:rsidRPr="008B324F">
        <w:rPr>
          <w:rFonts w:ascii="Arial" w:hAnsi="Arial" w:cs="Arial"/>
        </w:rPr>
        <w:t>c</w:t>
      </w:r>
      <w:r w:rsidR="00772B6B" w:rsidRPr="008B324F">
        <w:rPr>
          <w:rFonts w:ascii="Arial" w:hAnsi="Arial" w:cs="Arial"/>
        </w:rPr>
        <w:t xml:space="preserve">e and </w:t>
      </w:r>
      <w:r w:rsidR="00BF31EA" w:rsidRPr="008B324F">
        <w:rPr>
          <w:rFonts w:ascii="Arial" w:hAnsi="Arial" w:cs="Arial"/>
        </w:rPr>
        <w:t xml:space="preserve">scaffolding amongst pupils. </w:t>
      </w:r>
      <w:r w:rsidR="00172F60" w:rsidRPr="008B324F">
        <w:rPr>
          <w:rFonts w:ascii="Arial" w:hAnsi="Arial" w:cs="Arial"/>
        </w:rPr>
        <w:t>Francis et al. (2017)</w:t>
      </w:r>
      <w:r w:rsidR="007E2C3F" w:rsidRPr="008B324F">
        <w:rPr>
          <w:rFonts w:ascii="Arial" w:hAnsi="Arial" w:cs="Arial"/>
        </w:rPr>
        <w:t xml:space="preserve"> however</w:t>
      </w:r>
      <w:r w:rsidR="00172F60" w:rsidRPr="008B324F">
        <w:rPr>
          <w:rFonts w:ascii="Arial" w:hAnsi="Arial" w:cs="Arial"/>
        </w:rPr>
        <w:t xml:space="preserve"> believe that </w:t>
      </w:r>
      <w:r w:rsidR="001E5FDE" w:rsidRPr="008B324F">
        <w:rPr>
          <w:rFonts w:ascii="Arial" w:hAnsi="Arial" w:cs="Arial"/>
        </w:rPr>
        <w:t xml:space="preserve">low </w:t>
      </w:r>
      <w:r w:rsidR="00172F60" w:rsidRPr="008B324F">
        <w:rPr>
          <w:rFonts w:ascii="Arial" w:hAnsi="Arial" w:cs="Arial"/>
        </w:rPr>
        <w:t>self-confidence</w:t>
      </w:r>
      <w:r w:rsidR="00AA611F" w:rsidRPr="008B324F">
        <w:rPr>
          <w:rFonts w:ascii="Arial" w:hAnsi="Arial" w:cs="Arial"/>
        </w:rPr>
        <w:t xml:space="preserve"> in pupils</w:t>
      </w:r>
      <w:r w:rsidR="00172F60" w:rsidRPr="008B324F">
        <w:rPr>
          <w:rFonts w:ascii="Arial" w:hAnsi="Arial" w:cs="Arial"/>
        </w:rPr>
        <w:t xml:space="preserve"> can promote a self-fulfilling prophecy on pupil attainment. </w:t>
      </w:r>
      <w:r w:rsidR="002931EC" w:rsidRPr="008B324F">
        <w:rPr>
          <w:rFonts w:ascii="Arial" w:hAnsi="Arial" w:cs="Arial"/>
        </w:rPr>
        <w:t>Daniels (2019) and Fu et al. (2017) agree that confidence plays a large role in the classroom</w:t>
      </w:r>
      <w:r w:rsidR="00A10225" w:rsidRPr="008B324F">
        <w:rPr>
          <w:rFonts w:ascii="Arial" w:hAnsi="Arial" w:cs="Arial"/>
        </w:rPr>
        <w:t>.</w:t>
      </w:r>
      <w:r w:rsidR="00A10225">
        <w:rPr>
          <w:rFonts w:ascii="Arial" w:hAnsi="Arial" w:cs="Arial"/>
        </w:rPr>
        <w:t xml:space="preserve"> </w:t>
      </w:r>
    </w:p>
    <w:p w14:paraId="7CE4C78D" w14:textId="42453BB4" w:rsidR="00AA5863" w:rsidRDefault="00566B39" w:rsidP="00AA5863">
      <w:pPr>
        <w:spacing w:line="360" w:lineRule="auto"/>
        <w:rPr>
          <w:rFonts w:ascii="Arial" w:hAnsi="Arial" w:cs="Arial"/>
        </w:rPr>
      </w:pPr>
      <w:r w:rsidRPr="00493D49">
        <w:rPr>
          <w:rFonts w:ascii="Arial" w:hAnsi="Arial" w:cs="Arial"/>
        </w:rPr>
        <w:t xml:space="preserve">Finally, it is interesting to note that </w:t>
      </w:r>
      <w:r w:rsidR="00C5274A" w:rsidRPr="00493D49">
        <w:rPr>
          <w:rFonts w:ascii="Arial" w:hAnsi="Arial" w:cs="Arial"/>
        </w:rPr>
        <w:t xml:space="preserve">the discussion task </w:t>
      </w:r>
      <w:r w:rsidR="00DB1FA9" w:rsidRPr="00493D49">
        <w:rPr>
          <w:rFonts w:ascii="Arial" w:hAnsi="Arial" w:cs="Arial"/>
        </w:rPr>
        <w:t xml:space="preserve">may have </w:t>
      </w:r>
      <w:r w:rsidR="007066A4" w:rsidRPr="00493D49">
        <w:rPr>
          <w:rFonts w:ascii="Arial" w:hAnsi="Arial" w:cs="Arial"/>
        </w:rPr>
        <w:t xml:space="preserve">played a useful part in scaffolding Lesson 2, as the two case pupils that </w:t>
      </w:r>
      <w:r w:rsidR="00EB3406" w:rsidRPr="00493D49">
        <w:rPr>
          <w:rFonts w:ascii="Arial" w:hAnsi="Arial" w:cs="Arial"/>
        </w:rPr>
        <w:t xml:space="preserve">actively participated in the task found the </w:t>
      </w:r>
      <w:r w:rsidR="00845C45" w:rsidRPr="00493D49">
        <w:rPr>
          <w:rFonts w:ascii="Arial" w:hAnsi="Arial" w:cs="Arial"/>
        </w:rPr>
        <w:t xml:space="preserve">final task of the lesson less challenging than the </w:t>
      </w:r>
      <w:r w:rsidR="00BA31F8" w:rsidRPr="00493D49">
        <w:rPr>
          <w:rFonts w:ascii="Arial" w:hAnsi="Arial" w:cs="Arial"/>
        </w:rPr>
        <w:t xml:space="preserve">case pupil that did not actively contribute. </w:t>
      </w:r>
      <w:r w:rsidR="00527CDA" w:rsidRPr="00493D49">
        <w:rPr>
          <w:rFonts w:ascii="Arial" w:hAnsi="Arial" w:cs="Arial"/>
        </w:rPr>
        <w:t xml:space="preserve">This supports the work of </w:t>
      </w:r>
      <w:r w:rsidR="001E2CC1" w:rsidRPr="00493D49">
        <w:rPr>
          <w:rFonts w:ascii="Arial" w:hAnsi="Arial" w:cs="Arial"/>
        </w:rPr>
        <w:t>Smith (2019),</w:t>
      </w:r>
      <w:r w:rsidR="005C528F" w:rsidRPr="00493D49">
        <w:rPr>
          <w:rFonts w:ascii="Arial" w:hAnsi="Arial" w:cs="Arial"/>
        </w:rPr>
        <w:t xml:space="preserve"> Lightbown and Spada (2006), </w:t>
      </w:r>
      <w:r w:rsidR="0024286C" w:rsidRPr="00493D49">
        <w:rPr>
          <w:rFonts w:ascii="Arial" w:hAnsi="Arial" w:cs="Arial"/>
        </w:rPr>
        <w:t>Dörnyei &amp; Murphey, (2003) w</w:t>
      </w:r>
      <w:r w:rsidR="00943D23" w:rsidRPr="00493D49">
        <w:rPr>
          <w:rFonts w:ascii="Arial" w:hAnsi="Arial" w:cs="Arial"/>
        </w:rPr>
        <w:t xml:space="preserve">ho agree that </w:t>
      </w:r>
      <w:r w:rsidR="00CF0BD2" w:rsidRPr="00493D49">
        <w:rPr>
          <w:rFonts w:ascii="Arial" w:hAnsi="Arial" w:cs="Arial"/>
        </w:rPr>
        <w:t xml:space="preserve">social interactions such as </w:t>
      </w:r>
      <w:r w:rsidR="009D30EE" w:rsidRPr="00493D49">
        <w:rPr>
          <w:rFonts w:ascii="Arial" w:hAnsi="Arial" w:cs="Arial"/>
        </w:rPr>
        <w:t>discussion</w:t>
      </w:r>
      <w:r w:rsidR="00CF0BD2" w:rsidRPr="00493D49">
        <w:rPr>
          <w:rFonts w:ascii="Arial" w:hAnsi="Arial" w:cs="Arial"/>
        </w:rPr>
        <w:t>s</w:t>
      </w:r>
      <w:r w:rsidR="009D30EE" w:rsidRPr="00493D49">
        <w:rPr>
          <w:rFonts w:ascii="Arial" w:hAnsi="Arial" w:cs="Arial"/>
        </w:rPr>
        <w:t xml:space="preserve"> plays an important role in the learning of a language</w:t>
      </w:r>
      <w:r w:rsidR="000E1B36" w:rsidRPr="00493D49">
        <w:rPr>
          <w:rFonts w:ascii="Arial" w:hAnsi="Arial" w:cs="Arial"/>
        </w:rPr>
        <w:t xml:space="preserve"> and that pupils need to be certain of their roles in the discussion for them to be worthwhile</w:t>
      </w:r>
      <w:r w:rsidR="009D30EE" w:rsidRPr="00493D49">
        <w:rPr>
          <w:rFonts w:ascii="Arial" w:hAnsi="Arial" w:cs="Arial"/>
        </w:rPr>
        <w:t>.</w:t>
      </w:r>
      <w:r w:rsidR="000E1B36" w:rsidRPr="000E1B36">
        <w:rPr>
          <w:rFonts w:ascii="Arial" w:hAnsi="Arial" w:cs="Arial"/>
        </w:rPr>
        <w:t xml:space="preserve"> </w:t>
      </w:r>
    </w:p>
    <w:p w14:paraId="75104A05" w14:textId="77777777" w:rsidR="00F57E68" w:rsidRPr="00B17387" w:rsidRDefault="00F57E68" w:rsidP="00AA5863">
      <w:pPr>
        <w:spacing w:line="360" w:lineRule="auto"/>
        <w:rPr>
          <w:rFonts w:ascii="Arial" w:hAnsi="Arial" w:cs="Arial"/>
        </w:rPr>
      </w:pPr>
    </w:p>
    <w:p w14:paraId="2D2E9055" w14:textId="77777777" w:rsidR="007D22F2" w:rsidRDefault="007D22F2" w:rsidP="00AA5863">
      <w:pPr>
        <w:spacing w:line="360" w:lineRule="auto"/>
        <w:rPr>
          <w:rFonts w:ascii="Arial" w:hAnsi="Arial" w:cs="Arial"/>
          <w:b/>
          <w:bCs/>
          <w:i/>
          <w:iCs/>
          <w:sz w:val="28"/>
          <w:szCs w:val="28"/>
          <w:u w:val="single"/>
        </w:rPr>
      </w:pPr>
    </w:p>
    <w:p w14:paraId="75BB1183" w14:textId="665A319F" w:rsidR="00AA5863" w:rsidRPr="005B60B7" w:rsidRDefault="00AA5863" w:rsidP="00AA5863">
      <w:pPr>
        <w:spacing w:line="360" w:lineRule="auto"/>
        <w:rPr>
          <w:rFonts w:ascii="Arial" w:hAnsi="Arial" w:cs="Arial"/>
          <w:b/>
          <w:bCs/>
          <w:i/>
          <w:iCs/>
          <w:sz w:val="28"/>
          <w:szCs w:val="28"/>
          <w:u w:val="single"/>
        </w:rPr>
      </w:pPr>
      <w:r w:rsidRPr="005B60B7">
        <w:rPr>
          <w:rFonts w:ascii="Arial" w:hAnsi="Arial" w:cs="Arial"/>
          <w:b/>
          <w:bCs/>
          <w:i/>
          <w:iCs/>
          <w:sz w:val="28"/>
          <w:szCs w:val="28"/>
          <w:u w:val="single"/>
        </w:rPr>
        <w:lastRenderedPageBreak/>
        <w:t>Conclusion</w:t>
      </w:r>
    </w:p>
    <w:p w14:paraId="249BD131" w14:textId="77777777" w:rsidR="00AA5863" w:rsidRPr="00172717" w:rsidRDefault="00AA5863" w:rsidP="00AA5863">
      <w:pPr>
        <w:spacing w:line="360" w:lineRule="auto"/>
        <w:rPr>
          <w:rFonts w:ascii="Arial" w:hAnsi="Arial" w:cs="Arial"/>
        </w:rPr>
      </w:pPr>
      <w:r w:rsidRPr="00172717">
        <w:rPr>
          <w:rFonts w:ascii="Arial" w:hAnsi="Arial" w:cs="Arial"/>
        </w:rPr>
        <w:t xml:space="preserve">There were several strengths to my research methods in this study, however there were also limitations. One strength of my research was its validity. The research method of the lesson study was suitable to answer the research question that it was intended to answer. Analysis of the lesson study drew clear conclusions that linked to teaching research theories. </w:t>
      </w:r>
    </w:p>
    <w:p w14:paraId="08B50F5C" w14:textId="77777777" w:rsidR="00AA5863" w:rsidRPr="00172717" w:rsidRDefault="00AA5863" w:rsidP="00AA5863">
      <w:pPr>
        <w:spacing w:line="360" w:lineRule="auto"/>
        <w:rPr>
          <w:rFonts w:ascii="Arial" w:hAnsi="Arial" w:cs="Arial"/>
          <w:color w:val="FF0000"/>
        </w:rPr>
      </w:pPr>
      <w:r w:rsidRPr="00172717">
        <w:rPr>
          <w:rFonts w:ascii="Arial" w:hAnsi="Arial" w:cs="Arial"/>
        </w:rPr>
        <w:t>A second strength of the research was the clarity of the research process. Myself and my research partner were clear in the research objectives and our roles throughout. Participants were clear of the purpose of the research and understood the questions asked in their interviews. Furthermore, observation and interview records were clear. Additionally, every trend, pattern and relationship found in the data collected is acknowledged in the data analysis.</w:t>
      </w:r>
    </w:p>
    <w:p w14:paraId="251AE5A2" w14:textId="77777777" w:rsidR="00AA5863" w:rsidRPr="00172717" w:rsidRDefault="00AA5863" w:rsidP="00AA5863">
      <w:pPr>
        <w:spacing w:line="360" w:lineRule="auto"/>
        <w:rPr>
          <w:rFonts w:ascii="Arial" w:hAnsi="Arial" w:cs="Arial"/>
        </w:rPr>
      </w:pPr>
      <w:r w:rsidRPr="00172717">
        <w:rPr>
          <w:rFonts w:ascii="Arial" w:hAnsi="Arial" w:cs="Arial"/>
        </w:rPr>
        <w:t xml:space="preserve">Another strength of the research was that consistency was endeavoured as much as was possible given the time and resources available. As the two lessons were to be compared, the lesson studies occurred in similar classrooms in the same comprehensive school, with pupils of similar age and ability. </w:t>
      </w:r>
    </w:p>
    <w:p w14:paraId="13E84DF2" w14:textId="77777777" w:rsidR="00AA5863" w:rsidRPr="00172717" w:rsidRDefault="00AA5863" w:rsidP="00AA5863">
      <w:pPr>
        <w:spacing w:line="360" w:lineRule="auto"/>
        <w:rPr>
          <w:rFonts w:ascii="Arial" w:hAnsi="Arial" w:cs="Arial"/>
        </w:rPr>
      </w:pPr>
      <w:r w:rsidRPr="00172717">
        <w:rPr>
          <w:rFonts w:ascii="Arial" w:hAnsi="Arial" w:cs="Arial"/>
        </w:rPr>
        <w:t xml:space="preserve">A final strength of my research is that consideration of the ethical implications was taken at every stage of the lesson study, and consent from participants was given. Following the research study, I feel that the research study successfully minimised any harm to the participants, researchers and university. </w:t>
      </w:r>
    </w:p>
    <w:p w14:paraId="52030B70" w14:textId="77777777" w:rsidR="00AA5863" w:rsidRPr="00172717" w:rsidRDefault="00AA5863" w:rsidP="00AA5863">
      <w:pPr>
        <w:spacing w:line="360" w:lineRule="auto"/>
        <w:rPr>
          <w:rFonts w:ascii="Arial" w:hAnsi="Arial" w:cs="Arial"/>
        </w:rPr>
      </w:pPr>
      <w:r w:rsidRPr="00172717">
        <w:rPr>
          <w:rFonts w:ascii="Arial" w:hAnsi="Arial" w:cs="Arial"/>
        </w:rPr>
        <w:t xml:space="preserve">The research </w:t>
      </w:r>
      <w:r w:rsidRPr="001273AD">
        <w:rPr>
          <w:rFonts w:ascii="Arial" w:hAnsi="Arial" w:cs="Arial"/>
        </w:rPr>
        <w:t>methodology was not piloted in this instance, however numerous lesson studies have been conducted previously by other experienced research academics (Larssen et al., 2017) therefore I did not feel it necessary to conduct a pilot lesson study prior to the research.</w:t>
      </w:r>
      <w:r w:rsidRPr="00172717">
        <w:rPr>
          <w:rFonts w:ascii="Arial" w:hAnsi="Arial" w:cs="Arial"/>
        </w:rPr>
        <w:t xml:space="preserve"> </w:t>
      </w:r>
    </w:p>
    <w:p w14:paraId="59DAAF50" w14:textId="77777777" w:rsidR="00AA5863" w:rsidRPr="00172717" w:rsidRDefault="00AA5863" w:rsidP="00AA5863">
      <w:pPr>
        <w:spacing w:line="360" w:lineRule="auto"/>
        <w:rPr>
          <w:rFonts w:ascii="Arial" w:hAnsi="Arial" w:cs="Arial"/>
        </w:rPr>
      </w:pPr>
      <w:r w:rsidRPr="00172717">
        <w:rPr>
          <w:rFonts w:ascii="Arial" w:hAnsi="Arial" w:cs="Arial"/>
        </w:rPr>
        <w:t xml:space="preserve">The main factor of the limitations of the study was that all results were qualitative rather than quantitative. Qualitative results collected by observation and interviews are often subjective. Despite the observation plan and interview questions being meticulously prepared in an attempt to have precise data and eliminate our own subjectivity, as researchers may have unconsciously been biased towards our findings. Complete elimination of subjectivity in the data is highly unlikely. </w:t>
      </w:r>
    </w:p>
    <w:p w14:paraId="358471EB" w14:textId="77777777" w:rsidR="00AA5863" w:rsidRPr="00172717" w:rsidRDefault="00AA5863" w:rsidP="00AA5863">
      <w:pPr>
        <w:spacing w:line="360" w:lineRule="auto"/>
        <w:rPr>
          <w:rFonts w:ascii="Arial" w:hAnsi="Arial" w:cs="Arial"/>
        </w:rPr>
      </w:pPr>
      <w:r w:rsidRPr="00172717">
        <w:rPr>
          <w:rFonts w:ascii="Arial" w:hAnsi="Arial" w:cs="Arial"/>
        </w:rPr>
        <w:t xml:space="preserve">Similarly, reliability and accuracy were a concern as we cannot say that the results were consistent. As only one person observed each lesson, and this person differed between lessons, observations may be inconsistent. Furthermore, different pupils were observed and interviewed during the lesson study, therefore it is difficult to compare the effect of the </w:t>
      </w:r>
      <w:r w:rsidRPr="00172717">
        <w:rPr>
          <w:rFonts w:ascii="Arial" w:hAnsi="Arial" w:cs="Arial"/>
        </w:rPr>
        <w:lastRenderedPageBreak/>
        <w:t>amendments to the first lesson, as different pupils may have responded in different ways. Furthermore, although the lessons were both literacy based, different subjects were taught in each lesson.</w:t>
      </w:r>
    </w:p>
    <w:p w14:paraId="351326C1" w14:textId="77777777" w:rsidR="00AA5863" w:rsidRPr="00172717" w:rsidRDefault="00AA5863" w:rsidP="00AA5863">
      <w:pPr>
        <w:spacing w:line="360" w:lineRule="auto"/>
        <w:rPr>
          <w:rFonts w:ascii="Arial" w:hAnsi="Arial" w:cs="Arial"/>
        </w:rPr>
      </w:pPr>
      <w:r w:rsidRPr="00172717">
        <w:rPr>
          <w:rFonts w:ascii="Arial" w:hAnsi="Arial" w:cs="Arial"/>
        </w:rPr>
        <w:t xml:space="preserve">The small size of the sample used may not be large enough to show the true diversity of the data obtainable. With such a small sample of pupils, certain opinions or observations may have distorted the results, and in this case, pupils may have felt under pressure to agree with the other members of the interview group. </w:t>
      </w:r>
    </w:p>
    <w:p w14:paraId="3AC2808C" w14:textId="77777777" w:rsidR="00AA5863" w:rsidRPr="001273AD" w:rsidRDefault="00AA5863" w:rsidP="00AA5863">
      <w:pPr>
        <w:spacing w:line="360" w:lineRule="auto"/>
        <w:rPr>
          <w:rFonts w:ascii="Arial" w:hAnsi="Arial" w:cs="Arial"/>
        </w:rPr>
      </w:pPr>
      <w:r w:rsidRPr="00172717">
        <w:rPr>
          <w:rFonts w:ascii="Arial" w:hAnsi="Arial" w:cs="Arial"/>
        </w:rPr>
        <w:t xml:space="preserve">Despite our observations attempting to be discreet, the Hawthorn Effect may have played a part in the </w:t>
      </w:r>
      <w:r w:rsidRPr="001273AD">
        <w:rPr>
          <w:rFonts w:ascii="Arial" w:hAnsi="Arial" w:cs="Arial"/>
        </w:rPr>
        <w:t>observation, as “</w:t>
      </w:r>
      <w:r w:rsidRPr="001273AD">
        <w:rPr>
          <w:rFonts w:ascii="Arial" w:hAnsi="Arial" w:cs="Arial"/>
          <w:i/>
          <w:iCs/>
        </w:rPr>
        <w:t>we cannot get away from the fact that just by being there, even if we are not actively involved, we can affect</w:t>
      </w:r>
      <w:r w:rsidRPr="001273AD">
        <w:rPr>
          <w:rFonts w:ascii="Arial" w:hAnsi="Arial" w:cs="Arial"/>
        </w:rPr>
        <w:t>” what happened, and behaviour may have been “</w:t>
      </w:r>
      <w:r w:rsidRPr="001273AD">
        <w:rPr>
          <w:rFonts w:ascii="Arial" w:hAnsi="Arial" w:cs="Arial"/>
          <w:i/>
          <w:iCs/>
        </w:rPr>
        <w:t>situationally specific</w:t>
      </w:r>
      <w:r w:rsidRPr="001273AD">
        <w:rPr>
          <w:rFonts w:ascii="Arial" w:hAnsi="Arial" w:cs="Arial"/>
        </w:rPr>
        <w:t>” (Newby, 2014: p.385).</w:t>
      </w:r>
    </w:p>
    <w:p w14:paraId="52CA4ACF" w14:textId="77777777" w:rsidR="00AA5863" w:rsidRPr="00172717" w:rsidRDefault="00AA5863" w:rsidP="00AA5863">
      <w:pPr>
        <w:spacing w:line="360" w:lineRule="auto"/>
        <w:rPr>
          <w:rFonts w:ascii="Arial" w:hAnsi="Arial" w:cs="Arial"/>
        </w:rPr>
      </w:pPr>
      <w:r w:rsidRPr="001273AD">
        <w:rPr>
          <w:rFonts w:ascii="Arial" w:hAnsi="Arial" w:cs="Arial"/>
        </w:rPr>
        <w:t>Academics such as Frimpong (2018) and Hall (2017) have been known</w:t>
      </w:r>
      <w:r w:rsidRPr="00172717">
        <w:rPr>
          <w:rFonts w:ascii="Arial" w:hAnsi="Arial" w:cs="Arial"/>
        </w:rPr>
        <w:t xml:space="preserve"> to call the classroom environment the ‘third teacher’. As the two lessons took place in different classrooms, variations in wall displays and seating arrangements may have contributed to additional scaffolding being offered unintentionally. Numerous other factors that influence learning such as the time of day, surrounding peers, interest in the topic, and pupil wellbeing may also have played a part in the results. </w:t>
      </w:r>
    </w:p>
    <w:p w14:paraId="35A4B9C5" w14:textId="77777777" w:rsidR="00AA5863" w:rsidRPr="00172717" w:rsidRDefault="00AA5863" w:rsidP="00AA5863">
      <w:pPr>
        <w:spacing w:line="360" w:lineRule="auto"/>
        <w:rPr>
          <w:rFonts w:ascii="Arial" w:hAnsi="Arial" w:cs="Arial"/>
        </w:rPr>
      </w:pPr>
      <w:r w:rsidRPr="00172717">
        <w:rPr>
          <w:rFonts w:ascii="Arial" w:hAnsi="Arial" w:cs="Arial"/>
        </w:rPr>
        <w:t xml:space="preserve">It is difficult to generalise my findings as these limitations lead me to question my analysis. If I were to carry out the lesson study again, there are improvements I would make to the research design. Firstly, I would have more observers participate so that unconscious bias would be less of a factor. A second observer may also notice other things that one might miss whilst taking notes. Having a researcher who observed both lessons would further improve consistency. I would also attempt to complete the lesson study in one subject with the same pupils to limit any factors that may have changed between lessons apart from the intended amendments following the reflection of the previous lesson observation. Increasing the sample size or repeating the lesson study cycle would help the data become more reliable, as they may record a more accurate representation of the implication of the amendments to the lesson plan. </w:t>
      </w:r>
    </w:p>
    <w:p w14:paraId="0B779ADA" w14:textId="77777777" w:rsidR="00AA5863" w:rsidRPr="001E4841" w:rsidRDefault="00AA5863" w:rsidP="001E4841">
      <w:pPr>
        <w:pStyle w:val="AssignBody"/>
        <w:rPr>
          <w:b/>
          <w:bCs/>
          <w:i/>
          <w:iCs/>
          <w:sz w:val="28"/>
          <w:szCs w:val="28"/>
          <w:u w:val="single"/>
        </w:rPr>
      </w:pPr>
      <w:r w:rsidRPr="001E4841">
        <w:rPr>
          <w:b/>
          <w:bCs/>
          <w:i/>
          <w:iCs/>
          <w:sz w:val="28"/>
          <w:szCs w:val="28"/>
          <w:u w:val="single"/>
        </w:rPr>
        <w:t>Recommendations</w:t>
      </w:r>
    </w:p>
    <w:p w14:paraId="74A7FF28" w14:textId="77777777" w:rsidR="00B51C52" w:rsidRDefault="00B51C52" w:rsidP="001E4841">
      <w:pPr>
        <w:pStyle w:val="AssignBody"/>
      </w:pPr>
    </w:p>
    <w:p w14:paraId="7AB3832C" w14:textId="0C2C9A74" w:rsidR="00AB1A8D" w:rsidRPr="00A765A9" w:rsidRDefault="005E1CC5" w:rsidP="0067509E">
      <w:pPr>
        <w:pStyle w:val="AssignBody"/>
      </w:pPr>
      <w:r>
        <w:t>The findings</w:t>
      </w:r>
      <w:r w:rsidR="00B51C52" w:rsidRPr="00B51C52">
        <w:t xml:space="preserve">, as well as the limitations </w:t>
      </w:r>
      <w:r>
        <w:t>of the research</w:t>
      </w:r>
      <w:r w:rsidR="00B51C52" w:rsidRPr="00B51C52">
        <w:t>, point to several directions for future</w:t>
      </w:r>
      <w:r w:rsidR="0067509E">
        <w:t xml:space="preserve"> research on scaffolding.</w:t>
      </w:r>
      <w:r w:rsidR="00AB1A8D" w:rsidRPr="000C43D5">
        <w:t xml:space="preserve"> Little research has been published in recent years on the extent to which higher prior attaining pupils benefit from scaffolding when they are novices to a topic. </w:t>
      </w:r>
      <w:r w:rsidR="00AB1A8D" w:rsidRPr="000C43D5">
        <w:lastRenderedPageBreak/>
        <w:t>Similarly, it would be interesting to research to what extent peer support by higher prior</w:t>
      </w:r>
      <w:r w:rsidR="00886236" w:rsidRPr="000C43D5">
        <w:t xml:space="preserve"> attaining pupils </w:t>
      </w:r>
      <w:r w:rsidR="000C43D5" w:rsidRPr="000C43D5">
        <w:t>scaffolds the learning of lower</w:t>
      </w:r>
      <w:r w:rsidR="0089020F">
        <w:t xml:space="preserve"> </w:t>
      </w:r>
      <w:r w:rsidR="000C43D5" w:rsidRPr="000C43D5">
        <w:t>prior attaining pupils.</w:t>
      </w:r>
      <w:r w:rsidR="000C43D5">
        <w:t xml:space="preserve"> </w:t>
      </w:r>
    </w:p>
    <w:p w14:paraId="53BC2BE4" w14:textId="16B5FD8B" w:rsidR="00AB1A8D" w:rsidRPr="00A765A9" w:rsidRDefault="00AB1A8D" w:rsidP="001E4841">
      <w:pPr>
        <w:pStyle w:val="AssignBody"/>
      </w:pPr>
      <w:r w:rsidRPr="00A765A9">
        <w:t xml:space="preserve">Additionally, I would be interested in building on the work of </w:t>
      </w:r>
      <w:r w:rsidR="006424C3">
        <w:t>Fu et al. (</w:t>
      </w:r>
      <w:r w:rsidR="00014ACF">
        <w:t>2017</w:t>
      </w:r>
      <w:r w:rsidR="006424C3">
        <w:t xml:space="preserve">) and </w:t>
      </w:r>
      <w:r w:rsidRPr="00A765A9">
        <w:t>Dörnyei &amp; Murphey, (2003) who researched group dynamics in a language classroom. Comparing the attainment of pupils who take an active part in discussion tasks with those that do not is an avenue of relatively unexplored research, despite the “substantial body of knowledge which demonstrates the beneﬁts of social interaction for learning (Rasku-Puttonen et al., 2003, p. 378).</w:t>
      </w:r>
    </w:p>
    <w:p w14:paraId="16C75DF4" w14:textId="77777777" w:rsidR="00581D98" w:rsidRDefault="00AB1A8D" w:rsidP="001E4841">
      <w:pPr>
        <w:pStyle w:val="AssignBody"/>
      </w:pPr>
      <w:r w:rsidRPr="00A765A9">
        <w:t xml:space="preserve">In light of my research, I am inclined to recommend scaffolding tasks for all pupils throughout the duration of lessons when pupils are novices to the topic under consideration in line with the work of Prather et al. (2019) and Kirschner, Sweller and Clark (2006). All pupils struggled to achieve the success criteria of Lesson One until scaffolding was provided, as the task was one with which pupils were not extremely familiar. In contrast, pupils successfully achieved success criteria for a challenging task in Lesson 2, as scaffolding was provided by the teacher through increasing tasks in difficulty and independence.  </w:t>
      </w:r>
    </w:p>
    <w:p w14:paraId="3424B63E" w14:textId="03094C79" w:rsidR="00AB1A8D" w:rsidRPr="00A765A9" w:rsidRDefault="00AB1A8D" w:rsidP="001E4841">
      <w:pPr>
        <w:pStyle w:val="AssignBody"/>
      </w:pPr>
      <w:r w:rsidRPr="00A765A9">
        <w:t xml:space="preserve">Furthermore, I also intend to invite pupils for feedback more frequently. Teachers regularly ask for feedback throughout lessons to assess the understanding of pupils, however, it is less often that teachers ask pupils for feedback on how a lesson could have been taught. Discovering first-hand what pupils found beneficial in the lesson, and hearing suggestions of my research partner was enlightening during my teaching training experience, and an experience that I will continue to benefit from for years to come as a life-long learner. </w:t>
      </w:r>
    </w:p>
    <w:p w14:paraId="7F7048A7" w14:textId="77777777" w:rsidR="00AB1A8D" w:rsidRPr="00A765A9" w:rsidRDefault="00AB1A8D" w:rsidP="00AB1A8D">
      <w:pPr>
        <w:pStyle w:val="AssignBody"/>
        <w:rPr>
          <w:rFonts w:cs="Arial"/>
        </w:rPr>
      </w:pPr>
    </w:p>
    <w:p w14:paraId="11A03099" w14:textId="14A0F62A" w:rsidR="00AB1A8D" w:rsidRPr="00EC64DB" w:rsidRDefault="00AB1A8D" w:rsidP="00AB1A8D">
      <w:pPr>
        <w:pStyle w:val="AssignBody"/>
      </w:pPr>
      <w:r w:rsidRPr="00A765A9">
        <w:t xml:space="preserve">(Word Count: </w:t>
      </w:r>
      <w:r w:rsidR="0090038A">
        <w:t>5</w:t>
      </w:r>
      <w:r w:rsidR="00450970">
        <w:t>329</w:t>
      </w:r>
      <w:r w:rsidRPr="00A765A9">
        <w:t>)</w:t>
      </w:r>
    </w:p>
    <w:p w14:paraId="49750FDC" w14:textId="77777777" w:rsidR="00AB1A8D" w:rsidRPr="00EC64DB" w:rsidRDefault="00AB1A8D" w:rsidP="00AB1A8D">
      <w:pPr>
        <w:pStyle w:val="AssignBody"/>
      </w:pPr>
    </w:p>
    <w:p w14:paraId="2AEE4031" w14:textId="77777777" w:rsidR="00AB1A8D" w:rsidRPr="00EC64DB" w:rsidRDefault="00AB1A8D" w:rsidP="00AB1A8D">
      <w:pPr>
        <w:pStyle w:val="AssignBody"/>
      </w:pPr>
    </w:p>
    <w:p w14:paraId="11216667" w14:textId="77777777" w:rsidR="00AB1A8D" w:rsidRPr="00EC64DB" w:rsidRDefault="00AB1A8D" w:rsidP="00AB1A8D">
      <w:pPr>
        <w:spacing w:line="360" w:lineRule="auto"/>
      </w:pPr>
    </w:p>
    <w:p w14:paraId="179777A7" w14:textId="77777777" w:rsidR="00CD2747" w:rsidRDefault="00CD2747">
      <w:pPr>
        <w:rPr>
          <w:rFonts w:ascii="Arial" w:hAnsi="Arial" w:cs="Arial"/>
          <w:b/>
          <w:bCs/>
          <w:i/>
          <w:iCs/>
          <w:sz w:val="28"/>
          <w:szCs w:val="28"/>
          <w:u w:val="single"/>
        </w:rPr>
      </w:pPr>
      <w:r>
        <w:rPr>
          <w:rFonts w:ascii="Arial" w:hAnsi="Arial" w:cs="Arial"/>
          <w:b/>
          <w:bCs/>
          <w:i/>
          <w:iCs/>
          <w:sz w:val="28"/>
          <w:szCs w:val="28"/>
          <w:u w:val="single"/>
        </w:rPr>
        <w:br w:type="page"/>
      </w:r>
    </w:p>
    <w:p w14:paraId="69D963E7" w14:textId="7DB804A7" w:rsidR="0069632E" w:rsidRPr="0069632E" w:rsidRDefault="0069632E" w:rsidP="002E4ADD">
      <w:pPr>
        <w:spacing w:line="360" w:lineRule="auto"/>
        <w:rPr>
          <w:rFonts w:ascii="Arial" w:hAnsi="Arial" w:cs="Arial"/>
          <w:b/>
          <w:bCs/>
          <w:i/>
          <w:iCs/>
          <w:sz w:val="28"/>
          <w:szCs w:val="28"/>
          <w:u w:val="single"/>
        </w:rPr>
      </w:pPr>
      <w:r w:rsidRPr="0069632E">
        <w:rPr>
          <w:rFonts w:ascii="Arial" w:hAnsi="Arial" w:cs="Arial"/>
          <w:b/>
          <w:bCs/>
          <w:i/>
          <w:iCs/>
          <w:sz w:val="28"/>
          <w:szCs w:val="28"/>
          <w:u w:val="single"/>
        </w:rPr>
        <w:lastRenderedPageBreak/>
        <w:t>References</w:t>
      </w:r>
    </w:p>
    <w:p w14:paraId="630AEEA4" w14:textId="7A4234F6" w:rsidR="00BF0846" w:rsidRPr="0069632E" w:rsidRDefault="00BF0846" w:rsidP="00704E8B">
      <w:pPr>
        <w:spacing w:line="360" w:lineRule="auto"/>
        <w:rPr>
          <w:rFonts w:ascii="Arial" w:hAnsi="Arial" w:cs="Arial"/>
          <w:shd w:val="clear" w:color="auto" w:fill="FCFCFC"/>
        </w:rPr>
      </w:pPr>
    </w:p>
    <w:p w14:paraId="6F97197E" w14:textId="77777777" w:rsidR="003C531C" w:rsidRPr="007B6880" w:rsidRDefault="00BF0846" w:rsidP="00704E8B">
      <w:pPr>
        <w:spacing w:line="360" w:lineRule="auto"/>
        <w:rPr>
          <w:rFonts w:ascii="Arial" w:hAnsi="Arial" w:cs="Arial"/>
          <w:shd w:val="clear" w:color="auto" w:fill="FCFCFC"/>
        </w:rPr>
      </w:pPr>
      <w:r w:rsidRPr="0069632E">
        <w:rPr>
          <w:rFonts w:ascii="Arial" w:hAnsi="Arial" w:cs="Arial"/>
          <w:shd w:val="clear" w:color="auto" w:fill="FCFCFC"/>
        </w:rPr>
        <w:t xml:space="preserve">Al-Saadi, H. (2011) ‘From Spoon Feeding to Self-Feeding: Helping Learners Take Control of their Own Learning’, </w:t>
      </w:r>
      <w:r w:rsidRPr="0069632E">
        <w:rPr>
          <w:rFonts w:ascii="Arial" w:hAnsi="Arial" w:cs="Arial"/>
          <w:i/>
          <w:shd w:val="clear" w:color="auto" w:fill="FCFCFC"/>
        </w:rPr>
        <w:t xml:space="preserve">Arab World English </w:t>
      </w:r>
      <w:r w:rsidRPr="007B6880">
        <w:rPr>
          <w:rFonts w:ascii="Arial" w:hAnsi="Arial" w:cs="Arial"/>
          <w:i/>
          <w:shd w:val="clear" w:color="auto" w:fill="FCFCFC"/>
        </w:rPr>
        <w:t>Journal</w:t>
      </w:r>
      <w:r w:rsidRPr="007B6880">
        <w:rPr>
          <w:rFonts w:ascii="Arial" w:hAnsi="Arial" w:cs="Arial"/>
          <w:shd w:val="clear" w:color="auto" w:fill="FCFCFC"/>
        </w:rPr>
        <w:t>, 2(3) pp. 95-114.</w:t>
      </w:r>
    </w:p>
    <w:p w14:paraId="0175DB78" w14:textId="3B6D91DC" w:rsidR="003C531C" w:rsidRDefault="003C531C" w:rsidP="00704E8B">
      <w:pPr>
        <w:spacing w:line="360" w:lineRule="auto"/>
        <w:rPr>
          <w:rFonts w:ascii="Arial" w:hAnsi="Arial" w:cs="Arial"/>
          <w:shd w:val="clear" w:color="auto" w:fill="FCFCFC"/>
        </w:rPr>
      </w:pPr>
    </w:p>
    <w:p w14:paraId="758177A4" w14:textId="45B77334" w:rsidR="00BD34D3" w:rsidRPr="00B31E55" w:rsidRDefault="00BD34D3" w:rsidP="00704E8B">
      <w:pPr>
        <w:spacing w:line="360" w:lineRule="auto"/>
        <w:rPr>
          <w:rFonts w:ascii="Arial" w:hAnsi="Arial" w:cs="Arial"/>
          <w:i/>
          <w:iCs/>
          <w:shd w:val="clear" w:color="auto" w:fill="FCFCFC"/>
        </w:rPr>
      </w:pPr>
      <w:r w:rsidRPr="00B31E55">
        <w:rPr>
          <w:rFonts w:ascii="Arial" w:hAnsi="Arial" w:cs="Arial"/>
          <w:shd w:val="clear" w:color="auto" w:fill="FCFCFC"/>
        </w:rPr>
        <w:t>Angeli, C and Calanides, N. (</w:t>
      </w:r>
      <w:r w:rsidR="0096364A" w:rsidRPr="00B31E55">
        <w:rPr>
          <w:rFonts w:ascii="Arial" w:hAnsi="Arial" w:cs="Arial"/>
          <w:shd w:val="clear" w:color="auto" w:fill="FCFCFC"/>
        </w:rPr>
        <w:t>2014</w:t>
      </w:r>
      <w:r w:rsidRPr="00B31E55">
        <w:rPr>
          <w:rFonts w:ascii="Arial" w:hAnsi="Arial" w:cs="Arial"/>
          <w:shd w:val="clear" w:color="auto" w:fill="FCFCFC"/>
        </w:rPr>
        <w:t>)</w:t>
      </w:r>
      <w:r w:rsidR="0096364A" w:rsidRPr="00B31E55">
        <w:rPr>
          <w:rFonts w:ascii="Arial" w:hAnsi="Arial" w:cs="Arial"/>
          <w:shd w:val="clear" w:color="auto" w:fill="FCFCFC"/>
        </w:rPr>
        <w:t xml:space="preserve"> </w:t>
      </w:r>
      <w:r w:rsidR="00282EE7" w:rsidRPr="00B31E55">
        <w:rPr>
          <w:rFonts w:ascii="Arial" w:hAnsi="Arial" w:cs="Arial"/>
          <w:shd w:val="clear" w:color="auto" w:fill="FCFCFC"/>
        </w:rPr>
        <w:t>‘</w:t>
      </w:r>
      <w:r w:rsidR="00282EE7" w:rsidRPr="00B31E55">
        <w:rPr>
          <w:rFonts w:ascii="Arial" w:hAnsi="Arial" w:cs="Arial"/>
          <w:color w:val="333333"/>
          <w:shd w:val="clear" w:color="auto" w:fill="FFFFFF"/>
        </w:rPr>
        <w:t>The Effect of Electronic Scaffolding for Technology Integration on Perceived Task Effort and Confidence of Primary Student Teachers’</w:t>
      </w:r>
      <w:r w:rsidR="00461B50" w:rsidRPr="00B31E55">
        <w:rPr>
          <w:rFonts w:ascii="Arial" w:hAnsi="Arial" w:cs="Arial"/>
          <w:color w:val="333333"/>
          <w:shd w:val="clear" w:color="auto" w:fill="FFFFFF"/>
        </w:rPr>
        <w:t xml:space="preserve">, </w:t>
      </w:r>
      <w:r w:rsidR="00461B50" w:rsidRPr="00B31E55">
        <w:rPr>
          <w:rFonts w:ascii="Arial" w:hAnsi="Arial" w:cs="Arial"/>
          <w:i/>
          <w:iCs/>
          <w:color w:val="333333"/>
          <w:shd w:val="clear" w:color="auto" w:fill="FFFFFF"/>
        </w:rPr>
        <w:t xml:space="preserve">Journal of Research on Technology in Education, </w:t>
      </w:r>
      <w:r w:rsidR="00456D6C" w:rsidRPr="00B31E55">
        <w:rPr>
          <w:rFonts w:ascii="Arial" w:hAnsi="Arial" w:cs="Arial"/>
          <w:color w:val="333333"/>
          <w:shd w:val="clear" w:color="auto" w:fill="FFFFFF"/>
        </w:rPr>
        <w:t xml:space="preserve">37(1), pp. </w:t>
      </w:r>
      <w:r w:rsidR="007A04BB" w:rsidRPr="00B31E55">
        <w:rPr>
          <w:rFonts w:ascii="Arial" w:hAnsi="Arial" w:cs="Arial"/>
          <w:color w:val="333333"/>
          <w:shd w:val="clear" w:color="auto" w:fill="FFFFFF"/>
        </w:rPr>
        <w:t>29-43</w:t>
      </w:r>
      <w:r w:rsidR="0071650B">
        <w:rPr>
          <w:rFonts w:ascii="Arial" w:hAnsi="Arial" w:cs="Arial"/>
          <w:color w:val="333333"/>
          <w:shd w:val="clear" w:color="auto" w:fill="FFFFFF"/>
        </w:rPr>
        <w:br/>
      </w:r>
      <w:r w:rsidR="0071650B" w:rsidRPr="0071650B">
        <w:rPr>
          <w:rFonts w:ascii="Arial" w:hAnsi="Arial" w:cs="Arial"/>
          <w:shd w:val="clear" w:color="auto" w:fill="FCFCFC"/>
        </w:rPr>
        <w:t>https://doi.org/10.1080/15391523.2004.10782424</w:t>
      </w:r>
    </w:p>
    <w:p w14:paraId="431C9ADB" w14:textId="77777777" w:rsidR="00BD34D3" w:rsidRPr="007B6880" w:rsidRDefault="00BD34D3" w:rsidP="00704E8B">
      <w:pPr>
        <w:spacing w:line="360" w:lineRule="auto"/>
        <w:rPr>
          <w:rFonts w:ascii="Arial" w:hAnsi="Arial" w:cs="Arial"/>
          <w:shd w:val="clear" w:color="auto" w:fill="FCFCFC"/>
        </w:rPr>
      </w:pPr>
    </w:p>
    <w:p w14:paraId="21713082" w14:textId="77777777" w:rsidR="003C531C" w:rsidRPr="007B6880" w:rsidRDefault="003C531C" w:rsidP="00704E8B">
      <w:pPr>
        <w:spacing w:line="360" w:lineRule="auto"/>
        <w:rPr>
          <w:rFonts w:ascii="Arial" w:hAnsi="Arial" w:cs="Arial"/>
          <w:shd w:val="clear" w:color="auto" w:fill="FCFCFC"/>
        </w:rPr>
      </w:pPr>
      <w:r w:rsidRPr="007B6880">
        <w:rPr>
          <w:rFonts w:ascii="Arial" w:hAnsi="Arial" w:cs="Arial"/>
          <w:shd w:val="clear" w:color="auto" w:fill="FCFCFC"/>
        </w:rPr>
        <w:t xml:space="preserve">Badeau, R., White, D., Ibrahim, B., Ding, L. and Heckler, A. (2017) ‘What works with worked examples: Extending self-explanation and analiogical comparison to synthesis problems’, </w:t>
      </w:r>
      <w:r w:rsidRPr="007B6880">
        <w:rPr>
          <w:rFonts w:ascii="Arial" w:hAnsi="Arial" w:cs="Arial"/>
          <w:i/>
          <w:iCs/>
          <w:shd w:val="clear" w:color="auto" w:fill="FCFCFC"/>
        </w:rPr>
        <w:t xml:space="preserve">Physical Review Physics Education Research, </w:t>
      </w:r>
      <w:r w:rsidRPr="007B6880">
        <w:rPr>
          <w:rFonts w:ascii="Arial" w:hAnsi="Arial" w:cs="Arial"/>
          <w:shd w:val="clear" w:color="auto" w:fill="FCFCFC"/>
        </w:rPr>
        <w:t>13(2) pp. 1-27</w:t>
      </w:r>
      <w:r w:rsidRPr="007B6880">
        <w:rPr>
          <w:rFonts w:ascii="Arial" w:hAnsi="Arial" w:cs="Arial"/>
          <w:shd w:val="clear" w:color="auto" w:fill="FCFCFC"/>
        </w:rPr>
        <w:br/>
        <w:t>10.1103/PhysRevPhysEducRes.13.020112</w:t>
      </w:r>
    </w:p>
    <w:p w14:paraId="3571EA03" w14:textId="5DC5B71F" w:rsidR="00BF0846" w:rsidRPr="0069632E" w:rsidRDefault="00BF0846" w:rsidP="00704E8B">
      <w:pPr>
        <w:spacing w:line="360" w:lineRule="auto"/>
        <w:rPr>
          <w:rFonts w:ascii="Arial" w:hAnsi="Arial" w:cs="Arial"/>
          <w:shd w:val="clear" w:color="auto" w:fill="FCFCFC"/>
        </w:rPr>
      </w:pPr>
    </w:p>
    <w:p w14:paraId="763AE381" w14:textId="77777777" w:rsidR="00765587" w:rsidRPr="00F36CC4" w:rsidRDefault="00765587" w:rsidP="00704E8B">
      <w:pPr>
        <w:spacing w:line="360" w:lineRule="auto"/>
        <w:rPr>
          <w:rFonts w:ascii="Arial" w:hAnsi="Arial" w:cs="Arial"/>
        </w:rPr>
      </w:pPr>
      <w:r w:rsidRPr="0069632E">
        <w:rPr>
          <w:rFonts w:ascii="Arial" w:hAnsi="Arial" w:cs="Arial"/>
        </w:rPr>
        <w:t xml:space="preserve">Belland, B. (2017) </w:t>
      </w:r>
      <w:r w:rsidRPr="0069632E">
        <w:rPr>
          <w:rFonts w:ascii="Arial" w:hAnsi="Arial" w:cs="Arial"/>
          <w:i/>
          <w:iCs/>
        </w:rPr>
        <w:t xml:space="preserve">Instructional Scaffolding in STEM Education: Strategies and Efficiency </w:t>
      </w:r>
      <w:r w:rsidRPr="00F36CC4">
        <w:rPr>
          <w:rFonts w:ascii="Arial" w:hAnsi="Arial" w:cs="Arial"/>
          <w:i/>
          <w:iCs/>
        </w:rPr>
        <w:t>Evidence</w:t>
      </w:r>
      <w:r w:rsidRPr="00F36CC4">
        <w:rPr>
          <w:rFonts w:ascii="Arial" w:hAnsi="Arial" w:cs="Arial"/>
        </w:rPr>
        <w:t xml:space="preserve">. Switzerland: Springer International Publishing </w:t>
      </w:r>
    </w:p>
    <w:p w14:paraId="2F478B1F" w14:textId="4C88505C" w:rsidR="0069632E" w:rsidRDefault="0069632E" w:rsidP="00704E8B">
      <w:pPr>
        <w:spacing w:line="360" w:lineRule="auto"/>
        <w:rPr>
          <w:rStyle w:val="Hyperlink"/>
          <w:rFonts w:ascii="Arial" w:hAnsi="Arial" w:cs="Arial"/>
          <w:color w:val="auto"/>
        </w:rPr>
      </w:pPr>
    </w:p>
    <w:p w14:paraId="3CD6A65F" w14:textId="2330E334" w:rsidR="006A68FD" w:rsidRPr="001B6BCA" w:rsidRDefault="00EC1553" w:rsidP="00704E8B">
      <w:pPr>
        <w:spacing w:line="360" w:lineRule="auto"/>
        <w:rPr>
          <w:rStyle w:val="Hyperlink"/>
          <w:rFonts w:ascii="Arial" w:hAnsi="Arial" w:cs="Arial"/>
          <w:color w:val="auto"/>
          <w:u w:val="none"/>
        </w:rPr>
      </w:pPr>
      <w:r w:rsidRPr="00EC1553">
        <w:rPr>
          <w:rFonts w:ascii="Arial" w:hAnsi="Arial" w:cs="Arial"/>
        </w:rPr>
        <w:t xml:space="preserve">British Educational Research Association [BERA] (2018) </w:t>
      </w:r>
      <w:r w:rsidRPr="008E0ADD">
        <w:rPr>
          <w:rFonts w:ascii="Arial" w:hAnsi="Arial" w:cs="Arial"/>
          <w:i/>
          <w:iCs/>
        </w:rPr>
        <w:t>Ethical Guidelines for Educational Research</w:t>
      </w:r>
      <w:r w:rsidRPr="00EC1553">
        <w:rPr>
          <w:rFonts w:ascii="Arial" w:hAnsi="Arial" w:cs="Arial"/>
        </w:rPr>
        <w:t>, 4</w:t>
      </w:r>
      <w:r w:rsidRPr="00EC1553">
        <w:rPr>
          <w:rFonts w:ascii="Arial" w:hAnsi="Arial" w:cs="Arial"/>
          <w:vertAlign w:val="superscript"/>
        </w:rPr>
        <w:t>th</w:t>
      </w:r>
      <w:r w:rsidRPr="00EC1553">
        <w:rPr>
          <w:rFonts w:ascii="Arial" w:hAnsi="Arial" w:cs="Arial"/>
        </w:rPr>
        <w:t xml:space="preserve"> Ed: London</w:t>
      </w:r>
      <w:r w:rsidR="001B6BCA">
        <w:rPr>
          <w:rFonts w:ascii="Arial" w:hAnsi="Arial" w:cs="Arial"/>
        </w:rPr>
        <w:br/>
      </w:r>
    </w:p>
    <w:p w14:paraId="46F10744" w14:textId="77777777" w:rsidR="006A68FD" w:rsidRPr="00287C27" w:rsidRDefault="006A68FD" w:rsidP="00704E8B">
      <w:pPr>
        <w:spacing w:line="360" w:lineRule="auto"/>
        <w:rPr>
          <w:rFonts w:ascii="Arial" w:hAnsi="Arial" w:cs="Arial"/>
        </w:rPr>
      </w:pPr>
      <w:r w:rsidRPr="00287C27">
        <w:rPr>
          <w:rFonts w:ascii="Arial" w:hAnsi="Arial" w:cs="Arial"/>
        </w:rPr>
        <w:t xml:space="preserve">Chen, O. Kalyuga, S. and Sweller, J. (2016) ‘The Expertise Reversal Effect is a Variant of the More General Element Interactivity Effect’, </w:t>
      </w:r>
      <w:r w:rsidRPr="00287C27">
        <w:rPr>
          <w:rFonts w:ascii="Arial" w:hAnsi="Arial" w:cs="Arial"/>
          <w:i/>
          <w:iCs/>
        </w:rPr>
        <w:t>Educational Psychology Review</w:t>
      </w:r>
      <w:r w:rsidRPr="00287C27">
        <w:rPr>
          <w:rFonts w:ascii="Arial" w:hAnsi="Arial" w:cs="Arial"/>
        </w:rPr>
        <w:t>, 29, pp. 393-405</w:t>
      </w:r>
      <w:r w:rsidRPr="00287C27">
        <w:rPr>
          <w:rFonts w:ascii="Arial" w:hAnsi="Arial" w:cs="Arial"/>
        </w:rPr>
        <w:br/>
        <w:t>https://doi.org/10.1007/s10648-016-9359-1</w:t>
      </w:r>
    </w:p>
    <w:p w14:paraId="0DDBDE6F" w14:textId="4ACEE3D0" w:rsidR="006A68FD" w:rsidRPr="00287C27" w:rsidRDefault="006A68FD" w:rsidP="00704E8B">
      <w:pPr>
        <w:spacing w:line="360" w:lineRule="auto"/>
        <w:rPr>
          <w:rStyle w:val="Hyperlink"/>
          <w:rFonts w:ascii="Arial" w:hAnsi="Arial" w:cs="Arial"/>
          <w:color w:val="auto"/>
        </w:rPr>
      </w:pPr>
    </w:p>
    <w:p w14:paraId="5C353230" w14:textId="77777777" w:rsidR="000E66DD" w:rsidRPr="00287C27" w:rsidRDefault="000E66DD" w:rsidP="00704E8B">
      <w:pPr>
        <w:spacing w:line="360" w:lineRule="auto"/>
        <w:rPr>
          <w:rFonts w:ascii="Arial" w:hAnsi="Arial" w:cs="Arial"/>
        </w:rPr>
      </w:pPr>
      <w:r w:rsidRPr="00287C27">
        <w:rPr>
          <w:rFonts w:ascii="Arial" w:hAnsi="Arial" w:cs="Arial"/>
        </w:rPr>
        <w:t xml:space="preserve">Chernova, N. &amp; Mustafina, J. (2016) ‘Instructional conversation as a socially-constructed cognitive tool serves second language learning by mediating its own construction, and the construction of knowledge about itself’, </w:t>
      </w:r>
      <w:r w:rsidRPr="00287C27">
        <w:rPr>
          <w:rFonts w:ascii="Arial" w:hAnsi="Arial" w:cs="Arial"/>
          <w:i/>
          <w:iCs/>
        </w:rPr>
        <w:t xml:space="preserve">The Turkish Online Journal of Design, Art and Communication, </w:t>
      </w:r>
      <w:r w:rsidRPr="00287C27">
        <w:rPr>
          <w:rFonts w:ascii="Arial" w:hAnsi="Arial" w:cs="Arial"/>
        </w:rPr>
        <w:t>1, pp. 3114-3117</w:t>
      </w:r>
      <w:r w:rsidRPr="00287C27">
        <w:rPr>
          <w:rFonts w:ascii="Arial" w:hAnsi="Arial" w:cs="Arial"/>
        </w:rPr>
        <w:br/>
        <w:t xml:space="preserve">DOI NO: 10.7456/1060NVSE/130 </w:t>
      </w:r>
    </w:p>
    <w:p w14:paraId="794EE29A" w14:textId="6F72A7E5" w:rsidR="009461C9" w:rsidRPr="007D7297" w:rsidRDefault="009461C9" w:rsidP="00704E8B">
      <w:pPr>
        <w:spacing w:line="360" w:lineRule="auto"/>
        <w:rPr>
          <w:rFonts w:ascii="Arial" w:hAnsi="Arial" w:cs="Arial"/>
        </w:rPr>
      </w:pPr>
      <w:r w:rsidRPr="009461C9">
        <w:rPr>
          <w:rFonts w:ascii="Arial" w:hAnsi="Arial" w:cs="Arial"/>
        </w:rPr>
        <w:lastRenderedPageBreak/>
        <w:t xml:space="preserve">Cohen, L., Manion, L. and Morrison, K. (2007) </w:t>
      </w:r>
      <w:r w:rsidRPr="009461C9">
        <w:rPr>
          <w:rFonts w:ascii="Arial" w:hAnsi="Arial" w:cs="Arial"/>
          <w:i/>
          <w:iCs/>
        </w:rPr>
        <w:t xml:space="preserve">Research Methods in Education, </w:t>
      </w:r>
      <w:r w:rsidRPr="009461C9">
        <w:rPr>
          <w:rFonts w:ascii="Arial" w:hAnsi="Arial" w:cs="Arial"/>
        </w:rPr>
        <w:t>6</w:t>
      </w:r>
      <w:r w:rsidRPr="009461C9">
        <w:rPr>
          <w:rFonts w:ascii="Arial" w:hAnsi="Arial" w:cs="Arial"/>
          <w:vertAlign w:val="superscript"/>
        </w:rPr>
        <w:t>th</w:t>
      </w:r>
      <w:r w:rsidRPr="009461C9">
        <w:rPr>
          <w:rFonts w:ascii="Arial" w:hAnsi="Arial" w:cs="Arial"/>
        </w:rPr>
        <w:t xml:space="preserve"> Ed. London: </w:t>
      </w:r>
      <w:r w:rsidRPr="007D7297">
        <w:rPr>
          <w:rFonts w:ascii="Arial" w:hAnsi="Arial" w:cs="Arial"/>
        </w:rPr>
        <w:t>Routledge Publishing</w:t>
      </w:r>
    </w:p>
    <w:p w14:paraId="1C9FEC49" w14:textId="3E387C2B" w:rsidR="001B6AAF" w:rsidRPr="007D7297" w:rsidRDefault="001B6AAF" w:rsidP="00704E8B">
      <w:pPr>
        <w:spacing w:line="360" w:lineRule="auto"/>
        <w:rPr>
          <w:rFonts w:ascii="Arial" w:hAnsi="Arial" w:cs="Arial"/>
        </w:rPr>
      </w:pPr>
    </w:p>
    <w:p w14:paraId="3076CB16" w14:textId="4E7E5F83" w:rsidR="00F14909" w:rsidRPr="007D7297" w:rsidRDefault="00914F1D" w:rsidP="00F14909">
      <w:pPr>
        <w:spacing w:line="360" w:lineRule="auto"/>
        <w:rPr>
          <w:rFonts w:ascii="Arial" w:hAnsi="Arial" w:cs="Arial"/>
        </w:rPr>
      </w:pPr>
      <w:r w:rsidRPr="007D7297">
        <w:rPr>
          <w:rFonts w:ascii="Arial" w:hAnsi="Arial" w:cs="Arial"/>
        </w:rPr>
        <w:t xml:space="preserve">Daniels, A. () 2019) </w:t>
      </w:r>
      <w:r w:rsidR="006D32A2" w:rsidRPr="007D7297">
        <w:rPr>
          <w:rFonts w:ascii="Arial" w:hAnsi="Arial" w:cs="Arial"/>
        </w:rPr>
        <w:t xml:space="preserve">‘In the Classroom: Getting Scaffolding Right’, </w:t>
      </w:r>
      <w:r w:rsidR="00FC67FF" w:rsidRPr="007D7297">
        <w:rPr>
          <w:rFonts w:ascii="Arial" w:hAnsi="Arial" w:cs="Arial"/>
        </w:rPr>
        <w:t>Available at: http://www.sec-ed.co.uk/best-practice/in-the-classroom-getting-scaffolding-right/ [Accessed 20.02.2020]</w:t>
      </w:r>
    </w:p>
    <w:p w14:paraId="18005AAF" w14:textId="77777777" w:rsidR="001B6AAF" w:rsidRPr="007D7297" w:rsidRDefault="001B6AAF" w:rsidP="00704E8B">
      <w:pPr>
        <w:spacing w:line="360" w:lineRule="auto"/>
        <w:rPr>
          <w:rFonts w:ascii="Arial" w:hAnsi="Arial" w:cs="Arial"/>
        </w:rPr>
      </w:pPr>
    </w:p>
    <w:p w14:paraId="0A266BCC" w14:textId="77777777" w:rsidR="00F1609D" w:rsidRPr="00383D17" w:rsidRDefault="00F1609D" w:rsidP="00704E8B">
      <w:pPr>
        <w:spacing w:line="360" w:lineRule="auto"/>
        <w:rPr>
          <w:rFonts w:ascii="Arial" w:hAnsi="Arial" w:cs="Arial"/>
        </w:rPr>
      </w:pPr>
      <w:r w:rsidRPr="00383D17">
        <w:rPr>
          <w:rFonts w:ascii="Arial" w:hAnsi="Arial" w:cs="Arial"/>
        </w:rPr>
        <w:t xml:space="preserve">Day, S. and Goldstone, R. (2012) ‘The Import of Knowledge Export: Connecting Findings and Theories of Transfer of Learning’, </w:t>
      </w:r>
      <w:r w:rsidRPr="00383D17">
        <w:rPr>
          <w:rFonts w:ascii="Arial" w:hAnsi="Arial" w:cs="Arial"/>
          <w:i/>
        </w:rPr>
        <w:t>Educational Psychologist</w:t>
      </w:r>
      <w:r w:rsidRPr="00383D17">
        <w:rPr>
          <w:rFonts w:ascii="Arial" w:hAnsi="Arial" w:cs="Arial"/>
        </w:rPr>
        <w:t>. 47(3), pp.153–176</w:t>
      </w:r>
      <w:r w:rsidRPr="00383D17">
        <w:rPr>
          <w:rFonts w:ascii="Arial" w:hAnsi="Arial" w:cs="Arial"/>
        </w:rPr>
        <w:br/>
        <w:t>https://doi.org/10.1080/00461520.2012.696438</w:t>
      </w:r>
    </w:p>
    <w:p w14:paraId="11B80F5B" w14:textId="77777777" w:rsidR="00F1609D" w:rsidRDefault="00F1609D" w:rsidP="00704E8B">
      <w:pPr>
        <w:spacing w:line="360" w:lineRule="auto"/>
        <w:rPr>
          <w:rStyle w:val="Hyperlink"/>
          <w:rFonts w:ascii="Arial" w:hAnsi="Arial" w:cs="Arial"/>
          <w:color w:val="auto"/>
        </w:rPr>
      </w:pPr>
    </w:p>
    <w:p w14:paraId="131EE5E7" w14:textId="7AF8F723" w:rsidR="00FB2551" w:rsidRDefault="00FB2551" w:rsidP="00704E8B">
      <w:pPr>
        <w:spacing w:line="360" w:lineRule="auto"/>
        <w:rPr>
          <w:rStyle w:val="Hyperlink"/>
          <w:rFonts w:ascii="Arial" w:hAnsi="Arial" w:cs="Arial"/>
          <w:color w:val="auto"/>
        </w:rPr>
      </w:pPr>
      <w:r w:rsidRPr="0069632E">
        <w:rPr>
          <w:rFonts w:ascii="Arial" w:hAnsi="Arial" w:cs="Arial"/>
          <w:shd w:val="clear" w:color="auto" w:fill="FCFCFC"/>
        </w:rPr>
        <w:t xml:space="preserve">Dehler, G. and Welsh, M. (2014) ‘Against spoon-feeding for learning. Reflections on students’ claims to knowledge’, </w:t>
      </w:r>
      <w:r w:rsidRPr="0069632E">
        <w:rPr>
          <w:rFonts w:ascii="Arial" w:hAnsi="Arial" w:cs="Arial"/>
          <w:i/>
          <w:shd w:val="clear" w:color="auto" w:fill="FCFCFC"/>
        </w:rPr>
        <w:t>Journal of Management Education.</w:t>
      </w:r>
      <w:r w:rsidRPr="0069632E">
        <w:rPr>
          <w:rFonts w:ascii="Arial" w:hAnsi="Arial" w:cs="Arial"/>
          <w:shd w:val="clear" w:color="auto" w:fill="FCFCFC"/>
        </w:rPr>
        <w:t xml:space="preserve"> 38(6) pp. 875 –893</w:t>
      </w:r>
      <w:r w:rsidRPr="0069632E">
        <w:rPr>
          <w:rFonts w:ascii="Arial" w:hAnsi="Arial" w:cs="Arial"/>
          <w:shd w:val="clear" w:color="auto" w:fill="FCFCFC"/>
        </w:rPr>
        <w:br/>
      </w:r>
      <w:r w:rsidRPr="0069632E">
        <w:rPr>
          <w:rFonts w:ascii="Arial" w:hAnsi="Arial" w:cs="Arial"/>
        </w:rPr>
        <w:t>https://doi.org/10.1177/1052562913511436</w:t>
      </w:r>
    </w:p>
    <w:p w14:paraId="58A18C49" w14:textId="488FB75E" w:rsidR="009B45C2" w:rsidRDefault="009B45C2" w:rsidP="00704E8B">
      <w:pPr>
        <w:spacing w:line="360" w:lineRule="auto"/>
        <w:rPr>
          <w:rStyle w:val="Hyperlink"/>
          <w:rFonts w:ascii="Arial" w:hAnsi="Arial" w:cs="Arial"/>
          <w:color w:val="auto"/>
        </w:rPr>
      </w:pPr>
    </w:p>
    <w:p w14:paraId="0F83FC4B" w14:textId="149D3CD4" w:rsidR="009B45C2" w:rsidRDefault="009B45C2" w:rsidP="00704E8B">
      <w:pPr>
        <w:spacing w:line="360" w:lineRule="auto"/>
        <w:rPr>
          <w:rFonts w:ascii="Arial" w:hAnsi="Arial" w:cs="Arial"/>
        </w:rPr>
      </w:pPr>
      <w:r w:rsidRPr="00B95A36">
        <w:rPr>
          <w:rFonts w:ascii="Arial" w:hAnsi="Arial" w:cs="Arial"/>
        </w:rPr>
        <w:t xml:space="preserve">Didau, D. (2014) </w:t>
      </w:r>
      <w:r w:rsidRPr="00B95A36">
        <w:rPr>
          <w:rFonts w:ascii="Arial" w:hAnsi="Arial" w:cs="Arial"/>
          <w:i/>
          <w:iCs/>
        </w:rPr>
        <w:t>The Secret Literacy: Making the implicit explicit.</w:t>
      </w:r>
      <w:r w:rsidRPr="00B95A36">
        <w:rPr>
          <w:rFonts w:ascii="Arial" w:hAnsi="Arial" w:cs="Arial"/>
        </w:rPr>
        <w:t xml:space="preserve"> Carmarthen: Independent Thinking Press</w:t>
      </w:r>
    </w:p>
    <w:p w14:paraId="6F335306" w14:textId="77777777" w:rsidR="0067090A" w:rsidRDefault="0067090A" w:rsidP="00704E8B">
      <w:pPr>
        <w:spacing w:line="360" w:lineRule="auto"/>
        <w:rPr>
          <w:rFonts w:ascii="Arial" w:hAnsi="Arial" w:cs="Arial"/>
        </w:rPr>
      </w:pPr>
    </w:p>
    <w:p w14:paraId="3F6AE2F7" w14:textId="2727A42B" w:rsidR="00954BB3" w:rsidRPr="00812538" w:rsidRDefault="0067090A" w:rsidP="00704E8B">
      <w:pPr>
        <w:spacing w:line="360" w:lineRule="auto"/>
        <w:rPr>
          <w:rFonts w:ascii="Arial" w:hAnsi="Arial" w:cs="Arial"/>
        </w:rPr>
      </w:pPr>
      <w:r w:rsidRPr="0067090A">
        <w:rPr>
          <w:rFonts w:ascii="Arial" w:hAnsi="Arial" w:cs="Arial"/>
        </w:rPr>
        <w:t>Dörnyei</w:t>
      </w:r>
      <w:r>
        <w:rPr>
          <w:rFonts w:ascii="Arial" w:hAnsi="Arial" w:cs="Arial"/>
        </w:rPr>
        <w:t>, Z. and M</w:t>
      </w:r>
      <w:r w:rsidRPr="0067090A">
        <w:rPr>
          <w:rFonts w:ascii="Arial" w:hAnsi="Arial" w:cs="Arial"/>
        </w:rPr>
        <w:t>urphey,</w:t>
      </w:r>
      <w:r>
        <w:rPr>
          <w:rFonts w:ascii="Arial" w:hAnsi="Arial" w:cs="Arial"/>
        </w:rPr>
        <w:t xml:space="preserve"> T.</w:t>
      </w:r>
      <w:r w:rsidRPr="0067090A">
        <w:rPr>
          <w:rFonts w:ascii="Arial" w:hAnsi="Arial" w:cs="Arial"/>
        </w:rPr>
        <w:t xml:space="preserve"> </w:t>
      </w:r>
      <w:r>
        <w:rPr>
          <w:rFonts w:ascii="Arial" w:hAnsi="Arial" w:cs="Arial"/>
        </w:rPr>
        <w:t>(</w:t>
      </w:r>
      <w:r w:rsidRPr="0067090A">
        <w:rPr>
          <w:rFonts w:ascii="Arial" w:hAnsi="Arial" w:cs="Arial"/>
        </w:rPr>
        <w:t>2003</w:t>
      </w:r>
      <w:r>
        <w:rPr>
          <w:rFonts w:ascii="Arial" w:hAnsi="Arial" w:cs="Arial"/>
        </w:rPr>
        <w:t xml:space="preserve">) </w:t>
      </w:r>
      <w:r>
        <w:rPr>
          <w:rFonts w:ascii="Arial" w:hAnsi="Arial" w:cs="Arial"/>
          <w:i/>
          <w:iCs/>
        </w:rPr>
        <w:t xml:space="preserve">Group Dynamics in a Language Classroom, </w:t>
      </w:r>
      <w:r w:rsidR="00C63BE7">
        <w:rPr>
          <w:rFonts w:ascii="Arial" w:hAnsi="Arial" w:cs="Arial"/>
        </w:rPr>
        <w:t xml:space="preserve">Cambridge: </w:t>
      </w:r>
      <w:r w:rsidR="00812538">
        <w:rPr>
          <w:rFonts w:ascii="Arial" w:hAnsi="Arial" w:cs="Arial"/>
        </w:rPr>
        <w:t>Cambridge University Press</w:t>
      </w:r>
    </w:p>
    <w:p w14:paraId="4EC27206" w14:textId="77777777" w:rsidR="0067090A" w:rsidRPr="0067090A" w:rsidRDefault="0067090A" w:rsidP="00704E8B">
      <w:pPr>
        <w:spacing w:line="360" w:lineRule="auto"/>
        <w:rPr>
          <w:rFonts w:ascii="Arial" w:hAnsi="Arial" w:cs="Arial"/>
          <w:i/>
          <w:iCs/>
        </w:rPr>
      </w:pPr>
    </w:p>
    <w:p w14:paraId="60090805" w14:textId="010C420B" w:rsidR="00DB7756" w:rsidRDefault="00954BB3" w:rsidP="00704E8B">
      <w:pPr>
        <w:spacing w:line="360" w:lineRule="auto"/>
        <w:rPr>
          <w:rStyle w:val="Hyperlink"/>
          <w:rFonts w:ascii="Arial" w:hAnsi="Arial" w:cs="Arial"/>
          <w:color w:val="auto"/>
          <w:u w:val="none"/>
          <w:shd w:val="clear" w:color="auto" w:fill="FCFCFC"/>
        </w:rPr>
      </w:pPr>
      <w:r w:rsidRPr="00954BB3">
        <w:rPr>
          <w:rFonts w:ascii="Arial" w:hAnsi="Arial" w:cs="Arial"/>
          <w:shd w:val="clear" w:color="auto" w:fill="FCFCFC"/>
        </w:rPr>
        <w:t xml:space="preserve">Dudley, P. (2011), </w:t>
      </w:r>
      <w:r w:rsidRPr="00954BB3">
        <w:rPr>
          <w:rFonts w:ascii="Arial" w:hAnsi="Arial" w:cs="Arial"/>
          <w:i/>
          <w:iCs/>
          <w:shd w:val="clear" w:color="auto" w:fill="FCFCFC"/>
        </w:rPr>
        <w:t>Lesson Study Handbook</w:t>
      </w:r>
      <w:r w:rsidRPr="00954BB3">
        <w:rPr>
          <w:rFonts w:ascii="Arial" w:hAnsi="Arial" w:cs="Arial"/>
          <w:shd w:val="clear" w:color="auto" w:fill="FCFCFC"/>
        </w:rPr>
        <w:t xml:space="preserve">, available at: http://lessonstudy.co.uk/wp-content/uploads/ 2012/03/Lesson_Study_Handbook_-_011011-1.pdf </w:t>
      </w:r>
      <w:r w:rsidRPr="00954BB3">
        <w:rPr>
          <w:rStyle w:val="Hyperlink"/>
          <w:rFonts w:ascii="Arial" w:hAnsi="Arial" w:cs="Arial"/>
          <w:color w:val="auto"/>
          <w:u w:val="none"/>
          <w:shd w:val="clear" w:color="auto" w:fill="FCFCFC"/>
        </w:rPr>
        <w:t>[Accessed on 15 January 2020]</w:t>
      </w:r>
    </w:p>
    <w:p w14:paraId="464BE1E5" w14:textId="77777777" w:rsidR="00DB7756" w:rsidRPr="00DB7756" w:rsidRDefault="00DB7756" w:rsidP="00704E8B">
      <w:pPr>
        <w:spacing w:line="360" w:lineRule="auto"/>
        <w:rPr>
          <w:rFonts w:ascii="Arial" w:hAnsi="Arial" w:cs="Arial"/>
        </w:rPr>
      </w:pPr>
    </w:p>
    <w:p w14:paraId="6825E003" w14:textId="77777777" w:rsidR="00DB7756" w:rsidRPr="00DB7756" w:rsidRDefault="00DB7756" w:rsidP="00704E8B">
      <w:pPr>
        <w:spacing w:line="360" w:lineRule="auto"/>
        <w:rPr>
          <w:rFonts w:ascii="Arial" w:hAnsi="Arial" w:cs="Arial"/>
          <w:shd w:val="clear" w:color="auto" w:fill="FCFCFC"/>
        </w:rPr>
      </w:pPr>
      <w:r w:rsidRPr="00DB7756">
        <w:rPr>
          <w:rFonts w:ascii="Arial" w:hAnsi="Arial" w:cs="Arial"/>
          <w:shd w:val="clear" w:color="auto" w:fill="FFFFFF"/>
        </w:rPr>
        <w:t xml:space="preserve">Festinger, L., and Carlsmith, J. (1959) ‘Cognitive consequences of forced compliance’, </w:t>
      </w:r>
      <w:r w:rsidRPr="00DB7756">
        <w:rPr>
          <w:rStyle w:val="Emphasis"/>
          <w:rFonts w:ascii="Arial" w:hAnsi="Arial" w:cs="Arial"/>
        </w:rPr>
        <w:t xml:space="preserve">The Journal of Abnormal and Social Psychology, </w:t>
      </w:r>
      <w:r w:rsidRPr="00DB7756">
        <w:rPr>
          <w:rStyle w:val="Emphasis"/>
          <w:rFonts w:ascii="Arial" w:hAnsi="Arial" w:cs="Arial"/>
          <w:i w:val="0"/>
        </w:rPr>
        <w:t>58</w:t>
      </w:r>
      <w:r w:rsidRPr="00DB7756">
        <w:rPr>
          <w:rFonts w:ascii="Arial" w:hAnsi="Arial" w:cs="Arial"/>
          <w:shd w:val="clear" w:color="auto" w:fill="FFFFFF"/>
        </w:rPr>
        <w:t xml:space="preserve">(2), pp. 203–210. </w:t>
      </w:r>
      <w:r w:rsidRPr="00DB7756">
        <w:rPr>
          <w:rFonts w:ascii="Arial" w:hAnsi="Arial" w:cs="Arial"/>
          <w:shd w:val="clear" w:color="auto" w:fill="FFFFFF"/>
        </w:rPr>
        <w:br/>
      </w:r>
      <w:r w:rsidRPr="00DB7756">
        <w:rPr>
          <w:rFonts w:ascii="Arial" w:hAnsi="Arial" w:cs="Arial"/>
        </w:rPr>
        <w:t>https://doi.org/10.1037/h0041593</w:t>
      </w:r>
    </w:p>
    <w:p w14:paraId="4C7A6BBC" w14:textId="495DAD24" w:rsidR="009B45C2" w:rsidRDefault="009B45C2" w:rsidP="00704E8B">
      <w:pPr>
        <w:spacing w:line="360" w:lineRule="auto"/>
        <w:rPr>
          <w:rStyle w:val="Hyperlink"/>
          <w:rFonts w:ascii="Arial" w:hAnsi="Arial" w:cs="Arial"/>
          <w:color w:val="auto"/>
        </w:rPr>
      </w:pPr>
    </w:p>
    <w:p w14:paraId="7B19B1C0" w14:textId="77777777" w:rsidR="00827AEF" w:rsidRPr="003D70B3" w:rsidRDefault="00827AEF" w:rsidP="00704E8B">
      <w:pPr>
        <w:spacing w:line="360" w:lineRule="auto"/>
        <w:rPr>
          <w:rFonts w:ascii="Arial" w:hAnsi="Arial" w:cs="Arial"/>
        </w:rPr>
      </w:pPr>
      <w:r w:rsidRPr="00827AEF">
        <w:rPr>
          <w:rFonts w:ascii="Arial" w:hAnsi="Arial" w:cs="Arial"/>
        </w:rPr>
        <w:lastRenderedPageBreak/>
        <w:t xml:space="preserve">Fiechter, J and Benjamin, A. (2018) ‘Diminishing-cues retrieval practive: A memory-enhancing technique that works when regular testing doesn’t’, </w:t>
      </w:r>
      <w:r w:rsidRPr="00827AEF">
        <w:rPr>
          <w:rFonts w:ascii="Arial" w:hAnsi="Arial" w:cs="Arial"/>
          <w:i/>
          <w:iCs/>
        </w:rPr>
        <w:t>Psychonomic Bulletin &amp; Review,</w:t>
      </w:r>
      <w:r w:rsidRPr="00827AEF">
        <w:rPr>
          <w:rStyle w:val="u-visually-hidden"/>
          <w:rFonts w:ascii="Arial" w:hAnsi="Arial" w:cs="Arial"/>
          <w:b/>
          <w:bCs/>
          <w:bdr w:val="none" w:sz="0" w:space="0" w:color="auto" w:frame="1"/>
        </w:rPr>
        <w:t xml:space="preserve"> </w:t>
      </w:r>
      <w:r w:rsidRPr="00827AEF">
        <w:rPr>
          <w:rFonts w:ascii="Arial" w:hAnsi="Arial" w:cs="Arial"/>
        </w:rPr>
        <w:t>25, </w:t>
      </w:r>
      <w:r w:rsidRPr="00827AEF">
        <w:rPr>
          <w:rStyle w:val="u-visually-hidden"/>
          <w:rFonts w:ascii="Arial" w:hAnsi="Arial" w:cs="Arial"/>
          <w:bdr w:val="none" w:sz="0" w:space="0" w:color="auto" w:frame="1"/>
        </w:rPr>
        <w:t xml:space="preserve">pp. </w:t>
      </w:r>
      <w:r w:rsidRPr="003D70B3">
        <w:rPr>
          <w:rFonts w:ascii="Arial" w:hAnsi="Arial" w:cs="Arial"/>
        </w:rPr>
        <w:t>1868–1876</w:t>
      </w:r>
      <w:r w:rsidRPr="003D70B3">
        <w:rPr>
          <w:rFonts w:ascii="Arial" w:hAnsi="Arial" w:cs="Arial"/>
        </w:rPr>
        <w:br/>
        <w:t>DOI 10.3758/s13423-017-1366-9</w:t>
      </w:r>
    </w:p>
    <w:p w14:paraId="29C80FFA" w14:textId="48E22192" w:rsidR="00827AEF" w:rsidRPr="003D70B3" w:rsidRDefault="00827AEF" w:rsidP="00704E8B">
      <w:pPr>
        <w:spacing w:line="360" w:lineRule="auto"/>
        <w:rPr>
          <w:rStyle w:val="Hyperlink"/>
          <w:rFonts w:ascii="Arial" w:hAnsi="Arial" w:cs="Arial"/>
          <w:color w:val="auto"/>
        </w:rPr>
      </w:pPr>
    </w:p>
    <w:p w14:paraId="6C170477" w14:textId="30FA346B" w:rsidR="00434A4F" w:rsidRPr="003D70B3" w:rsidRDefault="00434A4F" w:rsidP="00704E8B">
      <w:pPr>
        <w:pStyle w:val="dx-doi"/>
        <w:spacing w:before="0" w:beforeAutospacing="0" w:after="0" w:afterAutospacing="0" w:line="360" w:lineRule="auto"/>
        <w:rPr>
          <w:rFonts w:ascii="Arial" w:hAnsi="Arial" w:cs="Arial"/>
          <w:sz w:val="22"/>
          <w:szCs w:val="22"/>
        </w:rPr>
      </w:pPr>
      <w:r w:rsidRPr="003D70B3">
        <w:rPr>
          <w:rFonts w:ascii="Arial" w:hAnsi="Arial" w:cs="Arial"/>
          <w:sz w:val="22"/>
          <w:szCs w:val="22"/>
        </w:rPr>
        <w:t xml:space="preserve">Fisher, D., Frey, N., and Lapp, D. (2011) ‘Coaching middle-level teachers to think aloud improves comprehension instruction and student reading achievement’. </w:t>
      </w:r>
      <w:r w:rsidRPr="003D70B3">
        <w:rPr>
          <w:rFonts w:ascii="Arial" w:hAnsi="Arial" w:cs="Arial"/>
          <w:i/>
          <w:sz w:val="22"/>
          <w:szCs w:val="22"/>
        </w:rPr>
        <w:t>The Teacher Educator</w:t>
      </w:r>
      <w:r w:rsidRPr="003D70B3">
        <w:rPr>
          <w:rFonts w:ascii="Arial" w:hAnsi="Arial" w:cs="Arial"/>
          <w:sz w:val="22"/>
          <w:szCs w:val="22"/>
        </w:rPr>
        <w:t>, 46(3), pp. 231-243.</w:t>
      </w:r>
      <w:r w:rsidRPr="003D70B3">
        <w:rPr>
          <w:rFonts w:ascii="Arial" w:hAnsi="Arial" w:cs="Arial"/>
          <w:sz w:val="22"/>
          <w:szCs w:val="22"/>
        </w:rPr>
        <w:br/>
        <w:t xml:space="preserve">https://doi.org/10.1080/08878730.2011.580043 </w:t>
      </w:r>
      <w:r w:rsidR="001B6BCA">
        <w:rPr>
          <w:rFonts w:ascii="Arial" w:hAnsi="Arial" w:cs="Arial"/>
          <w:sz w:val="22"/>
          <w:szCs w:val="22"/>
        </w:rPr>
        <w:br/>
      </w:r>
    </w:p>
    <w:p w14:paraId="262ECA63" w14:textId="5506AAF4" w:rsidR="00434A4F" w:rsidRPr="00813CCE" w:rsidRDefault="00A806BD" w:rsidP="00704E8B">
      <w:pPr>
        <w:spacing w:line="360" w:lineRule="auto"/>
        <w:rPr>
          <w:rStyle w:val="Hyperlink"/>
          <w:rFonts w:ascii="Arial" w:hAnsi="Arial" w:cs="Arial"/>
          <w:i/>
          <w:iCs/>
          <w:color w:val="auto"/>
          <w:u w:val="none"/>
        </w:rPr>
      </w:pPr>
      <w:r>
        <w:rPr>
          <w:rStyle w:val="Hyperlink"/>
          <w:rFonts w:ascii="Arial" w:hAnsi="Arial" w:cs="Arial"/>
          <w:color w:val="auto"/>
          <w:u w:val="none"/>
        </w:rPr>
        <w:t>Francis</w:t>
      </w:r>
      <w:r w:rsidR="00427EF0">
        <w:rPr>
          <w:rStyle w:val="Hyperlink"/>
          <w:rFonts w:ascii="Arial" w:hAnsi="Arial" w:cs="Arial"/>
          <w:color w:val="auto"/>
          <w:u w:val="none"/>
        </w:rPr>
        <w:t xml:space="preserve">, B., Connolly, P., </w:t>
      </w:r>
      <w:r w:rsidR="009E642B">
        <w:rPr>
          <w:rStyle w:val="Hyperlink"/>
          <w:rFonts w:ascii="Arial" w:hAnsi="Arial" w:cs="Arial"/>
          <w:color w:val="auto"/>
          <w:u w:val="none"/>
        </w:rPr>
        <w:t xml:space="preserve">Archer, L., Hodgen, J., Mazenod, A., Pepper, D., Seaneen, S., Taylor, B., Tereshchenko, Traver, M. (2017) </w:t>
      </w:r>
      <w:r w:rsidR="00813CCE">
        <w:rPr>
          <w:rStyle w:val="Hyperlink"/>
          <w:rFonts w:ascii="Arial" w:hAnsi="Arial" w:cs="Arial"/>
          <w:color w:val="auto"/>
          <w:u w:val="none"/>
        </w:rPr>
        <w:t>‘</w:t>
      </w:r>
      <w:r w:rsidR="00813CCE" w:rsidRPr="00813CCE">
        <w:rPr>
          <w:rStyle w:val="Hyperlink"/>
          <w:rFonts w:ascii="Arial" w:hAnsi="Arial" w:cs="Arial"/>
          <w:color w:val="auto"/>
          <w:u w:val="none"/>
        </w:rPr>
        <w:t>Attainment Grouping as self-fulﬁlling prophesy? A mixed methods exploration of self conﬁdence and set level among Year 7 students</w:t>
      </w:r>
      <w:r w:rsidR="00813CCE">
        <w:rPr>
          <w:rStyle w:val="Hyperlink"/>
          <w:rFonts w:ascii="Arial" w:hAnsi="Arial" w:cs="Arial"/>
          <w:color w:val="auto"/>
          <w:u w:val="none"/>
        </w:rPr>
        <w:t xml:space="preserve">’, </w:t>
      </w:r>
      <w:r w:rsidR="0067114D">
        <w:rPr>
          <w:rStyle w:val="Hyperlink"/>
          <w:rFonts w:ascii="Arial" w:hAnsi="Arial" w:cs="Arial"/>
          <w:i/>
          <w:iCs/>
          <w:color w:val="auto"/>
          <w:u w:val="none"/>
        </w:rPr>
        <w:t>International Jou</w:t>
      </w:r>
      <w:r w:rsidR="00C03F64">
        <w:rPr>
          <w:rStyle w:val="Hyperlink"/>
          <w:rFonts w:ascii="Arial" w:hAnsi="Arial" w:cs="Arial"/>
          <w:i/>
          <w:iCs/>
          <w:color w:val="auto"/>
          <w:u w:val="none"/>
        </w:rPr>
        <w:t xml:space="preserve">rnal of </w:t>
      </w:r>
      <w:r w:rsidR="00C26075">
        <w:rPr>
          <w:rStyle w:val="Hyperlink"/>
          <w:rFonts w:ascii="Arial" w:hAnsi="Arial" w:cs="Arial"/>
          <w:i/>
          <w:iCs/>
          <w:color w:val="auto"/>
          <w:u w:val="none"/>
        </w:rPr>
        <w:t>Educational</w:t>
      </w:r>
      <w:r w:rsidR="00C03F64">
        <w:rPr>
          <w:rStyle w:val="Hyperlink"/>
          <w:rFonts w:ascii="Arial" w:hAnsi="Arial" w:cs="Arial"/>
          <w:i/>
          <w:iCs/>
          <w:color w:val="auto"/>
          <w:u w:val="none"/>
        </w:rPr>
        <w:t xml:space="preserve"> Research,</w:t>
      </w:r>
      <w:r w:rsidR="009223C2">
        <w:rPr>
          <w:rStyle w:val="Hyperlink"/>
          <w:rFonts w:ascii="Arial" w:hAnsi="Arial" w:cs="Arial"/>
          <w:i/>
          <w:iCs/>
          <w:color w:val="auto"/>
          <w:u w:val="none"/>
        </w:rPr>
        <w:t xml:space="preserve"> </w:t>
      </w:r>
      <w:r w:rsidR="009223C2">
        <w:rPr>
          <w:rStyle w:val="Hyperlink"/>
          <w:rFonts w:ascii="Arial" w:hAnsi="Arial" w:cs="Arial"/>
          <w:color w:val="auto"/>
          <w:u w:val="none"/>
        </w:rPr>
        <w:t>86(1)</w:t>
      </w:r>
      <w:r w:rsidR="00C03F64">
        <w:rPr>
          <w:rStyle w:val="Hyperlink"/>
          <w:rFonts w:ascii="Arial" w:hAnsi="Arial" w:cs="Arial"/>
          <w:i/>
          <w:iCs/>
          <w:color w:val="auto"/>
          <w:u w:val="none"/>
        </w:rPr>
        <w:t xml:space="preserve"> </w:t>
      </w:r>
      <w:r w:rsidR="00DF7771">
        <w:rPr>
          <w:rStyle w:val="Hyperlink"/>
          <w:rFonts w:ascii="Arial" w:hAnsi="Arial" w:cs="Arial"/>
          <w:i/>
          <w:iCs/>
          <w:color w:val="auto"/>
          <w:u w:val="none"/>
        </w:rPr>
        <w:t>pp. 96-108</w:t>
      </w:r>
      <w:r w:rsidR="00645DCB">
        <w:rPr>
          <w:rStyle w:val="Hyperlink"/>
          <w:rFonts w:ascii="Arial" w:hAnsi="Arial" w:cs="Arial"/>
          <w:i/>
          <w:iCs/>
          <w:color w:val="auto"/>
          <w:u w:val="none"/>
        </w:rPr>
        <w:br/>
        <w:t>DOI:10.1016/j.iker.2017.09.001</w:t>
      </w:r>
    </w:p>
    <w:p w14:paraId="5A4C35BF" w14:textId="38B6CB76" w:rsidR="00FB2551" w:rsidRDefault="00FB2551" w:rsidP="00704E8B">
      <w:pPr>
        <w:spacing w:line="360" w:lineRule="auto"/>
        <w:rPr>
          <w:rStyle w:val="Hyperlink"/>
          <w:rFonts w:ascii="Arial" w:hAnsi="Arial" w:cs="Arial"/>
          <w:color w:val="auto"/>
        </w:rPr>
      </w:pPr>
    </w:p>
    <w:p w14:paraId="689AD0EC" w14:textId="4D09EC17" w:rsidR="00FB2551" w:rsidRDefault="00FB2551" w:rsidP="00704E8B">
      <w:pPr>
        <w:spacing w:line="360" w:lineRule="auto"/>
        <w:rPr>
          <w:rFonts w:ascii="Arial" w:hAnsi="Arial" w:cs="Arial"/>
          <w:shd w:val="clear" w:color="auto" w:fill="FFFFFF"/>
        </w:rPr>
      </w:pPr>
      <w:r w:rsidRPr="00FB2551">
        <w:rPr>
          <w:rFonts w:ascii="Arial" w:hAnsi="Arial" w:cs="Arial"/>
        </w:rPr>
        <w:t xml:space="preserve">Frimpong, S. (2018) ‘The Classroom Physical Environment as a Third Teacher For an Early Childhood Education Provision in the GA-West Municipality of Ghana’, </w:t>
      </w:r>
      <w:r w:rsidRPr="00FB2551">
        <w:rPr>
          <w:rFonts w:ascii="Arial" w:hAnsi="Arial" w:cs="Arial"/>
          <w:i/>
          <w:iCs/>
        </w:rPr>
        <w:t>People: International Journal of Social Sciences</w:t>
      </w:r>
      <w:r w:rsidRPr="00FB2551">
        <w:rPr>
          <w:rFonts w:ascii="Arial" w:hAnsi="Arial" w:cs="Arial"/>
        </w:rPr>
        <w:t xml:space="preserve">, 4(3) </w:t>
      </w:r>
      <w:r w:rsidRPr="00FB2551">
        <w:rPr>
          <w:rFonts w:ascii="Arial" w:hAnsi="Arial" w:cs="Arial"/>
        </w:rPr>
        <w:br/>
      </w:r>
      <w:r w:rsidR="00B032D2" w:rsidRPr="00B032D2">
        <w:rPr>
          <w:rFonts w:ascii="Arial" w:hAnsi="Arial" w:cs="Arial"/>
          <w:shd w:val="clear" w:color="auto" w:fill="FFFFFF"/>
        </w:rPr>
        <w:t>https://grdspublishing.org/index.php/people/article/view/1774</w:t>
      </w:r>
    </w:p>
    <w:p w14:paraId="36B44DE2" w14:textId="082B394E" w:rsidR="00B032D2" w:rsidRDefault="00B032D2" w:rsidP="00704E8B">
      <w:pPr>
        <w:spacing w:line="360" w:lineRule="auto"/>
        <w:rPr>
          <w:rFonts w:ascii="Arial" w:hAnsi="Arial" w:cs="Arial"/>
          <w:shd w:val="clear" w:color="auto" w:fill="FFFFFF"/>
        </w:rPr>
      </w:pPr>
    </w:p>
    <w:p w14:paraId="7D422133" w14:textId="598EF7DF" w:rsidR="00B032D2" w:rsidRPr="00B92945" w:rsidRDefault="0060392A" w:rsidP="00704E8B">
      <w:pPr>
        <w:spacing w:line="360" w:lineRule="auto"/>
        <w:rPr>
          <w:rFonts w:ascii="Arial" w:hAnsi="Arial" w:cs="Arial"/>
          <w:shd w:val="clear" w:color="auto" w:fill="FFFFFF"/>
        </w:rPr>
      </w:pPr>
      <w:r>
        <w:rPr>
          <w:rFonts w:ascii="Arial" w:hAnsi="Arial" w:cs="Arial"/>
          <w:shd w:val="clear" w:color="auto" w:fill="FFFFFF"/>
        </w:rPr>
        <w:t>Fu, L</w:t>
      </w:r>
      <w:r w:rsidR="00804634">
        <w:rPr>
          <w:rFonts w:ascii="Arial" w:hAnsi="Arial" w:cs="Arial"/>
          <w:shd w:val="clear" w:color="auto" w:fill="FFFFFF"/>
        </w:rPr>
        <w:t xml:space="preserve">., Lee, L., and Danescu-Niculescu-Mizil, C., (2017) ‘When </w:t>
      </w:r>
      <w:r w:rsidR="00B92945">
        <w:rPr>
          <w:rFonts w:ascii="Arial" w:hAnsi="Arial" w:cs="Arial"/>
          <w:shd w:val="clear" w:color="auto" w:fill="FFFFFF"/>
        </w:rPr>
        <w:t xml:space="preserve">Confidence and Competence Collide: Effects on Online Decision-Making Discussions’, </w:t>
      </w:r>
      <w:r w:rsidR="00B92945">
        <w:rPr>
          <w:rFonts w:ascii="Arial" w:hAnsi="Arial" w:cs="Arial"/>
          <w:i/>
          <w:iCs/>
          <w:shd w:val="clear" w:color="auto" w:fill="FFFFFF"/>
        </w:rPr>
        <w:t>Proceedings of the 26</w:t>
      </w:r>
      <w:r w:rsidR="00B92945" w:rsidRPr="00B92945">
        <w:rPr>
          <w:rFonts w:ascii="Arial" w:hAnsi="Arial" w:cs="Arial"/>
          <w:i/>
          <w:iCs/>
          <w:shd w:val="clear" w:color="auto" w:fill="FFFFFF"/>
          <w:vertAlign w:val="superscript"/>
        </w:rPr>
        <w:t>th</w:t>
      </w:r>
      <w:r w:rsidR="00B92945">
        <w:rPr>
          <w:rFonts w:ascii="Arial" w:hAnsi="Arial" w:cs="Arial"/>
          <w:i/>
          <w:iCs/>
          <w:shd w:val="clear" w:color="auto" w:fill="FFFFFF"/>
        </w:rPr>
        <w:t xml:space="preserve"> Intenational Conference on World Wide Web, </w:t>
      </w:r>
      <w:r w:rsidR="00B92945">
        <w:rPr>
          <w:rFonts w:ascii="Arial" w:hAnsi="Arial" w:cs="Arial"/>
          <w:shd w:val="clear" w:color="auto" w:fill="FFFFFF"/>
        </w:rPr>
        <w:t xml:space="preserve">pp. 1381-1390. </w:t>
      </w:r>
      <w:r w:rsidR="00DF6380" w:rsidRPr="00DF6380">
        <w:rPr>
          <w:rFonts w:ascii="Arial" w:hAnsi="Arial" w:cs="Arial"/>
          <w:sz w:val="21"/>
          <w:szCs w:val="21"/>
        </w:rPr>
        <w:t>https://doi.org/10.1145/3038912.3052681</w:t>
      </w:r>
    </w:p>
    <w:p w14:paraId="387D44A7" w14:textId="77777777" w:rsidR="00E40594" w:rsidRPr="000E3B59" w:rsidRDefault="00E40594" w:rsidP="00704E8B">
      <w:pPr>
        <w:spacing w:line="360" w:lineRule="auto"/>
        <w:rPr>
          <w:rFonts w:ascii="Arial" w:hAnsi="Arial" w:cs="Arial"/>
        </w:rPr>
      </w:pPr>
    </w:p>
    <w:p w14:paraId="57A836FF" w14:textId="1F0C2332" w:rsidR="00FB2551" w:rsidRPr="00704E8B" w:rsidRDefault="00E40594" w:rsidP="00704E8B">
      <w:pPr>
        <w:spacing w:line="360" w:lineRule="auto"/>
        <w:rPr>
          <w:rStyle w:val="Hyperlink"/>
          <w:rFonts w:ascii="Arial" w:hAnsi="Arial" w:cs="Arial"/>
          <w:color w:val="auto"/>
          <w:u w:val="none"/>
        </w:rPr>
      </w:pPr>
      <w:r w:rsidRPr="000E3B59">
        <w:rPr>
          <w:rFonts w:ascii="Arial" w:hAnsi="Arial" w:cs="Arial"/>
        </w:rPr>
        <w:t xml:space="preserve">Gibbs, G. (1988) </w:t>
      </w:r>
      <w:r w:rsidRPr="000E3B59">
        <w:rPr>
          <w:rFonts w:ascii="Arial" w:hAnsi="Arial" w:cs="Arial"/>
          <w:i/>
          <w:iCs/>
        </w:rPr>
        <w:t>Learning by doing: A guide to teaching and learning methods</w:t>
      </w:r>
      <w:r w:rsidRPr="000E3B59">
        <w:rPr>
          <w:rFonts w:ascii="Arial" w:hAnsi="Arial" w:cs="Arial"/>
        </w:rPr>
        <w:t>, Oxford: Further Education Unit</w:t>
      </w:r>
    </w:p>
    <w:p w14:paraId="7FFF0A6D" w14:textId="77777777" w:rsidR="004269F0" w:rsidRPr="004269F0" w:rsidRDefault="004269F0" w:rsidP="00704E8B">
      <w:pPr>
        <w:spacing w:line="360" w:lineRule="auto"/>
        <w:rPr>
          <w:rFonts w:ascii="Arial" w:hAnsi="Arial" w:cs="Arial"/>
        </w:rPr>
      </w:pPr>
    </w:p>
    <w:p w14:paraId="763FF27A" w14:textId="77777777" w:rsidR="004269F0" w:rsidRPr="004269F0" w:rsidRDefault="004269F0" w:rsidP="00704E8B">
      <w:pPr>
        <w:spacing w:line="360" w:lineRule="auto"/>
        <w:rPr>
          <w:rFonts w:ascii="Arial" w:hAnsi="Arial" w:cs="Arial"/>
        </w:rPr>
      </w:pPr>
      <w:r w:rsidRPr="004269F0">
        <w:rPr>
          <w:rFonts w:ascii="Arial" w:hAnsi="Arial" w:cs="Arial"/>
          <w:shd w:val="clear" w:color="auto" w:fill="FCFCFC"/>
        </w:rPr>
        <w:t xml:space="preserve">Ginns, P. and Leppink, J. (2019) ‘Special Issue on Cognitive Load Theory’, </w:t>
      </w:r>
      <w:r w:rsidRPr="004269F0">
        <w:rPr>
          <w:rFonts w:ascii="Arial" w:hAnsi="Arial" w:cs="Arial"/>
          <w:i/>
          <w:iCs/>
        </w:rPr>
        <w:t>Educational Psychology Review,</w:t>
      </w:r>
      <w:r w:rsidRPr="004269F0">
        <w:rPr>
          <w:rFonts w:ascii="Arial" w:hAnsi="Arial" w:cs="Arial"/>
          <w:shd w:val="clear" w:color="auto" w:fill="FCFCFC"/>
        </w:rPr>
        <w:t xml:space="preserve"> </w:t>
      </w:r>
      <w:r w:rsidRPr="004269F0">
        <w:rPr>
          <w:rFonts w:ascii="Arial" w:hAnsi="Arial" w:cs="Arial"/>
        </w:rPr>
        <w:t xml:space="preserve">31, pp. </w:t>
      </w:r>
      <w:r w:rsidRPr="004269F0">
        <w:rPr>
          <w:rFonts w:ascii="Arial" w:hAnsi="Arial" w:cs="Arial"/>
          <w:shd w:val="clear" w:color="auto" w:fill="FCFCFC"/>
        </w:rPr>
        <w:t xml:space="preserve">255–259. </w:t>
      </w:r>
      <w:r w:rsidRPr="004269F0">
        <w:rPr>
          <w:rFonts w:ascii="Arial" w:hAnsi="Arial" w:cs="Arial"/>
          <w:shd w:val="clear" w:color="auto" w:fill="FCFCFC"/>
        </w:rPr>
        <w:br/>
        <w:t>https://doi.org/10.1007/s10648-019-09474-4</w:t>
      </w:r>
    </w:p>
    <w:p w14:paraId="5F9A3D5E" w14:textId="0E462E54" w:rsidR="00FB2551" w:rsidRDefault="00FB2551" w:rsidP="00704E8B">
      <w:pPr>
        <w:spacing w:line="360" w:lineRule="auto"/>
        <w:rPr>
          <w:rStyle w:val="Hyperlink"/>
          <w:rFonts w:ascii="Arial" w:hAnsi="Arial" w:cs="Arial"/>
          <w:color w:val="auto"/>
        </w:rPr>
      </w:pPr>
    </w:p>
    <w:p w14:paraId="185CE31C" w14:textId="77777777" w:rsidR="00120301" w:rsidRPr="00F36CC4" w:rsidRDefault="00120301" w:rsidP="00704E8B">
      <w:pPr>
        <w:spacing w:line="360" w:lineRule="auto"/>
        <w:rPr>
          <w:rFonts w:ascii="Arial" w:hAnsi="Arial" w:cs="Arial"/>
        </w:rPr>
      </w:pPr>
      <w:r w:rsidRPr="00F36CC4">
        <w:rPr>
          <w:rFonts w:ascii="Arial" w:hAnsi="Arial" w:cs="Arial"/>
          <w:shd w:val="clear" w:color="auto" w:fill="FFFFFF"/>
        </w:rPr>
        <w:lastRenderedPageBreak/>
        <w:t xml:space="preserve">Hall, T. (2017) ‘Architecting the ‘third teacher’: Solid foundations for the participatory and principled design of school and built learning environments’, </w:t>
      </w:r>
      <w:r w:rsidRPr="00F36CC4">
        <w:rPr>
          <w:rFonts w:ascii="Arial" w:hAnsi="Arial" w:cs="Arial"/>
          <w:i/>
          <w:iCs/>
          <w:shd w:val="clear" w:color="auto" w:fill="FFFFFF"/>
        </w:rPr>
        <w:t>European Journal of Education</w:t>
      </w:r>
      <w:r w:rsidRPr="00F36CC4">
        <w:rPr>
          <w:rFonts w:ascii="Arial" w:hAnsi="Arial" w:cs="Arial"/>
          <w:shd w:val="clear" w:color="auto" w:fill="FFFFFF"/>
        </w:rPr>
        <w:t>, 52(3) pp: 318-326</w:t>
      </w:r>
      <w:r w:rsidRPr="00F36CC4">
        <w:rPr>
          <w:rFonts w:ascii="Arial" w:hAnsi="Arial" w:cs="Arial"/>
          <w:shd w:val="clear" w:color="auto" w:fill="FFFFFF"/>
        </w:rPr>
        <w:br/>
      </w:r>
      <w:r w:rsidRPr="00F36CC4">
        <w:rPr>
          <w:rFonts w:ascii="Arial" w:hAnsi="Arial" w:cs="Arial"/>
        </w:rPr>
        <w:t>https://doi.org/10.1111/ejed.12224</w:t>
      </w:r>
    </w:p>
    <w:p w14:paraId="66B10332" w14:textId="77777777" w:rsidR="0069632E" w:rsidRPr="0069632E" w:rsidRDefault="0069632E" w:rsidP="00704E8B">
      <w:pPr>
        <w:spacing w:line="360" w:lineRule="auto"/>
        <w:rPr>
          <w:rStyle w:val="epub-sectionitem"/>
          <w:rFonts w:ascii="Arial" w:hAnsi="Arial" w:cs="Arial"/>
        </w:rPr>
      </w:pPr>
    </w:p>
    <w:p w14:paraId="2FD47453" w14:textId="6DA51ECC" w:rsidR="0069632E" w:rsidRPr="0069632E" w:rsidRDefault="0069632E" w:rsidP="00704E8B">
      <w:pPr>
        <w:spacing w:line="360" w:lineRule="auto"/>
        <w:rPr>
          <w:rFonts w:ascii="Arial" w:hAnsi="Arial" w:cs="Arial"/>
        </w:rPr>
      </w:pPr>
      <w:r w:rsidRPr="0069632E">
        <w:rPr>
          <w:rFonts w:ascii="Arial" w:hAnsi="Arial" w:cs="Arial"/>
        </w:rPr>
        <w:t xml:space="preserve">Hao, S. (2016) </w:t>
      </w:r>
      <w:r w:rsidRPr="0069632E">
        <w:rPr>
          <w:rFonts w:ascii="Arial" w:hAnsi="Arial" w:cs="Arial"/>
          <w:i/>
          <w:iCs/>
        </w:rPr>
        <w:t>Effects of Faded Scaffolding in Computer Based Instruction on Learners' Performance, Cognitive Load, and Test Anxiety</w:t>
      </w:r>
      <w:r w:rsidRPr="0069632E">
        <w:rPr>
          <w:rFonts w:ascii="Arial" w:hAnsi="Arial" w:cs="Arial"/>
        </w:rPr>
        <w:t xml:space="preserve">, Unpublished PhD thesis. Florida State University Libraries </w:t>
      </w:r>
    </w:p>
    <w:p w14:paraId="17E81218" w14:textId="77777777" w:rsidR="00985DD2" w:rsidRDefault="00985DD2" w:rsidP="00704E8B">
      <w:pPr>
        <w:pStyle w:val="dx-doi"/>
        <w:spacing w:before="0" w:beforeAutospacing="0" w:after="0" w:afterAutospacing="0" w:line="360" w:lineRule="auto"/>
        <w:rPr>
          <w:rFonts w:ascii="Arial" w:hAnsi="Arial" w:cs="Arial"/>
          <w:sz w:val="22"/>
          <w:szCs w:val="22"/>
          <w:highlight w:val="cyan"/>
          <w:shd w:val="clear" w:color="auto" w:fill="FCFCFC"/>
        </w:rPr>
      </w:pPr>
    </w:p>
    <w:p w14:paraId="250ACC31" w14:textId="2DF7D661" w:rsidR="00985DD2" w:rsidRPr="00985DD2" w:rsidRDefault="00985DD2" w:rsidP="00704E8B">
      <w:pPr>
        <w:pStyle w:val="dx-doi"/>
        <w:spacing w:before="0" w:beforeAutospacing="0" w:after="0" w:afterAutospacing="0" w:line="360" w:lineRule="auto"/>
        <w:rPr>
          <w:rFonts w:ascii="Arial" w:hAnsi="Arial" w:cs="Arial"/>
          <w:sz w:val="22"/>
          <w:szCs w:val="22"/>
        </w:rPr>
      </w:pPr>
      <w:r w:rsidRPr="00985DD2">
        <w:rPr>
          <w:rFonts w:ascii="Arial" w:hAnsi="Arial" w:cs="Arial"/>
          <w:sz w:val="22"/>
          <w:szCs w:val="22"/>
          <w:shd w:val="clear" w:color="auto" w:fill="FCFCFC"/>
        </w:rPr>
        <w:t xml:space="preserve">Harbour, K., Evanovich, L. Sweigart, C. and Hughes, L. (2015) ‘A Brief Review of Effective Teaching Practices That Maximize Student Engagement’, </w:t>
      </w:r>
      <w:r w:rsidRPr="00985DD2">
        <w:rPr>
          <w:rFonts w:ascii="Arial" w:hAnsi="Arial" w:cs="Arial"/>
          <w:i/>
          <w:iCs/>
          <w:sz w:val="22"/>
          <w:szCs w:val="22"/>
          <w:shd w:val="clear" w:color="auto" w:fill="FCFCFC"/>
        </w:rPr>
        <w:t>Preventing School Failure, Alternative Education for Children and Youth</w:t>
      </w:r>
      <w:r w:rsidRPr="00985DD2">
        <w:rPr>
          <w:rFonts w:ascii="Arial" w:hAnsi="Arial" w:cs="Arial"/>
          <w:sz w:val="22"/>
          <w:szCs w:val="22"/>
          <w:shd w:val="clear" w:color="auto" w:fill="FCFCFC"/>
        </w:rPr>
        <w:t>. 59(1), pp. 5–13</w:t>
      </w:r>
      <w:r w:rsidRPr="00985DD2">
        <w:rPr>
          <w:rFonts w:ascii="Arial" w:hAnsi="Arial" w:cs="Arial"/>
          <w:sz w:val="22"/>
          <w:szCs w:val="22"/>
          <w:shd w:val="clear" w:color="auto" w:fill="FCFCFC"/>
        </w:rPr>
        <w:br/>
      </w:r>
      <w:r w:rsidRPr="00985DD2">
        <w:rPr>
          <w:rFonts w:ascii="Arial" w:hAnsi="Arial" w:cs="Arial"/>
          <w:sz w:val="22"/>
          <w:szCs w:val="22"/>
        </w:rPr>
        <w:t xml:space="preserve">https://doi.org/10.1080/1045988X.2014.919136 </w:t>
      </w:r>
    </w:p>
    <w:p w14:paraId="468EBC9B" w14:textId="1C322E5D" w:rsidR="00DF23BE" w:rsidRPr="00677CFE" w:rsidRDefault="00985DD2" w:rsidP="00704E8B">
      <w:pPr>
        <w:spacing w:line="360" w:lineRule="auto"/>
        <w:rPr>
          <w:rFonts w:ascii="Arial" w:hAnsi="Arial" w:cs="Arial"/>
        </w:rPr>
      </w:pPr>
      <w:r w:rsidRPr="00677CFE">
        <w:rPr>
          <w:rFonts w:ascii="Arial" w:hAnsi="Arial" w:cs="Arial"/>
          <w:shd w:val="clear" w:color="auto" w:fill="FCFCFC"/>
        </w:rPr>
        <w:br/>
      </w:r>
    </w:p>
    <w:p w14:paraId="6D6881EF" w14:textId="20C35586" w:rsidR="00624276" w:rsidRPr="00677CFE" w:rsidRDefault="00624276" w:rsidP="00704E8B">
      <w:pPr>
        <w:spacing w:line="360" w:lineRule="auto"/>
        <w:rPr>
          <w:rStyle w:val="Hyperlink"/>
          <w:rFonts w:ascii="Arial" w:hAnsi="Arial" w:cs="Arial"/>
          <w:color w:val="auto"/>
          <w:u w:val="none"/>
          <w:shd w:val="clear" w:color="auto" w:fill="FCFCFC"/>
        </w:rPr>
      </w:pPr>
      <w:r w:rsidRPr="00677CFE">
        <w:rPr>
          <w:rFonts w:ascii="Arial" w:hAnsi="Arial" w:cs="Arial"/>
          <w:shd w:val="clear" w:color="auto" w:fill="FCFCFC"/>
        </w:rPr>
        <w:t xml:space="preserve">Hazell, W.  (2018) </w:t>
      </w:r>
      <w:r w:rsidRPr="00677CFE">
        <w:rPr>
          <w:rFonts w:ascii="Arial" w:hAnsi="Arial" w:cs="Arial"/>
          <w:i/>
          <w:iCs/>
          <w:shd w:val="clear" w:color="auto" w:fill="FCFCFC"/>
        </w:rPr>
        <w:t>Spoon-fed' state pupils are unable to cope at uni,</w:t>
      </w:r>
      <w:r w:rsidR="005D295D">
        <w:rPr>
          <w:rFonts w:ascii="Arial" w:hAnsi="Arial" w:cs="Arial"/>
          <w:i/>
          <w:iCs/>
          <w:shd w:val="clear" w:color="auto" w:fill="FCFCFC"/>
        </w:rPr>
        <w:t xml:space="preserve"> </w:t>
      </w:r>
      <w:r w:rsidRPr="00677CFE">
        <w:rPr>
          <w:rFonts w:ascii="Arial" w:hAnsi="Arial" w:cs="Arial"/>
          <w:i/>
          <w:iCs/>
          <w:shd w:val="clear" w:color="auto" w:fill="FCFCFC"/>
        </w:rPr>
        <w:t>claims ex-private school head.</w:t>
      </w:r>
      <w:r w:rsidRPr="00677CFE">
        <w:rPr>
          <w:rFonts w:ascii="Arial" w:hAnsi="Arial" w:cs="Arial"/>
          <w:shd w:val="clear" w:color="auto" w:fill="FCFCFC"/>
        </w:rPr>
        <w:t xml:space="preserve"> Available at:  https://www.tes.com/news/spoon-fed-state-pupils-are-unable-cope-uni-claims-ex-private-school-head </w:t>
      </w:r>
      <w:r w:rsidRPr="00677CFE">
        <w:rPr>
          <w:rStyle w:val="Hyperlink"/>
          <w:rFonts w:ascii="Arial" w:hAnsi="Arial" w:cs="Arial"/>
          <w:color w:val="auto"/>
          <w:u w:val="none"/>
          <w:shd w:val="clear" w:color="auto" w:fill="FCFCFC"/>
        </w:rPr>
        <w:t>[Accessed on 15 January 2020]</w:t>
      </w:r>
    </w:p>
    <w:p w14:paraId="4C297489" w14:textId="3CE2AAD6" w:rsidR="00624276" w:rsidRDefault="00DA3004" w:rsidP="00704E8B">
      <w:pPr>
        <w:spacing w:line="360" w:lineRule="auto"/>
        <w:rPr>
          <w:rFonts w:ascii="Arial" w:hAnsi="Arial" w:cs="Arial"/>
        </w:rPr>
      </w:pPr>
      <w:r w:rsidRPr="00DA3004">
        <w:rPr>
          <w:rFonts w:ascii="Arial" w:hAnsi="Arial" w:cs="Arial"/>
        </w:rPr>
        <w:t xml:space="preserve">Hird, M., Larson, R., Okubo, Y. and Uchino, K. (2014), ‘Lesson study and lesson sharing: an appealing marriage’, </w:t>
      </w:r>
      <w:r w:rsidRPr="00DA3004">
        <w:rPr>
          <w:rFonts w:ascii="Arial" w:hAnsi="Arial" w:cs="Arial"/>
          <w:i/>
          <w:iCs/>
        </w:rPr>
        <w:t>Creative Education</w:t>
      </w:r>
      <w:r w:rsidRPr="00DA3004">
        <w:rPr>
          <w:rFonts w:ascii="Arial" w:hAnsi="Arial" w:cs="Arial"/>
        </w:rPr>
        <w:t>, 5 (10), pp. 769-779.</w:t>
      </w:r>
    </w:p>
    <w:p w14:paraId="29BE8B7E" w14:textId="77777777" w:rsidR="00BF0846" w:rsidRDefault="00BF0846" w:rsidP="00704E8B">
      <w:pPr>
        <w:spacing w:line="360" w:lineRule="auto"/>
        <w:rPr>
          <w:rFonts w:ascii="Arial" w:hAnsi="Arial" w:cs="Arial"/>
        </w:rPr>
      </w:pPr>
    </w:p>
    <w:p w14:paraId="561A498E" w14:textId="3AF5CBA0" w:rsidR="00DF23BE" w:rsidRDefault="00DF23BE" w:rsidP="00704E8B">
      <w:pPr>
        <w:spacing w:line="360" w:lineRule="auto"/>
        <w:rPr>
          <w:rFonts w:ascii="Arial" w:hAnsi="Arial" w:cs="Arial"/>
        </w:rPr>
      </w:pPr>
      <w:r w:rsidRPr="0069632E">
        <w:rPr>
          <w:rStyle w:val="epub-sectionitem"/>
          <w:rFonts w:ascii="Arial" w:hAnsi="Arial" w:cs="Arial"/>
        </w:rPr>
        <w:t>Janson, A. and Soellner, M. (2017) ‘How Technology-Enhanced Scaffolding Contributes to Problem-Solving Outcomes in Management Education’,</w:t>
      </w:r>
      <w:r w:rsidRPr="0069632E">
        <w:rPr>
          <w:rFonts w:ascii="Arial" w:hAnsi="Arial" w:cs="Arial"/>
        </w:rPr>
        <w:t xml:space="preserve"> </w:t>
      </w:r>
      <w:hyperlink r:id="rId10" w:history="1"/>
      <w:r w:rsidRPr="0069632E">
        <w:rPr>
          <w:rStyle w:val="epub-sectionitem"/>
          <w:rFonts w:ascii="Arial" w:hAnsi="Arial" w:cs="Arial"/>
          <w:i/>
          <w:iCs/>
        </w:rPr>
        <w:t>Academy of Management Annual Meeting,</w:t>
      </w:r>
      <w:r w:rsidRPr="0069632E">
        <w:rPr>
          <w:rStyle w:val="epub-sectionitem"/>
          <w:rFonts w:ascii="Arial" w:hAnsi="Arial" w:cs="Arial"/>
        </w:rPr>
        <w:t xml:space="preserve"> Atlanta, Georgia, USA.</w:t>
      </w:r>
      <w:r w:rsidRPr="0069632E">
        <w:rPr>
          <w:rStyle w:val="epub-sectionitem"/>
          <w:rFonts w:ascii="Arial" w:hAnsi="Arial" w:cs="Arial"/>
        </w:rPr>
        <w:br/>
      </w:r>
      <w:r w:rsidR="00E94A55" w:rsidRPr="00E94A55">
        <w:rPr>
          <w:rFonts w:ascii="Arial" w:hAnsi="Arial" w:cs="Arial"/>
        </w:rPr>
        <w:t>https://doi.org/10.5465/AMBPP.2017.11022</w:t>
      </w:r>
    </w:p>
    <w:p w14:paraId="1E4D41EE" w14:textId="3D809381" w:rsidR="00E94A55" w:rsidRDefault="00E94A55" w:rsidP="00704E8B">
      <w:pPr>
        <w:spacing w:line="360" w:lineRule="auto"/>
        <w:rPr>
          <w:rFonts w:ascii="Arial" w:hAnsi="Arial" w:cs="Arial"/>
        </w:rPr>
      </w:pPr>
    </w:p>
    <w:p w14:paraId="27755F09" w14:textId="5DEE0100" w:rsidR="00C27C15" w:rsidRPr="00876486" w:rsidRDefault="00C41466" w:rsidP="00704E8B">
      <w:pPr>
        <w:spacing w:line="360" w:lineRule="auto"/>
        <w:rPr>
          <w:rFonts w:ascii="Arial" w:hAnsi="Arial" w:cs="Arial"/>
        </w:rPr>
      </w:pPr>
      <w:r w:rsidRPr="00876486">
        <w:rPr>
          <w:rFonts w:ascii="Arial" w:hAnsi="Arial" w:cs="Arial"/>
        </w:rPr>
        <w:t xml:space="preserve">Kalyuga, S. and Sweller, </w:t>
      </w:r>
      <w:r w:rsidR="00C27C15" w:rsidRPr="00876486">
        <w:rPr>
          <w:rFonts w:ascii="Arial" w:hAnsi="Arial" w:cs="Arial"/>
        </w:rPr>
        <w:t>(2018) ‘</w:t>
      </w:r>
      <w:r w:rsidR="00C27C15" w:rsidRPr="00876486">
        <w:rPr>
          <w:rFonts w:ascii="Arial" w:hAnsi="Arial" w:cs="Arial"/>
          <w:color w:val="333333"/>
          <w:shd w:val="clear" w:color="auto" w:fill="FFFFFF"/>
        </w:rPr>
        <w:t>Cognitive load and expertise reversal</w:t>
      </w:r>
      <w:r w:rsidR="00135A36" w:rsidRPr="00876486">
        <w:rPr>
          <w:rFonts w:ascii="Arial" w:hAnsi="Arial" w:cs="Arial"/>
          <w:color w:val="333333"/>
          <w:shd w:val="clear" w:color="auto" w:fill="FFFFFF"/>
        </w:rPr>
        <w:t>’,</w:t>
      </w:r>
      <w:r w:rsidR="00C27C15" w:rsidRPr="00876486">
        <w:rPr>
          <w:rFonts w:ascii="Arial" w:hAnsi="Arial" w:cs="Arial"/>
          <w:color w:val="333333"/>
          <w:shd w:val="clear" w:color="auto" w:fill="FFFFFF"/>
        </w:rPr>
        <w:t xml:space="preserve"> In Ericsson, </w:t>
      </w:r>
      <w:r w:rsidR="00876486" w:rsidRPr="00876486">
        <w:rPr>
          <w:rFonts w:ascii="Arial" w:hAnsi="Arial" w:cs="Arial"/>
          <w:color w:val="333333"/>
          <w:shd w:val="clear" w:color="auto" w:fill="FFFFFF"/>
        </w:rPr>
        <w:t xml:space="preserve">K., </w:t>
      </w:r>
      <w:r w:rsidR="00C27C15" w:rsidRPr="00876486">
        <w:rPr>
          <w:rFonts w:ascii="Arial" w:hAnsi="Arial" w:cs="Arial"/>
          <w:color w:val="333333"/>
          <w:shd w:val="clear" w:color="auto" w:fill="FFFFFF"/>
        </w:rPr>
        <w:t xml:space="preserve">Hoffman, </w:t>
      </w:r>
      <w:r w:rsidR="00876486" w:rsidRPr="00876486">
        <w:rPr>
          <w:rFonts w:ascii="Arial" w:hAnsi="Arial" w:cs="Arial"/>
          <w:color w:val="333333"/>
          <w:shd w:val="clear" w:color="auto" w:fill="FFFFFF"/>
        </w:rPr>
        <w:t xml:space="preserve">R., </w:t>
      </w:r>
      <w:r w:rsidR="00C27C15" w:rsidRPr="00876486">
        <w:rPr>
          <w:rFonts w:ascii="Arial" w:hAnsi="Arial" w:cs="Arial"/>
          <w:color w:val="333333"/>
          <w:shd w:val="clear" w:color="auto" w:fill="FFFFFF"/>
        </w:rPr>
        <w:t xml:space="preserve">Kozbelt, </w:t>
      </w:r>
      <w:r w:rsidR="00876486" w:rsidRPr="00876486">
        <w:rPr>
          <w:rFonts w:ascii="Arial" w:hAnsi="Arial" w:cs="Arial"/>
          <w:color w:val="333333"/>
          <w:shd w:val="clear" w:color="auto" w:fill="FFFFFF"/>
        </w:rPr>
        <w:t xml:space="preserve">A., and </w:t>
      </w:r>
      <w:r w:rsidR="00C27C15" w:rsidRPr="00876486">
        <w:rPr>
          <w:rFonts w:ascii="Arial" w:hAnsi="Arial" w:cs="Arial"/>
          <w:color w:val="333333"/>
          <w:shd w:val="clear" w:color="auto" w:fill="FFFFFF"/>
        </w:rPr>
        <w:t>Williams</w:t>
      </w:r>
      <w:r w:rsidR="00876486" w:rsidRPr="00876486">
        <w:rPr>
          <w:rFonts w:ascii="Arial" w:hAnsi="Arial" w:cs="Arial"/>
          <w:color w:val="333333"/>
          <w:shd w:val="clear" w:color="auto" w:fill="FFFFFF"/>
        </w:rPr>
        <w:t>, A. (</w:t>
      </w:r>
      <w:r w:rsidR="00C27C15" w:rsidRPr="00876486">
        <w:rPr>
          <w:rFonts w:ascii="Arial" w:hAnsi="Arial" w:cs="Arial"/>
          <w:color w:val="333333"/>
          <w:shd w:val="clear" w:color="auto" w:fill="FFFFFF"/>
        </w:rPr>
        <w:t xml:space="preserve">Eds.), </w:t>
      </w:r>
      <w:r w:rsidR="00C27C15" w:rsidRPr="00876486">
        <w:rPr>
          <w:rStyle w:val="Emphasis"/>
          <w:rFonts w:ascii="Arial" w:hAnsi="Arial" w:cs="Arial"/>
          <w:color w:val="333333"/>
        </w:rPr>
        <w:t>Cambridge handbooks in psychology. The Cambridge handbook of expertise and expert performance</w:t>
      </w:r>
      <w:r w:rsidR="00C27C15" w:rsidRPr="00876486">
        <w:rPr>
          <w:rFonts w:ascii="Arial" w:hAnsi="Arial" w:cs="Arial"/>
          <w:color w:val="333333"/>
          <w:shd w:val="clear" w:color="auto" w:fill="FFFFFF"/>
        </w:rPr>
        <w:t xml:space="preserve">. </w:t>
      </w:r>
      <w:r w:rsidR="00BE3895" w:rsidRPr="00876486">
        <w:rPr>
          <w:rFonts w:ascii="Arial" w:hAnsi="Arial" w:cs="Arial"/>
          <w:color w:val="333333"/>
          <w:shd w:val="clear" w:color="auto" w:fill="FFFFFF"/>
        </w:rPr>
        <w:t xml:space="preserve">Cambridge: </w:t>
      </w:r>
      <w:r w:rsidR="00C27C15" w:rsidRPr="00876486">
        <w:rPr>
          <w:rFonts w:ascii="Arial" w:hAnsi="Arial" w:cs="Arial"/>
          <w:color w:val="333333"/>
          <w:shd w:val="clear" w:color="auto" w:fill="FFFFFF"/>
        </w:rPr>
        <w:t xml:space="preserve">Cambridge University Press. </w:t>
      </w:r>
      <w:r w:rsidR="00BE3895" w:rsidRPr="00876486">
        <w:rPr>
          <w:rFonts w:ascii="Arial" w:hAnsi="Arial" w:cs="Arial"/>
          <w:color w:val="333333"/>
          <w:shd w:val="clear" w:color="auto" w:fill="FFFFFF"/>
        </w:rPr>
        <w:br/>
      </w:r>
      <w:r w:rsidR="00C27C15" w:rsidRPr="00876486">
        <w:rPr>
          <w:rFonts w:ascii="Arial" w:hAnsi="Arial" w:cs="Arial"/>
        </w:rPr>
        <w:t>https://doi.org/10.1017/9781316480748.040</w:t>
      </w:r>
    </w:p>
    <w:p w14:paraId="551B5278" w14:textId="77777777" w:rsidR="00C41466" w:rsidRDefault="00C41466" w:rsidP="00704E8B">
      <w:pPr>
        <w:spacing w:line="360" w:lineRule="auto"/>
        <w:rPr>
          <w:rFonts w:ascii="Arial" w:hAnsi="Arial" w:cs="Arial"/>
        </w:rPr>
      </w:pPr>
    </w:p>
    <w:p w14:paraId="6162BF21" w14:textId="2B8D6958" w:rsidR="00E94A55" w:rsidRPr="00704E8B" w:rsidRDefault="00E94A55" w:rsidP="00704E8B">
      <w:pPr>
        <w:spacing w:line="360" w:lineRule="auto"/>
        <w:rPr>
          <w:rFonts w:ascii="Arial" w:hAnsi="Arial" w:cs="Arial"/>
          <w:shd w:val="clear" w:color="auto" w:fill="FCFCFC"/>
        </w:rPr>
      </w:pPr>
      <w:r w:rsidRPr="00E94A55">
        <w:rPr>
          <w:rStyle w:val="authorsname"/>
          <w:rFonts w:ascii="Arial" w:hAnsi="Arial" w:cs="Arial"/>
        </w:rPr>
        <w:lastRenderedPageBreak/>
        <w:t>Kalyuga, S., Rikers, R. and Paas, F. (2012) ‘</w:t>
      </w:r>
      <w:r w:rsidRPr="00E94A55">
        <w:rPr>
          <w:rFonts w:ascii="Arial" w:hAnsi="Arial" w:cs="Arial"/>
          <w:shd w:val="clear" w:color="auto" w:fill="FCFCFC"/>
        </w:rPr>
        <w:t>Educational Implications of Expertise Reversal Effects in Learning and Performance of Complex Cognitive and Sensorimotor Skills’,</w:t>
      </w:r>
      <w:r w:rsidRPr="00E94A55">
        <w:rPr>
          <w:rFonts w:ascii="Arial" w:hAnsi="Arial" w:cs="Arial"/>
          <w:shd w:val="clear" w:color="auto" w:fill="FCFCFC"/>
        </w:rPr>
        <w:br/>
      </w:r>
      <w:hyperlink r:id="rId11" w:tooltip="Educational Psychology Review" w:history="1">
        <w:r w:rsidRPr="00E94A55">
          <w:rPr>
            <w:rStyle w:val="journaltitle"/>
            <w:rFonts w:ascii="Arial" w:hAnsi="Arial" w:cs="Arial"/>
            <w:spacing w:val="2"/>
          </w:rPr>
          <w:t>Educational Psychology Review</w:t>
        </w:r>
      </w:hyperlink>
      <w:r w:rsidRPr="00E94A55">
        <w:rPr>
          <w:rStyle w:val="journaltitle"/>
          <w:rFonts w:ascii="Arial" w:hAnsi="Arial" w:cs="Arial"/>
          <w:spacing w:val="2"/>
        </w:rPr>
        <w:t xml:space="preserve">, </w:t>
      </w:r>
      <w:r w:rsidRPr="00E94A55">
        <w:rPr>
          <w:rStyle w:val="articlecitationvolume"/>
          <w:rFonts w:ascii="Arial" w:hAnsi="Arial" w:cs="Arial"/>
          <w:spacing w:val="2"/>
        </w:rPr>
        <w:t>24(2)</w:t>
      </w:r>
      <w:r w:rsidRPr="00E94A55">
        <w:rPr>
          <w:rFonts w:ascii="Arial" w:hAnsi="Arial" w:cs="Arial"/>
          <w:spacing w:val="2"/>
        </w:rPr>
        <w:t xml:space="preserve"> </w:t>
      </w:r>
      <w:r w:rsidRPr="00E94A55">
        <w:rPr>
          <w:rStyle w:val="articlecitationpages"/>
          <w:rFonts w:ascii="Arial" w:hAnsi="Arial" w:cs="Arial"/>
          <w:spacing w:val="2"/>
        </w:rPr>
        <w:t>pp. 313–337</w:t>
      </w:r>
      <w:r w:rsidRPr="00E94A55">
        <w:rPr>
          <w:rStyle w:val="articlecitationpages"/>
          <w:rFonts w:ascii="Arial" w:hAnsi="Arial" w:cs="Arial"/>
          <w:spacing w:val="2"/>
        </w:rPr>
        <w:br/>
      </w:r>
      <w:r w:rsidRPr="00E94A55">
        <w:rPr>
          <w:rFonts w:ascii="Arial" w:hAnsi="Arial" w:cs="Arial"/>
        </w:rPr>
        <w:t>https://doi.org/10.1007/s10648-012-9195-x</w:t>
      </w:r>
    </w:p>
    <w:p w14:paraId="244B42AF" w14:textId="77777777" w:rsidR="00E94A55" w:rsidRPr="00E94A55" w:rsidRDefault="00E94A55" w:rsidP="00704E8B">
      <w:pPr>
        <w:spacing w:line="360" w:lineRule="auto"/>
        <w:rPr>
          <w:rFonts w:ascii="Arial" w:hAnsi="Arial" w:cs="Arial"/>
        </w:rPr>
      </w:pPr>
    </w:p>
    <w:p w14:paraId="764A0A6A" w14:textId="77777777" w:rsidR="00E94A55" w:rsidRPr="00E94A55" w:rsidRDefault="00E94A55" w:rsidP="00704E8B">
      <w:pPr>
        <w:spacing w:line="360" w:lineRule="auto"/>
        <w:rPr>
          <w:rFonts w:ascii="Arial" w:hAnsi="Arial" w:cs="Arial"/>
        </w:rPr>
      </w:pPr>
      <w:r w:rsidRPr="00E94A55">
        <w:rPr>
          <w:rFonts w:ascii="Arial" w:hAnsi="Arial" w:cs="Arial"/>
          <w:shd w:val="clear" w:color="auto" w:fill="FFFFFF"/>
        </w:rPr>
        <w:t xml:space="preserve">Kalyuga, S. and Sweller, J. (2018) ‘Cognitive load and expertise reversal’, in Ericsson, E. Hoffman, R., Kozbelt, and A. Williams, A. (Eds.), </w:t>
      </w:r>
      <w:r w:rsidRPr="00E94A55">
        <w:rPr>
          <w:rStyle w:val="Emphasis"/>
          <w:rFonts w:ascii="Arial" w:hAnsi="Arial" w:cs="Arial"/>
        </w:rPr>
        <w:t>Cambridge handbooks in psychology. The Cambridge handbook of expertise and expert performance</w:t>
      </w:r>
      <w:r w:rsidRPr="00E94A55">
        <w:rPr>
          <w:rFonts w:ascii="Arial" w:hAnsi="Arial" w:cs="Arial"/>
          <w:shd w:val="clear" w:color="auto" w:fill="FFFFFF"/>
        </w:rPr>
        <w:t xml:space="preserve">. Cambridge: Cambridge University Press. </w:t>
      </w:r>
    </w:p>
    <w:p w14:paraId="67006FE9" w14:textId="55EE3543" w:rsidR="00AD6442" w:rsidRDefault="00AD6442" w:rsidP="00704E8B">
      <w:pPr>
        <w:spacing w:line="360" w:lineRule="auto"/>
        <w:rPr>
          <w:rFonts w:ascii="Arial" w:hAnsi="Arial" w:cs="Arial"/>
        </w:rPr>
      </w:pPr>
    </w:p>
    <w:p w14:paraId="2E7E3BBC" w14:textId="063AAA18" w:rsidR="00D63075" w:rsidRDefault="00D63075" w:rsidP="00704E8B">
      <w:pPr>
        <w:spacing w:line="360" w:lineRule="auto"/>
        <w:rPr>
          <w:rFonts w:ascii="Arial" w:hAnsi="Arial" w:cs="Arial"/>
        </w:rPr>
      </w:pPr>
      <w:r>
        <w:rPr>
          <w:rFonts w:ascii="Arial" w:hAnsi="Arial" w:cs="Arial"/>
        </w:rPr>
        <w:t xml:space="preserve">Kirschner, P., Sweller, J., and Clark, R. (2010) ‘Why Minimal Guidance During Instruciton Does Not Work: An Analysis of the Failure of Constructivist, Discovery, Problem-Based, Experimental, and Inquiry-Based Teaching’, </w:t>
      </w:r>
      <w:r>
        <w:rPr>
          <w:rFonts w:ascii="Arial" w:hAnsi="Arial" w:cs="Arial"/>
          <w:i/>
          <w:iCs/>
        </w:rPr>
        <w:t>Educational Psychologist, 41(2), pp. 75-86,</w:t>
      </w:r>
      <w:r>
        <w:rPr>
          <w:rFonts w:ascii="Arial" w:hAnsi="Arial" w:cs="Arial"/>
          <w:i/>
          <w:iCs/>
        </w:rPr>
        <w:br/>
      </w:r>
      <w:r w:rsidRPr="00D63075">
        <w:rPr>
          <w:rFonts w:ascii="Arial" w:hAnsi="Arial" w:cs="Arial"/>
        </w:rPr>
        <w:t>DOI: 10.1207/s15326985ep4102_1</w:t>
      </w:r>
    </w:p>
    <w:p w14:paraId="139C183D" w14:textId="665A9481" w:rsidR="002A48AE" w:rsidRDefault="002A48AE" w:rsidP="00704E8B">
      <w:pPr>
        <w:spacing w:line="360" w:lineRule="auto"/>
        <w:rPr>
          <w:rFonts w:ascii="Arial" w:hAnsi="Arial" w:cs="Arial"/>
        </w:rPr>
      </w:pPr>
    </w:p>
    <w:p w14:paraId="3C00097B" w14:textId="3DEAE988" w:rsidR="002A48AE" w:rsidRPr="00D63075" w:rsidRDefault="002A48AE" w:rsidP="00704E8B">
      <w:pPr>
        <w:spacing w:line="360" w:lineRule="auto"/>
        <w:rPr>
          <w:rFonts w:ascii="Arial" w:hAnsi="Arial" w:cs="Arial"/>
          <w:i/>
          <w:iCs/>
        </w:rPr>
      </w:pPr>
      <w:r>
        <w:rPr>
          <w:rFonts w:ascii="Arial" w:hAnsi="Arial" w:cs="Arial"/>
        </w:rPr>
        <w:t xml:space="preserve">Kolomitro, K., and MacKenzie, L. (2019) ‘Using Think-Alouds to Explore Problem-Solving Procedures for Antatomy Students’, </w:t>
      </w:r>
      <w:r w:rsidR="0062744B">
        <w:rPr>
          <w:rFonts w:ascii="Arial" w:hAnsi="Arial" w:cs="Arial"/>
          <w:i/>
          <w:iCs/>
        </w:rPr>
        <w:t xml:space="preserve">FACEB Journal, </w:t>
      </w:r>
      <w:r w:rsidR="003D35D7">
        <w:rPr>
          <w:rFonts w:ascii="Arial" w:hAnsi="Arial" w:cs="Arial"/>
        </w:rPr>
        <w:t>33(1)</w:t>
      </w:r>
      <w:r w:rsidR="003D35D7">
        <w:rPr>
          <w:rFonts w:ascii="Arial" w:hAnsi="Arial" w:cs="Arial"/>
        </w:rPr>
        <w:br/>
      </w:r>
    </w:p>
    <w:p w14:paraId="387320CB" w14:textId="77777777" w:rsidR="00D63075" w:rsidRPr="001B5092" w:rsidRDefault="00D63075" w:rsidP="00704E8B">
      <w:pPr>
        <w:spacing w:line="360" w:lineRule="auto"/>
        <w:rPr>
          <w:rFonts w:ascii="Arial" w:hAnsi="Arial" w:cs="Arial"/>
        </w:rPr>
      </w:pPr>
    </w:p>
    <w:p w14:paraId="5E289649" w14:textId="7C0AD167" w:rsidR="00DF23BE" w:rsidRDefault="00AD6442" w:rsidP="00704E8B">
      <w:pPr>
        <w:spacing w:line="360" w:lineRule="auto"/>
        <w:rPr>
          <w:rFonts w:ascii="Arial" w:hAnsi="Arial" w:cs="Arial"/>
        </w:rPr>
      </w:pPr>
      <w:r w:rsidRPr="001B5092">
        <w:rPr>
          <w:rFonts w:ascii="Arial" w:hAnsi="Arial" w:cs="Arial"/>
        </w:rPr>
        <w:t xml:space="preserve">Larssen, D., Mosvold, R., Cajkler, W. &amp; Bjuland R. (2017) ‘A literature review of lesson study in initial teacher education: Perspectives about learning and observation’, </w:t>
      </w:r>
      <w:r w:rsidRPr="001B5092">
        <w:rPr>
          <w:rFonts w:ascii="Arial" w:hAnsi="Arial" w:cs="Arial"/>
          <w:i/>
          <w:iCs/>
        </w:rPr>
        <w:t>International Journal for Lesson and Learning Studies</w:t>
      </w:r>
      <w:r w:rsidRPr="001B5092">
        <w:rPr>
          <w:rFonts w:ascii="Arial" w:hAnsi="Arial" w:cs="Arial"/>
        </w:rPr>
        <w:t xml:space="preserve">, 7(1), pp.8-22, </w:t>
      </w:r>
      <w:r w:rsidRPr="001B5092">
        <w:rPr>
          <w:rFonts w:ascii="Arial" w:hAnsi="Arial" w:cs="Arial"/>
        </w:rPr>
        <w:br/>
      </w:r>
      <w:r w:rsidR="00704E8B" w:rsidRPr="00704E8B">
        <w:rPr>
          <w:rFonts w:ascii="Arial" w:hAnsi="Arial" w:cs="Arial"/>
        </w:rPr>
        <w:t>https://doi.org/10.1108/IJLLS-06-2017-0030</w:t>
      </w:r>
    </w:p>
    <w:p w14:paraId="623F8EE1" w14:textId="77777777" w:rsidR="00704E8B" w:rsidRDefault="00704E8B" w:rsidP="00704E8B">
      <w:pPr>
        <w:spacing w:line="360" w:lineRule="auto"/>
        <w:rPr>
          <w:rFonts w:ascii="Arial" w:hAnsi="Arial" w:cs="Arial"/>
        </w:rPr>
      </w:pPr>
    </w:p>
    <w:p w14:paraId="24EC8739" w14:textId="77777777" w:rsidR="00DF20F7" w:rsidRPr="00DF20F7" w:rsidRDefault="00DF20F7" w:rsidP="00704E8B">
      <w:pPr>
        <w:spacing w:line="360" w:lineRule="auto"/>
        <w:rPr>
          <w:rFonts w:ascii="Arial" w:hAnsi="Arial" w:cs="Arial"/>
        </w:rPr>
      </w:pPr>
      <w:r w:rsidRPr="00DF20F7">
        <w:rPr>
          <w:rFonts w:ascii="Arial" w:hAnsi="Arial" w:cs="Arial"/>
        </w:rPr>
        <w:t xml:space="preserve">Leahy, W., &amp; Sweller, J. (2019) ‘Cognitive load theory, resource depletion and the delayed testing effect’, </w:t>
      </w:r>
      <w:r w:rsidRPr="00DF20F7">
        <w:rPr>
          <w:rFonts w:ascii="Arial" w:hAnsi="Arial" w:cs="Arial"/>
          <w:i/>
          <w:iCs/>
        </w:rPr>
        <w:t>Educational Psychology Review</w:t>
      </w:r>
      <w:r w:rsidRPr="00DF20F7">
        <w:rPr>
          <w:rFonts w:ascii="Arial" w:hAnsi="Arial" w:cs="Arial"/>
        </w:rPr>
        <w:t>, 31, pp. 457-478</w:t>
      </w:r>
      <w:r w:rsidRPr="00DF20F7">
        <w:rPr>
          <w:rFonts w:ascii="Arial" w:hAnsi="Arial" w:cs="Arial"/>
        </w:rPr>
        <w:br/>
      </w:r>
      <w:r w:rsidRPr="00DF20F7">
        <w:rPr>
          <w:rFonts w:ascii="Arial" w:hAnsi="Arial" w:cs="Arial"/>
          <w:shd w:val="clear" w:color="auto" w:fill="FCFCFC"/>
        </w:rPr>
        <w:t>https://doi.org/10.1007/s10648-019-09476-2</w:t>
      </w:r>
    </w:p>
    <w:p w14:paraId="26F52080" w14:textId="77777777" w:rsidR="00DF20F7" w:rsidRDefault="00DF20F7" w:rsidP="00704E8B">
      <w:pPr>
        <w:spacing w:line="360" w:lineRule="auto"/>
        <w:rPr>
          <w:rFonts w:ascii="Arial" w:hAnsi="Arial" w:cs="Arial"/>
        </w:rPr>
      </w:pPr>
    </w:p>
    <w:p w14:paraId="5C583564" w14:textId="77777777" w:rsidR="00422EAB" w:rsidRPr="00422EAB" w:rsidRDefault="00422EAB" w:rsidP="00704E8B">
      <w:pPr>
        <w:spacing w:line="360" w:lineRule="auto"/>
        <w:rPr>
          <w:rFonts w:ascii="Arial" w:hAnsi="Arial" w:cs="Arial"/>
        </w:rPr>
      </w:pPr>
      <w:r w:rsidRPr="00422EAB">
        <w:rPr>
          <w:rFonts w:ascii="Arial" w:hAnsi="Arial" w:cs="Arial"/>
        </w:rPr>
        <w:t xml:space="preserve">Lightbown, P. &amp; Spada, N. (2006) </w:t>
      </w:r>
      <w:r w:rsidRPr="00422EAB">
        <w:rPr>
          <w:rFonts w:ascii="Arial" w:hAnsi="Arial" w:cs="Arial"/>
          <w:i/>
          <w:iCs/>
        </w:rPr>
        <w:t>How languages are learned</w:t>
      </w:r>
      <w:r w:rsidRPr="00422EAB">
        <w:rPr>
          <w:rFonts w:ascii="Arial" w:hAnsi="Arial" w:cs="Arial"/>
        </w:rPr>
        <w:t>. Oxford: Oxford University Press.</w:t>
      </w:r>
    </w:p>
    <w:p w14:paraId="0159CD3B" w14:textId="6D22F48C" w:rsidR="00E3479F" w:rsidRDefault="00E3479F" w:rsidP="00704E8B">
      <w:pPr>
        <w:spacing w:line="360" w:lineRule="auto"/>
        <w:rPr>
          <w:rFonts w:ascii="Arial" w:hAnsi="Arial" w:cs="Arial"/>
        </w:rPr>
      </w:pPr>
    </w:p>
    <w:p w14:paraId="09A9E3D9" w14:textId="77777777" w:rsidR="00E3479F" w:rsidRPr="00E3479F" w:rsidRDefault="00E3479F" w:rsidP="00704E8B">
      <w:pPr>
        <w:spacing w:line="360" w:lineRule="auto"/>
        <w:rPr>
          <w:rFonts w:ascii="Arial" w:hAnsi="Arial" w:cs="Arial"/>
        </w:rPr>
      </w:pPr>
      <w:r w:rsidRPr="00E3479F">
        <w:rPr>
          <w:rFonts w:ascii="Arial" w:hAnsi="Arial" w:cs="Arial"/>
        </w:rPr>
        <w:lastRenderedPageBreak/>
        <w:t xml:space="preserve">Mancineti, M., Guttormsen, S. and Berendonk, C. (2019) ‘Cognitive load in internal medicine: What every clinical teacher should know about Cognitive Load Theory’, </w:t>
      </w:r>
      <w:r w:rsidRPr="00E3479F">
        <w:rPr>
          <w:rFonts w:ascii="Arial" w:hAnsi="Arial" w:cs="Arial"/>
          <w:i/>
          <w:iCs/>
        </w:rPr>
        <w:t>European Journal of Internal Medicine,</w:t>
      </w:r>
      <w:r w:rsidRPr="00E3479F">
        <w:rPr>
          <w:rFonts w:ascii="Arial" w:hAnsi="Arial" w:cs="Arial"/>
        </w:rPr>
        <w:t xml:space="preserve"> 60, pp. 4-8</w:t>
      </w:r>
      <w:r w:rsidRPr="00E3479F">
        <w:rPr>
          <w:rFonts w:ascii="Arial" w:hAnsi="Arial" w:cs="Arial"/>
        </w:rPr>
        <w:br/>
        <w:t>https://doi.org/10.1016/j.ejim.2018.08.013</w:t>
      </w:r>
    </w:p>
    <w:p w14:paraId="0FF5C534" w14:textId="77777777" w:rsidR="00E3479F" w:rsidRPr="0069632E" w:rsidRDefault="00E3479F" w:rsidP="00704E8B">
      <w:pPr>
        <w:spacing w:line="360" w:lineRule="auto"/>
        <w:rPr>
          <w:rFonts w:ascii="Arial" w:hAnsi="Arial" w:cs="Arial"/>
        </w:rPr>
      </w:pPr>
    </w:p>
    <w:p w14:paraId="27D136E0" w14:textId="78052772" w:rsidR="002C16E4" w:rsidRDefault="0069632E" w:rsidP="00704E8B">
      <w:pPr>
        <w:spacing w:line="360" w:lineRule="auto"/>
        <w:rPr>
          <w:rFonts w:ascii="Arial" w:hAnsi="Arial" w:cs="Arial"/>
        </w:rPr>
      </w:pPr>
      <w:r w:rsidRPr="0069632E">
        <w:rPr>
          <w:rFonts w:ascii="Arial" w:hAnsi="Arial" w:cs="Arial"/>
        </w:rPr>
        <w:t xml:space="preserve">Myhil, D. &amp; Warren, P. (2005) ‘Scaffolds or straitjackets? Critical moments in classroom discourse’. </w:t>
      </w:r>
      <w:r w:rsidRPr="0069632E">
        <w:rPr>
          <w:rFonts w:ascii="Arial" w:hAnsi="Arial" w:cs="Arial"/>
          <w:i/>
          <w:iCs/>
        </w:rPr>
        <w:t>Educational Review,</w:t>
      </w:r>
      <w:r w:rsidRPr="0069632E">
        <w:rPr>
          <w:rFonts w:ascii="Arial" w:hAnsi="Arial" w:cs="Arial"/>
        </w:rPr>
        <w:t xml:space="preserve"> 57(1) pp. 55-69</w:t>
      </w:r>
      <w:r w:rsidRPr="0069632E">
        <w:rPr>
          <w:rFonts w:ascii="Arial" w:hAnsi="Arial" w:cs="Arial"/>
        </w:rPr>
        <w:br/>
      </w:r>
      <w:r w:rsidR="002C16E4" w:rsidRPr="002C16E4">
        <w:rPr>
          <w:rFonts w:ascii="Arial" w:hAnsi="Arial" w:cs="Arial"/>
        </w:rPr>
        <w:t>https://doi.org/10.1080/0013191042000274187</w:t>
      </w:r>
    </w:p>
    <w:p w14:paraId="69396DC6" w14:textId="3AC3188F" w:rsidR="002C16E4" w:rsidRDefault="002C16E4" w:rsidP="00704E8B">
      <w:pPr>
        <w:spacing w:line="360" w:lineRule="auto"/>
        <w:ind w:left="360"/>
        <w:rPr>
          <w:rFonts w:ascii="Arial" w:hAnsi="Arial" w:cs="Arial"/>
        </w:rPr>
      </w:pPr>
    </w:p>
    <w:p w14:paraId="5A91403C" w14:textId="115A22F4" w:rsidR="003B2185" w:rsidRPr="002730FB" w:rsidRDefault="002730FB" w:rsidP="002730FB">
      <w:pPr>
        <w:spacing w:line="360" w:lineRule="auto"/>
        <w:rPr>
          <w:rFonts w:ascii="Arial" w:hAnsi="Arial" w:cs="Arial"/>
        </w:rPr>
      </w:pPr>
      <w:r>
        <w:rPr>
          <w:rFonts w:ascii="Arial" w:hAnsi="Arial" w:cs="Arial"/>
        </w:rPr>
        <w:t xml:space="preserve">Naibaho, L. (2019) ‘The Effectiveness of Scaffolding Method on Students’ Speaking Achievement’, </w:t>
      </w:r>
      <w:r>
        <w:rPr>
          <w:rFonts w:ascii="Arial" w:hAnsi="Arial" w:cs="Arial"/>
          <w:i/>
          <w:iCs/>
        </w:rPr>
        <w:t xml:space="preserve">International Journal of Research – Granthaalayah, </w:t>
      </w:r>
      <w:r w:rsidRPr="002730FB">
        <w:rPr>
          <w:rFonts w:ascii="Arial" w:hAnsi="Arial" w:cs="Arial"/>
        </w:rPr>
        <w:t xml:space="preserve">7(5), </w:t>
      </w:r>
      <w:r>
        <w:rPr>
          <w:rFonts w:ascii="Arial" w:hAnsi="Arial" w:cs="Arial"/>
        </w:rPr>
        <w:t>pp. 193-201</w:t>
      </w:r>
      <w:r w:rsidR="003B2185">
        <w:rPr>
          <w:rFonts w:ascii="Arial" w:hAnsi="Arial" w:cs="Arial"/>
        </w:rPr>
        <w:br/>
      </w:r>
      <w:r w:rsidR="003B2185" w:rsidRPr="003B2185">
        <w:rPr>
          <w:rFonts w:ascii="Arial" w:hAnsi="Arial" w:cs="Arial"/>
        </w:rPr>
        <w:t>DOI: 10.5281/zenodo.3238391</w:t>
      </w:r>
    </w:p>
    <w:p w14:paraId="7088AF2E" w14:textId="77777777" w:rsidR="002730FB" w:rsidRPr="002C16E4" w:rsidRDefault="002730FB" w:rsidP="00704E8B">
      <w:pPr>
        <w:spacing w:line="360" w:lineRule="auto"/>
        <w:ind w:left="360"/>
        <w:rPr>
          <w:rFonts w:ascii="Arial" w:hAnsi="Arial" w:cs="Arial"/>
        </w:rPr>
      </w:pPr>
    </w:p>
    <w:p w14:paraId="5B35365F" w14:textId="77777777" w:rsidR="002C16E4" w:rsidRPr="002C16E4" w:rsidRDefault="002C16E4" w:rsidP="00704E8B">
      <w:pPr>
        <w:spacing w:line="360" w:lineRule="auto"/>
        <w:rPr>
          <w:rFonts w:ascii="Arial" w:hAnsi="Arial" w:cs="Arial"/>
        </w:rPr>
      </w:pPr>
      <w:r w:rsidRPr="002C16E4">
        <w:rPr>
          <w:rFonts w:ascii="Arial" w:hAnsi="Arial" w:cs="Arial"/>
        </w:rPr>
        <w:t xml:space="preserve">Newby, P. (2014) </w:t>
      </w:r>
      <w:r w:rsidRPr="002C16E4">
        <w:rPr>
          <w:rFonts w:ascii="Arial" w:hAnsi="Arial" w:cs="Arial"/>
          <w:i/>
          <w:iCs/>
        </w:rPr>
        <w:t xml:space="preserve">Research Methods in Education, </w:t>
      </w:r>
      <w:r w:rsidRPr="002C16E4">
        <w:rPr>
          <w:rFonts w:ascii="Arial" w:hAnsi="Arial" w:cs="Arial"/>
        </w:rPr>
        <w:t>London: Routledge</w:t>
      </w:r>
    </w:p>
    <w:p w14:paraId="30096D04" w14:textId="77777777" w:rsidR="0069632E" w:rsidRPr="0069632E" w:rsidRDefault="0069632E" w:rsidP="00704E8B">
      <w:pPr>
        <w:spacing w:line="360" w:lineRule="auto"/>
        <w:rPr>
          <w:rFonts w:ascii="Arial" w:hAnsi="Arial" w:cs="Arial"/>
          <w:shd w:val="clear" w:color="auto" w:fill="FCFCFC"/>
        </w:rPr>
      </w:pPr>
    </w:p>
    <w:p w14:paraId="0BA8494D" w14:textId="20F4A8A3" w:rsidR="0069632E" w:rsidRPr="00D42EC8" w:rsidRDefault="0069632E" w:rsidP="00704E8B">
      <w:pPr>
        <w:spacing w:line="360" w:lineRule="auto"/>
        <w:rPr>
          <w:rFonts w:ascii="Arial" w:hAnsi="Arial" w:cs="Arial"/>
        </w:rPr>
      </w:pPr>
      <w:r w:rsidRPr="009B45C2">
        <w:rPr>
          <w:rFonts w:ascii="Arial" w:hAnsi="Arial" w:cs="Arial"/>
        </w:rPr>
        <w:t xml:space="preserve">Offerdahl, E., Arneson, J. and Byrne, N. (2017) ‘Lighten the Load: Scaffolding Visual Literacy in Biochemistry and Molecular Biology’, </w:t>
      </w:r>
      <w:r w:rsidRPr="009B45C2">
        <w:rPr>
          <w:rFonts w:ascii="Arial" w:hAnsi="Arial" w:cs="Arial"/>
          <w:i/>
          <w:iCs/>
        </w:rPr>
        <w:t>Life Sciences Education</w:t>
      </w:r>
      <w:r w:rsidRPr="009B45C2">
        <w:rPr>
          <w:rFonts w:ascii="Arial" w:hAnsi="Arial" w:cs="Arial"/>
        </w:rPr>
        <w:t>, 16(1) pp. 1-11</w:t>
      </w:r>
      <w:r w:rsidRPr="009B45C2">
        <w:rPr>
          <w:rFonts w:ascii="Arial" w:hAnsi="Arial" w:cs="Arial"/>
        </w:rPr>
        <w:br/>
      </w:r>
      <w:r w:rsidRPr="009B45C2">
        <w:rPr>
          <w:rStyle w:val="epub-sectionitem"/>
          <w:rFonts w:ascii="Arial" w:hAnsi="Arial" w:cs="Arial"/>
        </w:rPr>
        <w:t>https://doi.org/10.1187/cbe.16-06-0193</w:t>
      </w:r>
    </w:p>
    <w:p w14:paraId="09055340" w14:textId="77777777" w:rsidR="00386A70" w:rsidRPr="00386A70" w:rsidRDefault="00386A70" w:rsidP="00704E8B">
      <w:pPr>
        <w:spacing w:line="360" w:lineRule="auto"/>
        <w:rPr>
          <w:rFonts w:ascii="Arial" w:hAnsi="Arial" w:cs="Arial"/>
          <w:shd w:val="clear" w:color="auto" w:fill="FCFCFC"/>
        </w:rPr>
      </w:pPr>
    </w:p>
    <w:p w14:paraId="2C576451" w14:textId="77777777" w:rsidR="00386A70" w:rsidRPr="005364CB" w:rsidRDefault="00386A70" w:rsidP="00704E8B">
      <w:pPr>
        <w:spacing w:line="360" w:lineRule="auto"/>
        <w:rPr>
          <w:rFonts w:ascii="Arial" w:hAnsi="Arial" w:cs="Arial"/>
        </w:rPr>
      </w:pPr>
      <w:r w:rsidRPr="00386A70">
        <w:rPr>
          <w:rFonts w:ascii="Arial" w:hAnsi="Arial" w:cs="Arial"/>
          <w:shd w:val="clear" w:color="auto" w:fill="FFFFFF"/>
        </w:rPr>
        <w:t xml:space="preserve">Osgood, C., and Tannenbaum, P. (1955). ‘The principle of congruity in the prediction of attitude change, </w:t>
      </w:r>
      <w:r w:rsidRPr="00386A70">
        <w:rPr>
          <w:rStyle w:val="Emphasis"/>
          <w:rFonts w:ascii="Arial" w:hAnsi="Arial" w:cs="Arial"/>
        </w:rPr>
        <w:t xml:space="preserve">Psychological Review, </w:t>
      </w:r>
      <w:r w:rsidRPr="00386A70">
        <w:rPr>
          <w:rStyle w:val="Emphasis"/>
          <w:rFonts w:ascii="Arial" w:hAnsi="Arial" w:cs="Arial"/>
          <w:i w:val="0"/>
        </w:rPr>
        <w:t>62</w:t>
      </w:r>
      <w:r w:rsidRPr="00386A70">
        <w:rPr>
          <w:rFonts w:ascii="Arial" w:hAnsi="Arial" w:cs="Arial"/>
          <w:i/>
          <w:iCs/>
          <w:shd w:val="clear" w:color="auto" w:fill="FFFFFF"/>
        </w:rPr>
        <w:t>(</w:t>
      </w:r>
      <w:r w:rsidRPr="00386A70">
        <w:rPr>
          <w:rFonts w:ascii="Arial" w:hAnsi="Arial" w:cs="Arial"/>
          <w:shd w:val="clear" w:color="auto" w:fill="FFFFFF"/>
        </w:rPr>
        <w:t xml:space="preserve">1), pp. 42–55. </w:t>
      </w:r>
      <w:r w:rsidRPr="00386A70">
        <w:rPr>
          <w:rFonts w:ascii="Arial" w:hAnsi="Arial" w:cs="Arial"/>
          <w:shd w:val="clear" w:color="auto" w:fill="FFFFFF"/>
        </w:rPr>
        <w:br/>
      </w:r>
      <w:r w:rsidRPr="00386A70">
        <w:rPr>
          <w:rFonts w:ascii="Arial" w:hAnsi="Arial" w:cs="Arial"/>
        </w:rPr>
        <w:t>https://</w:t>
      </w:r>
      <w:r w:rsidRPr="005364CB">
        <w:rPr>
          <w:rFonts w:ascii="Arial" w:hAnsi="Arial" w:cs="Arial"/>
        </w:rPr>
        <w:t>doi.org/10.1037/h0048153</w:t>
      </w:r>
    </w:p>
    <w:p w14:paraId="10174D4B" w14:textId="77777777" w:rsidR="000B255F" w:rsidRPr="005364CB" w:rsidRDefault="000B255F" w:rsidP="00704E8B">
      <w:pPr>
        <w:spacing w:line="360" w:lineRule="auto"/>
        <w:rPr>
          <w:rFonts w:ascii="Arial" w:hAnsi="Arial" w:cs="Arial"/>
          <w:shd w:val="clear" w:color="auto" w:fill="FCFCFC"/>
        </w:rPr>
      </w:pPr>
    </w:p>
    <w:p w14:paraId="39A3E3B2" w14:textId="424C5235" w:rsidR="00275F16" w:rsidRPr="005364CB" w:rsidRDefault="00275F16" w:rsidP="00704E8B">
      <w:pPr>
        <w:spacing w:line="360" w:lineRule="auto"/>
        <w:rPr>
          <w:rFonts w:ascii="Arial" w:hAnsi="Arial" w:cs="Arial"/>
          <w:shd w:val="clear" w:color="auto" w:fill="FCFCFC"/>
        </w:rPr>
      </w:pPr>
      <w:r w:rsidRPr="005364CB">
        <w:rPr>
          <w:rFonts w:ascii="Arial" w:hAnsi="Arial" w:cs="Arial"/>
        </w:rPr>
        <w:t xml:space="preserve">Paton, G. (2010) </w:t>
      </w:r>
      <w:r w:rsidRPr="005364CB">
        <w:rPr>
          <w:rFonts w:ascii="Arial" w:hAnsi="Arial" w:cs="Arial"/>
          <w:i/>
        </w:rPr>
        <w:t>Spoon-fed students lack resilience needed at Oxbridge</w:t>
      </w:r>
      <w:r w:rsidRPr="005364CB">
        <w:rPr>
          <w:rFonts w:ascii="Arial" w:hAnsi="Arial" w:cs="Arial"/>
        </w:rPr>
        <w:t xml:space="preserve">. Available at: </w:t>
      </w:r>
      <w:r w:rsidR="00163493" w:rsidRPr="00163493">
        <w:rPr>
          <w:rFonts w:ascii="Arial" w:hAnsi="Arial" w:cs="Arial"/>
          <w:shd w:val="clear" w:color="auto" w:fill="FCFCFC"/>
        </w:rPr>
        <w:t>https://www.telegraph.co.uk/education/educationnews/8194038/Spoon-fed-students-lack-resilience-needed-at-Oxbridge.html</w:t>
      </w:r>
      <w:r w:rsidR="00163493">
        <w:rPr>
          <w:rFonts w:ascii="Arial" w:hAnsi="Arial" w:cs="Arial"/>
          <w:shd w:val="clear" w:color="auto" w:fill="FCFCFC"/>
        </w:rPr>
        <w:t xml:space="preserve">. </w:t>
      </w:r>
      <w:r w:rsidRPr="005364CB">
        <w:rPr>
          <w:rStyle w:val="Hyperlink"/>
          <w:rFonts w:ascii="Arial" w:hAnsi="Arial" w:cs="Arial"/>
          <w:color w:val="auto"/>
          <w:u w:val="none"/>
          <w:shd w:val="clear" w:color="auto" w:fill="FCFCFC"/>
        </w:rPr>
        <w:t xml:space="preserve"> [Accessed on 15 January 2020]</w:t>
      </w:r>
    </w:p>
    <w:p w14:paraId="5F62F350" w14:textId="77777777" w:rsidR="00275F16" w:rsidRPr="005364CB" w:rsidRDefault="00275F16" w:rsidP="00704E8B">
      <w:pPr>
        <w:spacing w:line="360" w:lineRule="auto"/>
        <w:rPr>
          <w:rFonts w:ascii="Arial" w:hAnsi="Arial" w:cs="Arial"/>
          <w:shd w:val="clear" w:color="auto" w:fill="FCFCFC"/>
        </w:rPr>
      </w:pPr>
    </w:p>
    <w:p w14:paraId="721D211F" w14:textId="77777777" w:rsidR="00275F16" w:rsidRPr="005364CB" w:rsidRDefault="00275F16" w:rsidP="00704E8B">
      <w:pPr>
        <w:spacing w:line="360" w:lineRule="auto"/>
        <w:rPr>
          <w:rFonts w:ascii="Arial" w:hAnsi="Arial" w:cs="Arial"/>
          <w:shd w:val="clear" w:color="auto" w:fill="FCFCFC"/>
        </w:rPr>
      </w:pPr>
      <w:r w:rsidRPr="005364CB">
        <w:rPr>
          <w:rFonts w:ascii="Arial" w:hAnsi="Arial" w:cs="Arial"/>
          <w:shd w:val="clear" w:color="auto" w:fill="FCFCFC"/>
        </w:rPr>
        <w:t xml:space="preserve">Paton, G. (2012) </w:t>
      </w:r>
      <w:r w:rsidRPr="005364CB">
        <w:rPr>
          <w:rFonts w:ascii="Arial" w:hAnsi="Arial" w:cs="Arial"/>
          <w:i/>
          <w:shd w:val="clear" w:color="auto" w:fill="FCFCFC"/>
        </w:rPr>
        <w:t>Spoon-fed students given tuition in basic skills at university.</w:t>
      </w:r>
      <w:r w:rsidRPr="005364CB">
        <w:rPr>
          <w:rFonts w:ascii="Arial" w:hAnsi="Arial" w:cs="Arial"/>
          <w:shd w:val="clear" w:color="auto" w:fill="FCFCFC"/>
        </w:rPr>
        <w:t xml:space="preserve"> Available at:</w:t>
      </w:r>
      <w:r w:rsidRPr="005364CB">
        <w:rPr>
          <w:rFonts w:ascii="Arial" w:hAnsi="Arial" w:cs="Arial"/>
          <w:shd w:val="clear" w:color="auto" w:fill="FCFCFC"/>
        </w:rPr>
        <w:br/>
        <w:t>https://www.telegraph.co.uk/education/educationnews/9180982/Spoon-fed-students-given-tuition-in-basic-skills-at-university.</w:t>
      </w:r>
      <w:r w:rsidRPr="007C424F">
        <w:rPr>
          <w:rFonts w:ascii="Arial" w:hAnsi="Arial" w:cs="Arial"/>
          <w:shd w:val="clear" w:color="auto" w:fill="FCFCFC"/>
        </w:rPr>
        <w:t>html</w:t>
      </w:r>
      <w:r w:rsidRPr="007C424F">
        <w:rPr>
          <w:rStyle w:val="Hyperlink"/>
          <w:rFonts w:ascii="Arial" w:hAnsi="Arial" w:cs="Arial"/>
          <w:color w:val="auto"/>
          <w:u w:val="none"/>
          <w:shd w:val="clear" w:color="auto" w:fill="FCFCFC"/>
        </w:rPr>
        <w:t xml:space="preserve"> [Accessed on 15 January 2020]</w:t>
      </w:r>
    </w:p>
    <w:p w14:paraId="4862FE1B" w14:textId="77777777" w:rsidR="000B255F" w:rsidRPr="000B255F" w:rsidRDefault="000B255F" w:rsidP="00704E8B">
      <w:pPr>
        <w:spacing w:line="360" w:lineRule="auto"/>
        <w:rPr>
          <w:rFonts w:ascii="Arial" w:hAnsi="Arial" w:cs="Arial"/>
        </w:rPr>
      </w:pPr>
      <w:r w:rsidRPr="000B255F">
        <w:rPr>
          <w:rFonts w:ascii="Arial" w:hAnsi="Arial" w:cs="Arial"/>
        </w:rPr>
        <w:lastRenderedPageBreak/>
        <w:t xml:space="preserve">Philip, J. Adams, R. and Iwashita, N. (2014) </w:t>
      </w:r>
      <w:r w:rsidRPr="000B255F">
        <w:rPr>
          <w:rFonts w:ascii="Arial" w:hAnsi="Arial" w:cs="Arial"/>
          <w:i/>
          <w:iCs/>
        </w:rPr>
        <w:t>Peer Interaction and Second Language Learning</w:t>
      </w:r>
      <w:r w:rsidRPr="000B255F">
        <w:rPr>
          <w:rFonts w:ascii="Arial" w:hAnsi="Arial" w:cs="Arial"/>
        </w:rPr>
        <w:t>, New York: Routledge</w:t>
      </w:r>
    </w:p>
    <w:p w14:paraId="4DC59BD0" w14:textId="2C3976FE" w:rsidR="00C6405E" w:rsidRDefault="00C6405E" w:rsidP="007C111D">
      <w:pPr>
        <w:spacing w:line="360" w:lineRule="auto"/>
        <w:rPr>
          <w:rFonts w:ascii="Arial" w:hAnsi="Arial" w:cs="Arial"/>
        </w:rPr>
      </w:pPr>
    </w:p>
    <w:p w14:paraId="3396B1DC" w14:textId="04BE9615" w:rsidR="005864D6" w:rsidRDefault="005864D6" w:rsidP="007C111D">
      <w:pPr>
        <w:spacing w:line="360" w:lineRule="auto"/>
        <w:rPr>
          <w:rFonts w:ascii="Arial" w:hAnsi="Arial" w:cs="Arial"/>
        </w:rPr>
      </w:pPr>
      <w:r>
        <w:rPr>
          <w:rFonts w:ascii="Arial" w:hAnsi="Arial" w:cs="Arial"/>
        </w:rPr>
        <w:t>Prather, J., Pettit, R., Becker, B., Denny,</w:t>
      </w:r>
      <w:r w:rsidR="00481B6E">
        <w:rPr>
          <w:rFonts w:ascii="Arial" w:hAnsi="Arial" w:cs="Arial"/>
        </w:rPr>
        <w:t xml:space="preserve"> P., Loksa, D., Peters, A., Albrecht, Z., and Masci K. (2019) ‘First Things First: </w:t>
      </w:r>
      <w:r w:rsidR="003723CC">
        <w:rPr>
          <w:rFonts w:ascii="Arial" w:hAnsi="Arial" w:cs="Arial"/>
        </w:rPr>
        <w:t>Providing</w:t>
      </w:r>
      <w:r w:rsidR="00481B6E">
        <w:rPr>
          <w:rFonts w:ascii="Arial" w:hAnsi="Arial" w:cs="Arial"/>
        </w:rPr>
        <w:t xml:space="preserve"> Metacognitive Scaffolding For Interpreting Problem Prompts’,</w:t>
      </w:r>
      <w:r w:rsidR="003723CC">
        <w:rPr>
          <w:rFonts w:ascii="Arial" w:hAnsi="Arial" w:cs="Arial"/>
        </w:rPr>
        <w:t xml:space="preserve"> </w:t>
      </w:r>
      <w:hyperlink r:id="rId12" w:tooltip="SIGCSE '19: Proceedings of the 50th ACM Technical Symposium on Computer Science Education" w:history="1">
        <w:r w:rsidR="003723CC" w:rsidRPr="003723CC">
          <w:rPr>
            <w:rStyle w:val="epub-sectiontitle"/>
            <w:rFonts w:ascii="Arial" w:hAnsi="Arial" w:cs="Arial"/>
            <w:i/>
            <w:iCs/>
            <w:sz w:val="21"/>
            <w:szCs w:val="21"/>
          </w:rPr>
          <w:t>SIGCSE '19: Proceedings of the 50th ACM Technical Symposium on Computer Science Education</w:t>
        </w:r>
      </w:hyperlink>
      <w:r w:rsidR="003723CC" w:rsidRPr="003723CC">
        <w:rPr>
          <w:i/>
          <w:iCs/>
        </w:rPr>
        <w:t>,</w:t>
      </w:r>
      <w:r w:rsidR="00481B6E">
        <w:rPr>
          <w:rFonts w:ascii="Arial" w:hAnsi="Arial" w:cs="Arial"/>
        </w:rPr>
        <w:t xml:space="preserve"> </w:t>
      </w:r>
      <w:r w:rsidR="00452F22">
        <w:rPr>
          <w:rFonts w:ascii="Arial" w:hAnsi="Arial" w:cs="Arial"/>
        </w:rPr>
        <w:t>pp. 531-537</w:t>
      </w:r>
      <w:r w:rsidR="00452F22">
        <w:rPr>
          <w:rFonts w:ascii="Arial" w:hAnsi="Arial" w:cs="Arial"/>
        </w:rPr>
        <w:br/>
      </w:r>
      <w:r w:rsidR="001C3FFE" w:rsidRPr="001C3FFE">
        <w:rPr>
          <w:rFonts w:ascii="Arial" w:hAnsi="Arial" w:cs="Arial"/>
          <w:sz w:val="21"/>
          <w:szCs w:val="21"/>
        </w:rPr>
        <w:t>https://doi.org/10.1145/3287324.3287374</w:t>
      </w:r>
    </w:p>
    <w:p w14:paraId="675F27F8" w14:textId="77777777" w:rsidR="00100A0A" w:rsidRDefault="00100A0A" w:rsidP="007C111D">
      <w:pPr>
        <w:spacing w:line="360" w:lineRule="auto"/>
        <w:rPr>
          <w:rFonts w:ascii="Arial" w:hAnsi="Arial" w:cs="Arial"/>
        </w:rPr>
      </w:pPr>
    </w:p>
    <w:p w14:paraId="6B457B0A" w14:textId="699E8F2F" w:rsidR="007C111D" w:rsidRPr="00C6405E" w:rsidRDefault="007C111D" w:rsidP="007C111D">
      <w:pPr>
        <w:spacing w:line="360" w:lineRule="auto"/>
        <w:rPr>
          <w:rFonts w:ascii="Arial" w:hAnsi="Arial" w:cs="Arial"/>
        </w:rPr>
      </w:pPr>
      <w:r w:rsidRPr="00C6405E">
        <w:rPr>
          <w:rFonts w:ascii="Arial" w:hAnsi="Arial" w:cs="Arial"/>
        </w:rPr>
        <w:t>Rasku-Puttonen,</w:t>
      </w:r>
      <w:r w:rsidR="00C6405E" w:rsidRPr="00C6405E">
        <w:rPr>
          <w:rFonts w:ascii="Arial" w:hAnsi="Arial" w:cs="Arial"/>
        </w:rPr>
        <w:t xml:space="preserve"> H., Etalapelto, A., Arvaja, M., and Hakkinen, P.</w:t>
      </w:r>
      <w:r w:rsidRPr="00C6405E">
        <w:rPr>
          <w:rFonts w:ascii="Arial" w:hAnsi="Arial" w:cs="Arial"/>
        </w:rPr>
        <w:t xml:space="preserve"> </w:t>
      </w:r>
      <w:r w:rsidR="00C6405E" w:rsidRPr="00C6405E">
        <w:rPr>
          <w:rFonts w:ascii="Arial" w:hAnsi="Arial" w:cs="Arial"/>
        </w:rPr>
        <w:t>(</w:t>
      </w:r>
      <w:r w:rsidRPr="00C6405E">
        <w:rPr>
          <w:rFonts w:ascii="Arial" w:hAnsi="Arial" w:cs="Arial"/>
        </w:rPr>
        <w:t>2003</w:t>
      </w:r>
      <w:r w:rsidR="00C6405E" w:rsidRPr="00C6405E">
        <w:rPr>
          <w:rFonts w:ascii="Arial" w:hAnsi="Arial" w:cs="Arial"/>
        </w:rPr>
        <w:t xml:space="preserve">) ‘Is Successful Scaffolding an Illusion? – Shifting patterns of responsibility and control in </w:t>
      </w:r>
      <w:r w:rsidR="00824867">
        <w:rPr>
          <w:rFonts w:ascii="Arial" w:hAnsi="Arial" w:cs="Arial"/>
        </w:rPr>
        <w:t>t</w:t>
      </w:r>
      <w:r w:rsidR="00C6405E" w:rsidRPr="00C6405E">
        <w:rPr>
          <w:rFonts w:ascii="Arial" w:hAnsi="Arial" w:cs="Arial"/>
        </w:rPr>
        <w:t xml:space="preserve">eacher-student interaction during a long-term learning project’, </w:t>
      </w:r>
      <w:r w:rsidR="00C6405E" w:rsidRPr="00C6405E">
        <w:rPr>
          <w:rFonts w:ascii="Arial" w:hAnsi="Arial" w:cs="Arial"/>
          <w:i/>
          <w:iCs/>
        </w:rPr>
        <w:t xml:space="preserve">Instructional Science, </w:t>
      </w:r>
      <w:r w:rsidR="00C6405E" w:rsidRPr="00C6405E">
        <w:rPr>
          <w:rFonts w:ascii="Arial" w:hAnsi="Arial" w:cs="Arial"/>
        </w:rPr>
        <w:t>31</w:t>
      </w:r>
      <w:r w:rsidR="00EF1464">
        <w:rPr>
          <w:rFonts w:ascii="Arial" w:hAnsi="Arial" w:cs="Arial"/>
        </w:rPr>
        <w:t>.</w:t>
      </w:r>
      <w:r w:rsidR="00C6405E" w:rsidRPr="00C6405E">
        <w:rPr>
          <w:rFonts w:ascii="Arial" w:hAnsi="Arial" w:cs="Arial"/>
        </w:rPr>
        <w:t xml:space="preserve"> pp. 377-393</w:t>
      </w:r>
      <w:r w:rsidR="00C6405E" w:rsidRPr="00C6405E">
        <w:rPr>
          <w:rFonts w:ascii="Arial" w:hAnsi="Arial" w:cs="Arial"/>
        </w:rPr>
        <w:br/>
      </w:r>
      <w:r w:rsidR="00C6405E" w:rsidRPr="00C6405E">
        <w:rPr>
          <w:rFonts w:ascii="Arial" w:hAnsi="Arial" w:cs="Arial"/>
          <w:color w:val="333333"/>
          <w:shd w:val="clear" w:color="auto" w:fill="FCFCFC"/>
        </w:rPr>
        <w:t>https://doi.org/10.1023/A:1025700810376</w:t>
      </w:r>
    </w:p>
    <w:p w14:paraId="18BB2428" w14:textId="77777777" w:rsidR="000B255F" w:rsidRPr="000B255F" w:rsidRDefault="000B255F" w:rsidP="00704E8B">
      <w:pPr>
        <w:spacing w:line="360" w:lineRule="auto"/>
        <w:rPr>
          <w:rFonts w:ascii="Arial" w:hAnsi="Arial" w:cs="Arial"/>
        </w:rPr>
      </w:pPr>
    </w:p>
    <w:p w14:paraId="3125AC90" w14:textId="77777777" w:rsidR="009F516D" w:rsidRPr="001D3DC1" w:rsidRDefault="009F516D" w:rsidP="00704E8B">
      <w:pPr>
        <w:spacing w:line="360" w:lineRule="auto"/>
        <w:rPr>
          <w:rFonts w:ascii="Arial" w:hAnsi="Arial" w:cs="Arial"/>
          <w:shd w:val="clear" w:color="auto" w:fill="FCFCFC"/>
        </w:rPr>
      </w:pPr>
      <w:r w:rsidRPr="009F516D">
        <w:rPr>
          <w:rFonts w:ascii="Arial" w:hAnsi="Arial" w:cs="Arial"/>
          <w:shd w:val="clear" w:color="auto" w:fill="FCFCFC"/>
        </w:rPr>
        <w:t xml:space="preserve">Renkle, A. and Atkinson, R. (2010) ‘Learning from worked-out examples and problem solving’, in Plass, J., Moreno, R., and Brunken, R. (Eds.), </w:t>
      </w:r>
      <w:r w:rsidRPr="009F516D">
        <w:rPr>
          <w:rFonts w:ascii="Arial" w:hAnsi="Arial" w:cs="Arial"/>
          <w:i/>
          <w:iCs/>
          <w:shd w:val="clear" w:color="auto" w:fill="FCFCFC"/>
        </w:rPr>
        <w:t xml:space="preserve">Cognitive load theory and research in educational </w:t>
      </w:r>
      <w:r w:rsidRPr="001D3DC1">
        <w:rPr>
          <w:rFonts w:ascii="Arial" w:hAnsi="Arial" w:cs="Arial"/>
          <w:i/>
          <w:iCs/>
          <w:shd w:val="clear" w:color="auto" w:fill="FCFCFC"/>
        </w:rPr>
        <w:t xml:space="preserve">psychology, </w:t>
      </w:r>
      <w:r w:rsidRPr="001D3DC1">
        <w:rPr>
          <w:rFonts w:ascii="Arial" w:hAnsi="Arial" w:cs="Arial"/>
          <w:shd w:val="clear" w:color="auto" w:fill="FCFCFC"/>
        </w:rPr>
        <w:t>New York: Cambridge University Press.</w:t>
      </w:r>
    </w:p>
    <w:p w14:paraId="621CFFA3" w14:textId="05491DE7" w:rsidR="00047965" w:rsidRPr="001D3DC1" w:rsidRDefault="00047965" w:rsidP="00704E8B">
      <w:pPr>
        <w:pStyle w:val="dx-doi"/>
        <w:spacing w:before="0" w:beforeAutospacing="0" w:after="0" w:afterAutospacing="0" w:line="360" w:lineRule="auto"/>
        <w:rPr>
          <w:rFonts w:ascii="Arial" w:hAnsi="Arial" w:cs="Arial"/>
          <w:sz w:val="22"/>
          <w:szCs w:val="22"/>
          <w:shd w:val="clear" w:color="auto" w:fill="FCFCFC"/>
        </w:rPr>
      </w:pPr>
    </w:p>
    <w:p w14:paraId="610CECAD" w14:textId="53756E2C" w:rsidR="00233C5C" w:rsidRDefault="00233C5C" w:rsidP="00FF328D">
      <w:pPr>
        <w:spacing w:line="360" w:lineRule="auto"/>
        <w:rPr>
          <w:rFonts w:ascii="Arial" w:hAnsi="Arial" w:cs="Arial"/>
          <w:shd w:val="clear" w:color="auto" w:fill="FCFCFC"/>
        </w:rPr>
      </w:pPr>
      <w:r w:rsidRPr="001D3DC1">
        <w:rPr>
          <w:rFonts w:ascii="Arial" w:hAnsi="Arial" w:cs="Arial"/>
          <w:shd w:val="clear" w:color="auto" w:fill="FCFCFC"/>
        </w:rPr>
        <w:t xml:space="preserve">Sandholtz, J. H. (2011) ‘Preservice teachers’ conceptions of effective and ineffective teaching practices’. </w:t>
      </w:r>
      <w:r w:rsidRPr="001D3DC1">
        <w:rPr>
          <w:rFonts w:ascii="Arial" w:hAnsi="Arial" w:cs="Arial"/>
          <w:i/>
          <w:shd w:val="clear" w:color="auto" w:fill="FCFCFC"/>
        </w:rPr>
        <w:t>Teacher Education Quarterly,</w:t>
      </w:r>
      <w:r w:rsidRPr="001D3DC1">
        <w:rPr>
          <w:rFonts w:ascii="Arial" w:hAnsi="Arial" w:cs="Arial"/>
          <w:shd w:val="clear" w:color="auto" w:fill="FCFCFC"/>
        </w:rPr>
        <w:t xml:space="preserve"> 38(3) pp. 27–47.</w:t>
      </w:r>
      <w:r w:rsidRPr="001D3DC1">
        <w:rPr>
          <w:rFonts w:ascii="Arial" w:hAnsi="Arial" w:cs="Arial"/>
          <w:shd w:val="clear" w:color="auto" w:fill="FCFCFC"/>
        </w:rPr>
        <w:br/>
      </w:r>
    </w:p>
    <w:p w14:paraId="2693D321" w14:textId="77777777" w:rsidR="000B255F" w:rsidRPr="00047965" w:rsidRDefault="000B255F" w:rsidP="00704E8B">
      <w:pPr>
        <w:pStyle w:val="dx-doi"/>
        <w:spacing w:before="0" w:beforeAutospacing="0" w:after="0" w:afterAutospacing="0" w:line="360" w:lineRule="auto"/>
        <w:rPr>
          <w:rFonts w:ascii="Arial" w:hAnsi="Arial" w:cs="Arial"/>
          <w:sz w:val="22"/>
          <w:szCs w:val="22"/>
          <w:shd w:val="clear" w:color="auto" w:fill="FCFCFC"/>
        </w:rPr>
      </w:pPr>
    </w:p>
    <w:p w14:paraId="0D87F57C" w14:textId="18ADF808" w:rsidR="00047965" w:rsidRDefault="00047965" w:rsidP="00704E8B">
      <w:pPr>
        <w:spacing w:line="360" w:lineRule="auto"/>
        <w:rPr>
          <w:rFonts w:ascii="Arial" w:hAnsi="Arial" w:cs="Arial"/>
        </w:rPr>
      </w:pPr>
      <w:r w:rsidRPr="00047965">
        <w:rPr>
          <w:rFonts w:ascii="Arial" w:hAnsi="Arial" w:cs="Arial"/>
          <w:shd w:val="clear" w:color="auto" w:fill="FCFCFC"/>
        </w:rPr>
        <w:t xml:space="preserve">Sato, M. and Ballinger, J. (2016) </w:t>
      </w:r>
      <w:r w:rsidRPr="00047965">
        <w:rPr>
          <w:rFonts w:ascii="Arial" w:hAnsi="Arial" w:cs="Arial"/>
          <w:i/>
          <w:iCs/>
          <w:shd w:val="clear" w:color="auto" w:fill="FCFCFC"/>
        </w:rPr>
        <w:t>P</w:t>
      </w:r>
      <w:r w:rsidRPr="00047965">
        <w:rPr>
          <w:rFonts w:ascii="Arial" w:hAnsi="Arial" w:cs="Arial"/>
          <w:i/>
          <w:iCs/>
        </w:rPr>
        <w:t>eer Interaction and Second Language Learning: Pedagogical Potential and Research Agenda</w:t>
      </w:r>
      <w:r w:rsidRPr="00047965">
        <w:rPr>
          <w:rFonts w:ascii="Arial" w:hAnsi="Arial" w:cs="Arial"/>
        </w:rPr>
        <w:t>, Amsterdam: John Benjamin Publishing Company.</w:t>
      </w:r>
    </w:p>
    <w:p w14:paraId="6510FC95" w14:textId="57B6CA60" w:rsidR="00200809" w:rsidRDefault="00200809" w:rsidP="00704E8B">
      <w:pPr>
        <w:spacing w:line="360" w:lineRule="auto"/>
        <w:rPr>
          <w:rFonts w:ascii="Arial" w:hAnsi="Arial" w:cs="Arial"/>
        </w:rPr>
      </w:pPr>
    </w:p>
    <w:p w14:paraId="47E8BFFE" w14:textId="37007DCF" w:rsidR="00587379" w:rsidRDefault="00200809" w:rsidP="00704E8B">
      <w:pPr>
        <w:spacing w:line="360" w:lineRule="auto"/>
        <w:rPr>
          <w:rFonts w:ascii="Arial" w:hAnsi="Arial" w:cs="Arial"/>
        </w:rPr>
      </w:pPr>
      <w:r w:rsidRPr="00200809">
        <w:rPr>
          <w:rFonts w:ascii="Arial" w:hAnsi="Arial" w:cs="Arial"/>
        </w:rPr>
        <w:t xml:space="preserve">Scharle, A. &amp; Szabo, A. (2000) </w:t>
      </w:r>
      <w:r w:rsidRPr="00200809">
        <w:rPr>
          <w:rFonts w:ascii="Arial" w:hAnsi="Arial" w:cs="Arial"/>
          <w:i/>
          <w:iCs/>
        </w:rPr>
        <w:t>Learner Autonomy, a guide to developing learner responsibility</w:t>
      </w:r>
      <w:r w:rsidRPr="00200809">
        <w:rPr>
          <w:rFonts w:ascii="Arial" w:hAnsi="Arial" w:cs="Arial"/>
        </w:rPr>
        <w:t>, Cambridge: Cambridge University Press</w:t>
      </w:r>
    </w:p>
    <w:p w14:paraId="3994F722" w14:textId="77777777" w:rsidR="00587379" w:rsidRPr="00587379" w:rsidRDefault="00587379" w:rsidP="00704E8B">
      <w:pPr>
        <w:spacing w:line="360" w:lineRule="auto"/>
        <w:rPr>
          <w:rFonts w:ascii="Arial" w:hAnsi="Arial" w:cs="Arial"/>
          <w:shd w:val="clear" w:color="auto" w:fill="FCFCFC"/>
        </w:rPr>
      </w:pPr>
    </w:p>
    <w:p w14:paraId="22D9B3C9" w14:textId="77777777" w:rsidR="00587379" w:rsidRPr="00587379" w:rsidRDefault="00587379" w:rsidP="00704E8B">
      <w:pPr>
        <w:spacing w:line="360" w:lineRule="auto"/>
        <w:rPr>
          <w:rFonts w:ascii="Arial" w:hAnsi="Arial" w:cs="Arial"/>
          <w:shd w:val="clear" w:color="auto" w:fill="FCFCFC"/>
        </w:rPr>
      </w:pPr>
      <w:r w:rsidRPr="00587379">
        <w:rPr>
          <w:rFonts w:ascii="Arial" w:hAnsi="Arial" w:cs="Arial"/>
          <w:shd w:val="clear" w:color="auto" w:fill="FCFCFC"/>
        </w:rPr>
        <w:t xml:space="preserve">Scott, T., Anderson, C. and Alter, P. (2012). </w:t>
      </w:r>
      <w:r w:rsidRPr="00587379">
        <w:rPr>
          <w:rFonts w:ascii="Arial" w:hAnsi="Arial" w:cs="Arial"/>
          <w:i/>
          <w:iCs/>
          <w:shd w:val="clear" w:color="auto" w:fill="FCFCFC"/>
        </w:rPr>
        <w:t>Managing classroom behaviour using positive behaviour supports</w:t>
      </w:r>
      <w:r w:rsidRPr="00587379">
        <w:rPr>
          <w:rFonts w:ascii="Arial" w:hAnsi="Arial" w:cs="Arial"/>
          <w:shd w:val="clear" w:color="auto" w:fill="FCFCFC"/>
        </w:rPr>
        <w:t>. Harlow: Pearson Education Limited.</w:t>
      </w:r>
    </w:p>
    <w:p w14:paraId="2D86656B" w14:textId="77777777" w:rsidR="00EC4460" w:rsidRPr="00EC4460" w:rsidRDefault="00EC4460" w:rsidP="00704E8B">
      <w:pPr>
        <w:spacing w:line="360" w:lineRule="auto"/>
        <w:rPr>
          <w:rFonts w:ascii="Arial" w:hAnsi="Arial" w:cs="Arial"/>
          <w:shd w:val="clear" w:color="auto" w:fill="FCFCFC"/>
        </w:rPr>
      </w:pPr>
      <w:r w:rsidRPr="00EC4460">
        <w:rPr>
          <w:rFonts w:ascii="Arial" w:hAnsi="Arial" w:cs="Arial"/>
          <w:shd w:val="clear" w:color="auto" w:fill="FCFCFC"/>
        </w:rPr>
        <w:lastRenderedPageBreak/>
        <w:t xml:space="preserve">Silven, M. and Vaurus, M. (1992) ‘Improving reading through thinking aloud’. </w:t>
      </w:r>
      <w:r w:rsidRPr="00EC4460">
        <w:rPr>
          <w:rFonts w:ascii="Arial" w:hAnsi="Arial" w:cs="Arial"/>
          <w:i/>
          <w:shd w:val="clear" w:color="auto" w:fill="FCFCFC"/>
        </w:rPr>
        <w:t>Learning and Instruction</w:t>
      </w:r>
      <w:r w:rsidRPr="00EC4460">
        <w:rPr>
          <w:rFonts w:ascii="Arial" w:hAnsi="Arial" w:cs="Arial"/>
          <w:shd w:val="clear" w:color="auto" w:fill="FCFCFC"/>
        </w:rPr>
        <w:t>. 2(2) pp. 69–88.</w:t>
      </w:r>
      <w:r w:rsidRPr="00EC4460">
        <w:rPr>
          <w:rFonts w:ascii="Arial" w:hAnsi="Arial" w:cs="Arial"/>
          <w:shd w:val="clear" w:color="auto" w:fill="FCFCFC"/>
        </w:rPr>
        <w:br/>
      </w:r>
      <w:r w:rsidRPr="00EC4460">
        <w:rPr>
          <w:rFonts w:ascii="Arial" w:hAnsi="Arial" w:cs="Arial"/>
        </w:rPr>
        <w:t>https://doi.org/10.1016/0959-4752(92)90024-G</w:t>
      </w:r>
    </w:p>
    <w:p w14:paraId="6C89D994" w14:textId="77777777" w:rsidR="00EB2A51" w:rsidRPr="00EB2A51" w:rsidRDefault="00EB2A51" w:rsidP="00704E8B">
      <w:pPr>
        <w:spacing w:line="360" w:lineRule="auto"/>
        <w:rPr>
          <w:rFonts w:ascii="Arial" w:hAnsi="Arial" w:cs="Arial"/>
        </w:rPr>
      </w:pPr>
    </w:p>
    <w:p w14:paraId="7F6CFACC" w14:textId="77777777" w:rsidR="00EB2A51" w:rsidRPr="000C0BA6" w:rsidRDefault="00EB2A51" w:rsidP="00704E8B">
      <w:pPr>
        <w:spacing w:line="360" w:lineRule="auto"/>
        <w:rPr>
          <w:rFonts w:ascii="Arial" w:hAnsi="Arial" w:cs="Arial"/>
        </w:rPr>
      </w:pPr>
      <w:r w:rsidRPr="00EB2A51">
        <w:rPr>
          <w:rFonts w:ascii="Arial" w:hAnsi="Arial" w:cs="Arial"/>
        </w:rPr>
        <w:t xml:space="preserve">Smith, J. (2019) ‘Scaffolding Group Discussions’, </w:t>
      </w:r>
      <w:r w:rsidRPr="00EB2A51">
        <w:rPr>
          <w:rFonts w:ascii="Arial" w:hAnsi="Arial" w:cs="Arial"/>
          <w:i/>
          <w:iCs/>
        </w:rPr>
        <w:t>Journal of English and Cultural Studies</w:t>
      </w:r>
      <w:r w:rsidRPr="00EB2A51">
        <w:rPr>
          <w:rFonts w:ascii="Arial" w:hAnsi="Arial" w:cs="Arial"/>
        </w:rPr>
        <w:t>, 9(3), pp. 25-29</w:t>
      </w:r>
      <w:r w:rsidRPr="00EB2A51">
        <w:rPr>
          <w:rFonts w:ascii="Arial" w:hAnsi="Arial" w:cs="Arial"/>
        </w:rPr>
        <w:br/>
        <w:t>http://id</w:t>
      </w:r>
      <w:r w:rsidRPr="000C0BA6">
        <w:rPr>
          <w:rFonts w:ascii="Arial" w:hAnsi="Arial" w:cs="Arial"/>
        </w:rPr>
        <w:t>.nii.ac.jp/1072/00004351/</w:t>
      </w:r>
    </w:p>
    <w:p w14:paraId="78AFA353" w14:textId="4F361B42" w:rsidR="00EB2A51" w:rsidRPr="000C0BA6" w:rsidRDefault="00EB2A51" w:rsidP="00704E8B">
      <w:pPr>
        <w:spacing w:line="360" w:lineRule="auto"/>
        <w:rPr>
          <w:rFonts w:ascii="Arial" w:hAnsi="Arial" w:cs="Arial"/>
        </w:rPr>
      </w:pPr>
    </w:p>
    <w:p w14:paraId="19AACDD3" w14:textId="77777777" w:rsidR="000C0BA6" w:rsidRPr="000C0BA6" w:rsidRDefault="000C0BA6" w:rsidP="00704E8B">
      <w:pPr>
        <w:spacing w:line="360" w:lineRule="auto"/>
        <w:rPr>
          <w:rFonts w:ascii="Arial" w:hAnsi="Arial" w:cs="Arial"/>
        </w:rPr>
      </w:pPr>
      <w:r w:rsidRPr="000C0BA6">
        <w:rPr>
          <w:rFonts w:ascii="Arial" w:hAnsi="Arial" w:cs="Arial"/>
        </w:rPr>
        <w:t xml:space="preserve">Sousa, D. (2006) </w:t>
      </w:r>
      <w:r w:rsidRPr="000C0BA6">
        <w:rPr>
          <w:rFonts w:ascii="Arial" w:hAnsi="Arial" w:cs="Arial"/>
          <w:i/>
          <w:iCs/>
        </w:rPr>
        <w:t>How the Brain Learns</w:t>
      </w:r>
      <w:r w:rsidRPr="000C0BA6">
        <w:rPr>
          <w:rFonts w:ascii="Arial" w:hAnsi="Arial" w:cs="Arial"/>
        </w:rPr>
        <w:t>, Thousand Oaks, California: Sage Publishing</w:t>
      </w:r>
    </w:p>
    <w:p w14:paraId="6D95E356" w14:textId="77777777" w:rsidR="002443B4" w:rsidRPr="002443B4" w:rsidRDefault="002443B4" w:rsidP="00704E8B">
      <w:pPr>
        <w:spacing w:line="360" w:lineRule="auto"/>
        <w:rPr>
          <w:rFonts w:ascii="Arial" w:hAnsi="Arial" w:cs="Arial"/>
          <w:shd w:val="clear" w:color="auto" w:fill="FCFCFC"/>
        </w:rPr>
      </w:pPr>
    </w:p>
    <w:p w14:paraId="2A3F5188" w14:textId="737ECA85" w:rsidR="002443B4" w:rsidRDefault="002443B4" w:rsidP="00704E8B">
      <w:pPr>
        <w:spacing w:line="360" w:lineRule="auto"/>
        <w:rPr>
          <w:rStyle w:val="Hyperlink"/>
          <w:rFonts w:ascii="Arial" w:hAnsi="Arial" w:cs="Arial"/>
          <w:color w:val="auto"/>
          <w:shd w:val="clear" w:color="auto" w:fill="FCFCFC"/>
        </w:rPr>
      </w:pPr>
      <w:r w:rsidRPr="002443B4">
        <w:rPr>
          <w:rFonts w:ascii="Arial" w:hAnsi="Arial" w:cs="Arial"/>
          <w:shd w:val="clear" w:color="auto" w:fill="FCFCFC"/>
        </w:rPr>
        <w:t xml:space="preserve">Spalding, C. (2017) </w:t>
      </w:r>
      <w:r w:rsidRPr="002443B4">
        <w:rPr>
          <w:rFonts w:ascii="Arial" w:hAnsi="Arial" w:cs="Arial"/>
          <w:i/>
          <w:iCs/>
          <w:shd w:val="clear" w:color="auto" w:fill="FCFCFC"/>
        </w:rPr>
        <w:t>Are you modelling good work in English, or are you just spoon-feeding your students?</w:t>
      </w:r>
      <w:r w:rsidRPr="002443B4">
        <w:rPr>
          <w:rFonts w:ascii="Arial" w:hAnsi="Arial" w:cs="Arial"/>
          <w:shd w:val="clear" w:color="auto" w:fill="FCFCFC"/>
        </w:rPr>
        <w:t xml:space="preserve"> Available at:  https://www.tes.com/news/are-you-modelling-good-work-english-or-are-you-just-spoon-feeding-your-students</w:t>
      </w:r>
      <w:r w:rsidRPr="002443B4">
        <w:rPr>
          <w:rStyle w:val="Hyperlink"/>
          <w:rFonts w:ascii="Arial" w:hAnsi="Arial" w:cs="Arial"/>
          <w:color w:val="auto"/>
          <w:shd w:val="clear" w:color="auto" w:fill="FCFCFC"/>
        </w:rPr>
        <w:t xml:space="preserve"> </w:t>
      </w:r>
      <w:r w:rsidRPr="002443B4">
        <w:rPr>
          <w:rStyle w:val="Hyperlink"/>
          <w:rFonts w:ascii="Arial" w:hAnsi="Arial" w:cs="Arial"/>
          <w:color w:val="auto"/>
          <w:u w:val="none"/>
          <w:shd w:val="clear" w:color="auto" w:fill="FCFCFC"/>
        </w:rPr>
        <w:t>[Accessed on 15 January 2020</w:t>
      </w:r>
      <w:r w:rsidRPr="002443B4">
        <w:rPr>
          <w:rStyle w:val="Hyperlink"/>
          <w:rFonts w:ascii="Arial" w:hAnsi="Arial" w:cs="Arial"/>
          <w:color w:val="auto"/>
          <w:shd w:val="clear" w:color="auto" w:fill="FCFCFC"/>
        </w:rPr>
        <w:t>]</w:t>
      </w:r>
    </w:p>
    <w:p w14:paraId="622C461A" w14:textId="77777777" w:rsidR="003C4960" w:rsidRPr="002443B4" w:rsidRDefault="003C4960" w:rsidP="00704E8B">
      <w:pPr>
        <w:spacing w:line="360" w:lineRule="auto"/>
        <w:rPr>
          <w:rFonts w:ascii="Arial" w:hAnsi="Arial" w:cs="Arial"/>
          <w:shd w:val="clear" w:color="auto" w:fill="FCFCFC"/>
        </w:rPr>
      </w:pPr>
    </w:p>
    <w:p w14:paraId="67BE6A6C" w14:textId="2933B705" w:rsidR="0069632E" w:rsidRDefault="00D42EC8" w:rsidP="00704E8B">
      <w:pPr>
        <w:spacing w:line="360" w:lineRule="auto"/>
        <w:rPr>
          <w:rFonts w:ascii="Arial" w:hAnsi="Arial" w:cs="Arial"/>
        </w:rPr>
      </w:pPr>
      <w:r w:rsidRPr="00D42EC8">
        <w:rPr>
          <w:rFonts w:ascii="Arial" w:hAnsi="Arial" w:cs="Arial"/>
        </w:rPr>
        <w:t xml:space="preserve">Treffers, A. (2019) ‘Direct instruction and problem-solving: Critical examination of Cognitive Load Theory from the perspective of mathematics education’, </w:t>
      </w:r>
      <w:r w:rsidRPr="00D42EC8">
        <w:rPr>
          <w:rFonts w:ascii="Arial" w:hAnsi="Arial" w:cs="Arial"/>
          <w:i/>
          <w:iCs/>
        </w:rPr>
        <w:t>The Mathematics Enthusiast</w:t>
      </w:r>
      <w:r w:rsidRPr="00D42EC8">
        <w:rPr>
          <w:rFonts w:ascii="Arial" w:hAnsi="Arial" w:cs="Arial"/>
        </w:rPr>
        <w:t>, 16(30), pp. 607-620</w:t>
      </w:r>
    </w:p>
    <w:p w14:paraId="4001036C" w14:textId="77777777" w:rsidR="00FF328D" w:rsidRPr="00D42EC8" w:rsidRDefault="00FF328D" w:rsidP="00704E8B">
      <w:pPr>
        <w:spacing w:line="360" w:lineRule="auto"/>
        <w:rPr>
          <w:rFonts w:ascii="Arial" w:hAnsi="Arial" w:cs="Arial"/>
        </w:rPr>
      </w:pPr>
    </w:p>
    <w:p w14:paraId="2A4C3924" w14:textId="77777777" w:rsidR="004D062B" w:rsidRPr="004D062B" w:rsidRDefault="004D062B" w:rsidP="00704E8B">
      <w:pPr>
        <w:spacing w:line="360" w:lineRule="auto"/>
        <w:rPr>
          <w:rFonts w:ascii="Arial" w:hAnsi="Arial" w:cs="Arial"/>
          <w:shd w:val="clear" w:color="auto" w:fill="FFFFFF"/>
        </w:rPr>
      </w:pPr>
      <w:r w:rsidRPr="004D062B">
        <w:rPr>
          <w:rFonts w:ascii="Arial" w:hAnsi="Arial" w:cs="Arial"/>
          <w:shd w:val="clear" w:color="auto" w:fill="FFFFFF"/>
        </w:rPr>
        <w:t xml:space="preserve">University of Wales Trinity Saint David (2016) </w:t>
      </w:r>
      <w:r w:rsidRPr="004D062B">
        <w:rPr>
          <w:rFonts w:ascii="Arial" w:hAnsi="Arial" w:cs="Arial"/>
          <w:i/>
          <w:iCs/>
          <w:shd w:val="clear" w:color="auto" w:fill="FFFFFF"/>
        </w:rPr>
        <w:t>Research Data Management Policy</w:t>
      </w:r>
      <w:r w:rsidRPr="004D062B">
        <w:rPr>
          <w:rFonts w:ascii="Arial" w:hAnsi="Arial" w:cs="Arial"/>
          <w:shd w:val="clear" w:color="auto" w:fill="FFFFFF"/>
        </w:rPr>
        <w:t>. Available at: http://www.uwtsd.ac.uk/about/strategies-and-policies/ [Accessed: 20.02.2020]</w:t>
      </w:r>
    </w:p>
    <w:p w14:paraId="4938F0FF" w14:textId="3A89A166" w:rsidR="004D062B" w:rsidRDefault="004D062B" w:rsidP="00704E8B">
      <w:pPr>
        <w:spacing w:line="360" w:lineRule="auto"/>
        <w:rPr>
          <w:rFonts w:ascii="Arial" w:hAnsi="Arial" w:cs="Arial"/>
          <w:shd w:val="clear" w:color="auto" w:fill="FFFFFF"/>
        </w:rPr>
      </w:pPr>
    </w:p>
    <w:p w14:paraId="4D01963A" w14:textId="73785E79" w:rsidR="00E55D18" w:rsidRPr="008A5F18" w:rsidRDefault="00E55D18" w:rsidP="00704E8B">
      <w:pPr>
        <w:spacing w:line="360" w:lineRule="auto"/>
        <w:rPr>
          <w:rFonts w:ascii="Arial" w:hAnsi="Arial" w:cs="Arial"/>
          <w:shd w:val="clear" w:color="auto" w:fill="FFFFFF"/>
        </w:rPr>
      </w:pPr>
      <w:r>
        <w:rPr>
          <w:rFonts w:ascii="Arial" w:hAnsi="Arial" w:cs="Arial"/>
          <w:shd w:val="clear" w:color="auto" w:fill="FFFFFF"/>
        </w:rPr>
        <w:t xml:space="preserve">Vanderhyde, J. (2019) ‘Scaffolding assignments: how much is just enough?,’ </w:t>
      </w:r>
      <w:r w:rsidRPr="00E55D18">
        <w:rPr>
          <w:rFonts w:ascii="Arial" w:hAnsi="Arial" w:cs="Arial"/>
          <w:i/>
          <w:iCs/>
          <w:shd w:val="clear" w:color="auto" w:fill="FFFFFF"/>
        </w:rPr>
        <w:t xml:space="preserve">Journal of Computing Sciences in Colleges, </w:t>
      </w:r>
      <w:r w:rsidR="008A5F18">
        <w:rPr>
          <w:rFonts w:ascii="Arial" w:hAnsi="Arial" w:cs="Arial"/>
          <w:shd w:val="clear" w:color="auto" w:fill="FFFFFF"/>
        </w:rPr>
        <w:t>34(2), pp. 55-63</w:t>
      </w:r>
    </w:p>
    <w:p w14:paraId="3286CCC8" w14:textId="77777777" w:rsidR="00E55D18" w:rsidRDefault="00E55D18" w:rsidP="00704E8B">
      <w:pPr>
        <w:spacing w:line="360" w:lineRule="auto"/>
        <w:rPr>
          <w:rFonts w:ascii="Arial" w:hAnsi="Arial" w:cs="Arial"/>
          <w:shd w:val="clear" w:color="auto" w:fill="FFFFFF"/>
        </w:rPr>
      </w:pPr>
    </w:p>
    <w:p w14:paraId="227DC708" w14:textId="5E3DD43F" w:rsidR="00941672" w:rsidRPr="00FF328D" w:rsidRDefault="00941672" w:rsidP="00704E8B">
      <w:pPr>
        <w:spacing w:line="360" w:lineRule="auto"/>
        <w:rPr>
          <w:rFonts w:ascii="Arial" w:hAnsi="Arial" w:cs="Arial"/>
          <w:highlight w:val="cyan"/>
          <w:shd w:val="clear" w:color="auto" w:fill="FCFCFC"/>
        </w:rPr>
      </w:pPr>
      <w:r w:rsidRPr="00941672">
        <w:rPr>
          <w:rFonts w:ascii="Arial" w:hAnsi="Arial" w:cs="Arial"/>
          <w:shd w:val="clear" w:color="auto" w:fill="FCFCFC"/>
        </w:rPr>
        <w:t xml:space="preserve">Venkateshwar, R. (2018) ‘Worked Examples and Problem Completion Effects in Reducing Cognitive Load and Improving Mathematical Performance’, </w:t>
      </w:r>
      <w:r w:rsidRPr="00941672">
        <w:rPr>
          <w:rFonts w:ascii="Arial" w:hAnsi="Arial" w:cs="Arial"/>
          <w:i/>
          <w:iCs/>
          <w:shd w:val="clear" w:color="auto" w:fill="FCFCFC"/>
        </w:rPr>
        <w:t xml:space="preserve">Indian Journal of Human Relations, </w:t>
      </w:r>
      <w:r w:rsidRPr="00941672">
        <w:rPr>
          <w:rFonts w:ascii="Arial" w:hAnsi="Arial" w:cs="Arial"/>
          <w:shd w:val="clear" w:color="auto" w:fill="FCFCFC"/>
        </w:rPr>
        <w:t>52(2), pp. 125-131</w:t>
      </w:r>
      <w:r w:rsidRPr="00133C6D">
        <w:rPr>
          <w:rFonts w:ascii="Arial" w:hAnsi="Arial" w:cs="Arial"/>
          <w:highlight w:val="cyan"/>
          <w:shd w:val="clear" w:color="auto" w:fill="FCFCFC"/>
        </w:rPr>
        <w:br/>
        <w:t xml:space="preserve"> </w:t>
      </w:r>
    </w:p>
    <w:p w14:paraId="0F2B6E48" w14:textId="77777777" w:rsidR="000970F2" w:rsidRPr="000970F2" w:rsidRDefault="000970F2" w:rsidP="00704E8B">
      <w:pPr>
        <w:spacing w:line="360" w:lineRule="auto"/>
        <w:rPr>
          <w:rFonts w:ascii="Arial" w:hAnsi="Arial" w:cs="Arial"/>
          <w:shd w:val="clear" w:color="auto" w:fill="FCFCFC"/>
        </w:rPr>
      </w:pPr>
      <w:r w:rsidRPr="000970F2">
        <w:rPr>
          <w:rFonts w:ascii="Arial" w:hAnsi="Arial" w:cs="Arial"/>
          <w:shd w:val="clear" w:color="auto" w:fill="FCFCFC"/>
        </w:rPr>
        <w:t xml:space="preserve">Vygotsky, L. S. (1962) </w:t>
      </w:r>
      <w:r w:rsidRPr="000970F2">
        <w:rPr>
          <w:rFonts w:ascii="Arial" w:hAnsi="Arial" w:cs="Arial"/>
          <w:i/>
          <w:shd w:val="clear" w:color="auto" w:fill="FCFCFC"/>
        </w:rPr>
        <w:t>Thought and language</w:t>
      </w:r>
      <w:r w:rsidRPr="000970F2">
        <w:rPr>
          <w:rFonts w:ascii="Arial" w:hAnsi="Arial" w:cs="Arial"/>
          <w:shd w:val="clear" w:color="auto" w:fill="FCFCFC"/>
        </w:rPr>
        <w:t>. Cambridge: MIT Press</w:t>
      </w:r>
    </w:p>
    <w:sectPr w:rsidR="000970F2" w:rsidRPr="000970F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6B1331" w14:textId="77777777" w:rsidR="00F46A98" w:rsidRDefault="00F46A98" w:rsidP="00E611D9">
      <w:pPr>
        <w:spacing w:after="0" w:line="240" w:lineRule="auto"/>
      </w:pPr>
      <w:r>
        <w:separator/>
      </w:r>
    </w:p>
  </w:endnote>
  <w:endnote w:type="continuationSeparator" w:id="0">
    <w:p w14:paraId="2B64428E" w14:textId="77777777" w:rsidR="00F46A98" w:rsidRDefault="00F46A9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4A68F4" w14:textId="77777777" w:rsidR="00F46A98" w:rsidRDefault="00F46A98" w:rsidP="00E611D9">
      <w:pPr>
        <w:spacing w:after="0" w:line="240" w:lineRule="auto"/>
      </w:pPr>
      <w:r>
        <w:separator/>
      </w:r>
    </w:p>
  </w:footnote>
  <w:footnote w:type="continuationSeparator" w:id="0">
    <w:p w14:paraId="798726EF" w14:textId="77777777" w:rsidR="00F46A98" w:rsidRDefault="00F46A9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755E37" w:rsidRDefault="00755E37">
    <w:pPr>
      <w:pStyle w:val="Header"/>
    </w:pPr>
    <w:r>
      <w:t>ECAD7004/C</w:t>
    </w:r>
  </w:p>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921BD"/>
    <w:multiLevelType w:val="hybridMultilevel"/>
    <w:tmpl w:val="C142A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872B7F"/>
    <w:multiLevelType w:val="hybridMultilevel"/>
    <w:tmpl w:val="4AD4240C"/>
    <w:lvl w:ilvl="0" w:tplc="1B1437E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4ACF"/>
    <w:rsid w:val="00022802"/>
    <w:rsid w:val="0002487A"/>
    <w:rsid w:val="0002620E"/>
    <w:rsid w:val="00040EC2"/>
    <w:rsid w:val="00047965"/>
    <w:rsid w:val="00054655"/>
    <w:rsid w:val="00077F16"/>
    <w:rsid w:val="00085193"/>
    <w:rsid w:val="000970F2"/>
    <w:rsid w:val="000A6A20"/>
    <w:rsid w:val="000B255F"/>
    <w:rsid w:val="000B36F6"/>
    <w:rsid w:val="000C0BA6"/>
    <w:rsid w:val="000C2666"/>
    <w:rsid w:val="000C43D5"/>
    <w:rsid w:val="000D2907"/>
    <w:rsid w:val="000E1B36"/>
    <w:rsid w:val="000E3B59"/>
    <w:rsid w:val="000E66DD"/>
    <w:rsid w:val="00100A0A"/>
    <w:rsid w:val="00120301"/>
    <w:rsid w:val="001273AD"/>
    <w:rsid w:val="00132B5A"/>
    <w:rsid w:val="00133C6D"/>
    <w:rsid w:val="00135A36"/>
    <w:rsid w:val="00150008"/>
    <w:rsid w:val="00163493"/>
    <w:rsid w:val="00167254"/>
    <w:rsid w:val="00170F44"/>
    <w:rsid w:val="00172707"/>
    <w:rsid w:val="00172F60"/>
    <w:rsid w:val="001A0394"/>
    <w:rsid w:val="001A37BD"/>
    <w:rsid w:val="001B5092"/>
    <w:rsid w:val="001B6AAF"/>
    <w:rsid w:val="001B6BCA"/>
    <w:rsid w:val="001C3FFE"/>
    <w:rsid w:val="001C60A1"/>
    <w:rsid w:val="001D3DC1"/>
    <w:rsid w:val="001D437F"/>
    <w:rsid w:val="001E2CC1"/>
    <w:rsid w:val="001E30DB"/>
    <w:rsid w:val="001E4841"/>
    <w:rsid w:val="001E5FDE"/>
    <w:rsid w:val="001F181A"/>
    <w:rsid w:val="0020000F"/>
    <w:rsid w:val="00200809"/>
    <w:rsid w:val="00205D75"/>
    <w:rsid w:val="00215D7C"/>
    <w:rsid w:val="002229F0"/>
    <w:rsid w:val="00232343"/>
    <w:rsid w:val="00233C5C"/>
    <w:rsid w:val="002365D1"/>
    <w:rsid w:val="0024286C"/>
    <w:rsid w:val="002443B4"/>
    <w:rsid w:val="00261D3E"/>
    <w:rsid w:val="002730FB"/>
    <w:rsid w:val="00275F16"/>
    <w:rsid w:val="00282EE7"/>
    <w:rsid w:val="00287C27"/>
    <w:rsid w:val="002931EC"/>
    <w:rsid w:val="002A48AE"/>
    <w:rsid w:val="002B0330"/>
    <w:rsid w:val="002C16E4"/>
    <w:rsid w:val="002C3B97"/>
    <w:rsid w:val="002D0BE9"/>
    <w:rsid w:val="002D0EA1"/>
    <w:rsid w:val="002D11F1"/>
    <w:rsid w:val="002D7298"/>
    <w:rsid w:val="002E4ADD"/>
    <w:rsid w:val="002F2C86"/>
    <w:rsid w:val="003034D7"/>
    <w:rsid w:val="00303AD3"/>
    <w:rsid w:val="00306CC5"/>
    <w:rsid w:val="00321542"/>
    <w:rsid w:val="00325310"/>
    <w:rsid w:val="0033592F"/>
    <w:rsid w:val="0033638F"/>
    <w:rsid w:val="00344826"/>
    <w:rsid w:val="0035591F"/>
    <w:rsid w:val="003723CC"/>
    <w:rsid w:val="003741D6"/>
    <w:rsid w:val="0037471C"/>
    <w:rsid w:val="00381134"/>
    <w:rsid w:val="00383D17"/>
    <w:rsid w:val="00386A70"/>
    <w:rsid w:val="003A09F1"/>
    <w:rsid w:val="003A2F46"/>
    <w:rsid w:val="003A779F"/>
    <w:rsid w:val="003B2185"/>
    <w:rsid w:val="003B2776"/>
    <w:rsid w:val="003C4960"/>
    <w:rsid w:val="003C49E8"/>
    <w:rsid w:val="003C531C"/>
    <w:rsid w:val="003D35D7"/>
    <w:rsid w:val="003D70B3"/>
    <w:rsid w:val="00416E2A"/>
    <w:rsid w:val="00422EAB"/>
    <w:rsid w:val="00423D78"/>
    <w:rsid w:val="004269F0"/>
    <w:rsid w:val="00427EF0"/>
    <w:rsid w:val="00434A4F"/>
    <w:rsid w:val="00435B76"/>
    <w:rsid w:val="00436053"/>
    <w:rsid w:val="004406F5"/>
    <w:rsid w:val="00450970"/>
    <w:rsid w:val="00452F22"/>
    <w:rsid w:val="00456D6C"/>
    <w:rsid w:val="00461B50"/>
    <w:rsid w:val="004732A2"/>
    <w:rsid w:val="00474CDD"/>
    <w:rsid w:val="00481B6E"/>
    <w:rsid w:val="00493D49"/>
    <w:rsid w:val="004B3AD3"/>
    <w:rsid w:val="004C4A45"/>
    <w:rsid w:val="004C7ADC"/>
    <w:rsid w:val="004D062B"/>
    <w:rsid w:val="004D30A1"/>
    <w:rsid w:val="004D5F4C"/>
    <w:rsid w:val="004D7384"/>
    <w:rsid w:val="004F229B"/>
    <w:rsid w:val="005045DF"/>
    <w:rsid w:val="00506D5F"/>
    <w:rsid w:val="00510645"/>
    <w:rsid w:val="00520C6D"/>
    <w:rsid w:val="00521B90"/>
    <w:rsid w:val="005232CE"/>
    <w:rsid w:val="00527CDA"/>
    <w:rsid w:val="00534641"/>
    <w:rsid w:val="005364CB"/>
    <w:rsid w:val="00544B4A"/>
    <w:rsid w:val="0055500A"/>
    <w:rsid w:val="005666D1"/>
    <w:rsid w:val="00566B39"/>
    <w:rsid w:val="00576938"/>
    <w:rsid w:val="00581D98"/>
    <w:rsid w:val="005864D6"/>
    <w:rsid w:val="00587379"/>
    <w:rsid w:val="00597617"/>
    <w:rsid w:val="005B1B7A"/>
    <w:rsid w:val="005B72C5"/>
    <w:rsid w:val="005C525A"/>
    <w:rsid w:val="005C528F"/>
    <w:rsid w:val="005C5730"/>
    <w:rsid w:val="005C752D"/>
    <w:rsid w:val="005D295D"/>
    <w:rsid w:val="005D3E12"/>
    <w:rsid w:val="005D4620"/>
    <w:rsid w:val="005D6107"/>
    <w:rsid w:val="005D6918"/>
    <w:rsid w:val="005E1CC5"/>
    <w:rsid w:val="005E68D9"/>
    <w:rsid w:val="005F02DF"/>
    <w:rsid w:val="005F13EF"/>
    <w:rsid w:val="0060392A"/>
    <w:rsid w:val="006108DA"/>
    <w:rsid w:val="00613AF5"/>
    <w:rsid w:val="0062132B"/>
    <w:rsid w:val="00624276"/>
    <w:rsid w:val="0062744B"/>
    <w:rsid w:val="006419C3"/>
    <w:rsid w:val="006424C3"/>
    <w:rsid w:val="00645DCB"/>
    <w:rsid w:val="0064738F"/>
    <w:rsid w:val="0065013D"/>
    <w:rsid w:val="00650308"/>
    <w:rsid w:val="0066095B"/>
    <w:rsid w:val="0067090A"/>
    <w:rsid w:val="0067114D"/>
    <w:rsid w:val="0067509E"/>
    <w:rsid w:val="00677CFE"/>
    <w:rsid w:val="0069632E"/>
    <w:rsid w:val="006A4400"/>
    <w:rsid w:val="006A4B13"/>
    <w:rsid w:val="006A68FD"/>
    <w:rsid w:val="006B5861"/>
    <w:rsid w:val="006C3899"/>
    <w:rsid w:val="006D0C8F"/>
    <w:rsid w:val="006D32A2"/>
    <w:rsid w:val="006D480C"/>
    <w:rsid w:val="006E0CAA"/>
    <w:rsid w:val="006F3699"/>
    <w:rsid w:val="00704E8B"/>
    <w:rsid w:val="00705D3E"/>
    <w:rsid w:val="007066A4"/>
    <w:rsid w:val="0071516B"/>
    <w:rsid w:val="007151C2"/>
    <w:rsid w:val="0071650B"/>
    <w:rsid w:val="00720E25"/>
    <w:rsid w:val="00725C37"/>
    <w:rsid w:val="007356B0"/>
    <w:rsid w:val="00745529"/>
    <w:rsid w:val="00755E37"/>
    <w:rsid w:val="00760189"/>
    <w:rsid w:val="007639B8"/>
    <w:rsid w:val="00764162"/>
    <w:rsid w:val="0076477D"/>
    <w:rsid w:val="00765587"/>
    <w:rsid w:val="00771366"/>
    <w:rsid w:val="00772B6B"/>
    <w:rsid w:val="00783D9B"/>
    <w:rsid w:val="007A04BB"/>
    <w:rsid w:val="007B6880"/>
    <w:rsid w:val="007C111D"/>
    <w:rsid w:val="007C3E0B"/>
    <w:rsid w:val="007C424F"/>
    <w:rsid w:val="007D22F2"/>
    <w:rsid w:val="007D4DDE"/>
    <w:rsid w:val="007D5449"/>
    <w:rsid w:val="007D7297"/>
    <w:rsid w:val="007E2C3F"/>
    <w:rsid w:val="007F58F0"/>
    <w:rsid w:val="00804634"/>
    <w:rsid w:val="00807344"/>
    <w:rsid w:val="00812538"/>
    <w:rsid w:val="00813462"/>
    <w:rsid w:val="00813CCE"/>
    <w:rsid w:val="00817F7A"/>
    <w:rsid w:val="00823DAD"/>
    <w:rsid w:val="00824867"/>
    <w:rsid w:val="00827AEF"/>
    <w:rsid w:val="0083402B"/>
    <w:rsid w:val="00841EDC"/>
    <w:rsid w:val="00845C45"/>
    <w:rsid w:val="00863558"/>
    <w:rsid w:val="008635E8"/>
    <w:rsid w:val="00876486"/>
    <w:rsid w:val="00877E0D"/>
    <w:rsid w:val="00882154"/>
    <w:rsid w:val="00886236"/>
    <w:rsid w:val="0089020F"/>
    <w:rsid w:val="00897C15"/>
    <w:rsid w:val="008A46E5"/>
    <w:rsid w:val="008A4C20"/>
    <w:rsid w:val="008A5F18"/>
    <w:rsid w:val="008B1E88"/>
    <w:rsid w:val="008B324F"/>
    <w:rsid w:val="008B3E84"/>
    <w:rsid w:val="008B4838"/>
    <w:rsid w:val="008B7419"/>
    <w:rsid w:val="008E0ADD"/>
    <w:rsid w:val="008E6C0D"/>
    <w:rsid w:val="0090038A"/>
    <w:rsid w:val="00905D93"/>
    <w:rsid w:val="00906FD8"/>
    <w:rsid w:val="00914F1D"/>
    <w:rsid w:val="009223C2"/>
    <w:rsid w:val="009344CF"/>
    <w:rsid w:val="00941672"/>
    <w:rsid w:val="00942E4F"/>
    <w:rsid w:val="00943D23"/>
    <w:rsid w:val="009461C9"/>
    <w:rsid w:val="00954BB3"/>
    <w:rsid w:val="0096364A"/>
    <w:rsid w:val="00965C9C"/>
    <w:rsid w:val="009761BD"/>
    <w:rsid w:val="009859D0"/>
    <w:rsid w:val="00985DD2"/>
    <w:rsid w:val="00997F16"/>
    <w:rsid w:val="009A0A6A"/>
    <w:rsid w:val="009A3420"/>
    <w:rsid w:val="009B1B98"/>
    <w:rsid w:val="009B45C2"/>
    <w:rsid w:val="009D27C4"/>
    <w:rsid w:val="009D30EE"/>
    <w:rsid w:val="009D46AB"/>
    <w:rsid w:val="009D569A"/>
    <w:rsid w:val="009D6201"/>
    <w:rsid w:val="009D6D60"/>
    <w:rsid w:val="009E642B"/>
    <w:rsid w:val="009F516D"/>
    <w:rsid w:val="009F6B69"/>
    <w:rsid w:val="00A07AC7"/>
    <w:rsid w:val="00A10225"/>
    <w:rsid w:val="00A50103"/>
    <w:rsid w:val="00A60564"/>
    <w:rsid w:val="00A617F3"/>
    <w:rsid w:val="00A675EB"/>
    <w:rsid w:val="00A71B40"/>
    <w:rsid w:val="00A72747"/>
    <w:rsid w:val="00A7632F"/>
    <w:rsid w:val="00A806BD"/>
    <w:rsid w:val="00A82B12"/>
    <w:rsid w:val="00A930AF"/>
    <w:rsid w:val="00AA5863"/>
    <w:rsid w:val="00AA5EFC"/>
    <w:rsid w:val="00AA611F"/>
    <w:rsid w:val="00AB1A8D"/>
    <w:rsid w:val="00AD1CBC"/>
    <w:rsid w:val="00AD5BAC"/>
    <w:rsid w:val="00AD6442"/>
    <w:rsid w:val="00AF0CE8"/>
    <w:rsid w:val="00AF6176"/>
    <w:rsid w:val="00B032D2"/>
    <w:rsid w:val="00B17387"/>
    <w:rsid w:val="00B21BD2"/>
    <w:rsid w:val="00B31E55"/>
    <w:rsid w:val="00B44CDD"/>
    <w:rsid w:val="00B44CFF"/>
    <w:rsid w:val="00B457F0"/>
    <w:rsid w:val="00B51C52"/>
    <w:rsid w:val="00B67497"/>
    <w:rsid w:val="00B719D3"/>
    <w:rsid w:val="00B8192F"/>
    <w:rsid w:val="00B87F4C"/>
    <w:rsid w:val="00B92945"/>
    <w:rsid w:val="00B95A36"/>
    <w:rsid w:val="00BA31F8"/>
    <w:rsid w:val="00BC61FB"/>
    <w:rsid w:val="00BC651E"/>
    <w:rsid w:val="00BD29D2"/>
    <w:rsid w:val="00BD34D3"/>
    <w:rsid w:val="00BE07F9"/>
    <w:rsid w:val="00BE0E5C"/>
    <w:rsid w:val="00BE36F6"/>
    <w:rsid w:val="00BE3895"/>
    <w:rsid w:val="00BF0846"/>
    <w:rsid w:val="00BF31EA"/>
    <w:rsid w:val="00C03F64"/>
    <w:rsid w:val="00C12C63"/>
    <w:rsid w:val="00C26075"/>
    <w:rsid w:val="00C27C15"/>
    <w:rsid w:val="00C41466"/>
    <w:rsid w:val="00C459B0"/>
    <w:rsid w:val="00C5274A"/>
    <w:rsid w:val="00C6232A"/>
    <w:rsid w:val="00C63BE7"/>
    <w:rsid w:val="00C6405E"/>
    <w:rsid w:val="00C64187"/>
    <w:rsid w:val="00C70A86"/>
    <w:rsid w:val="00C95A55"/>
    <w:rsid w:val="00C97185"/>
    <w:rsid w:val="00CB558A"/>
    <w:rsid w:val="00CD1240"/>
    <w:rsid w:val="00CD2747"/>
    <w:rsid w:val="00CE4EA0"/>
    <w:rsid w:val="00CF0BD2"/>
    <w:rsid w:val="00CF52DF"/>
    <w:rsid w:val="00D03519"/>
    <w:rsid w:val="00D117F7"/>
    <w:rsid w:val="00D226AB"/>
    <w:rsid w:val="00D30962"/>
    <w:rsid w:val="00D342CD"/>
    <w:rsid w:val="00D41CA0"/>
    <w:rsid w:val="00D42EC8"/>
    <w:rsid w:val="00D469C1"/>
    <w:rsid w:val="00D477E3"/>
    <w:rsid w:val="00D61110"/>
    <w:rsid w:val="00D63075"/>
    <w:rsid w:val="00D638DF"/>
    <w:rsid w:val="00D64238"/>
    <w:rsid w:val="00D6558B"/>
    <w:rsid w:val="00D707EB"/>
    <w:rsid w:val="00D83A40"/>
    <w:rsid w:val="00DA3004"/>
    <w:rsid w:val="00DB1FA9"/>
    <w:rsid w:val="00DB7756"/>
    <w:rsid w:val="00DC3876"/>
    <w:rsid w:val="00DE3CA3"/>
    <w:rsid w:val="00DF20F7"/>
    <w:rsid w:val="00DF23BE"/>
    <w:rsid w:val="00DF3813"/>
    <w:rsid w:val="00DF6380"/>
    <w:rsid w:val="00DF7771"/>
    <w:rsid w:val="00E335AD"/>
    <w:rsid w:val="00E3479F"/>
    <w:rsid w:val="00E40594"/>
    <w:rsid w:val="00E55D18"/>
    <w:rsid w:val="00E57D2F"/>
    <w:rsid w:val="00E611D9"/>
    <w:rsid w:val="00E64F88"/>
    <w:rsid w:val="00E66FDE"/>
    <w:rsid w:val="00E70B20"/>
    <w:rsid w:val="00E90066"/>
    <w:rsid w:val="00E90551"/>
    <w:rsid w:val="00E92C8A"/>
    <w:rsid w:val="00E94A55"/>
    <w:rsid w:val="00EA035D"/>
    <w:rsid w:val="00EA5F6B"/>
    <w:rsid w:val="00EA612F"/>
    <w:rsid w:val="00EB2A51"/>
    <w:rsid w:val="00EB3406"/>
    <w:rsid w:val="00EC0C8E"/>
    <w:rsid w:val="00EC1553"/>
    <w:rsid w:val="00EC2D6E"/>
    <w:rsid w:val="00EC4460"/>
    <w:rsid w:val="00ED3200"/>
    <w:rsid w:val="00EF117C"/>
    <w:rsid w:val="00EF1464"/>
    <w:rsid w:val="00F11B11"/>
    <w:rsid w:val="00F146AB"/>
    <w:rsid w:val="00F14909"/>
    <w:rsid w:val="00F1609D"/>
    <w:rsid w:val="00F16B59"/>
    <w:rsid w:val="00F21B2D"/>
    <w:rsid w:val="00F22A9D"/>
    <w:rsid w:val="00F36CC4"/>
    <w:rsid w:val="00F43152"/>
    <w:rsid w:val="00F4641B"/>
    <w:rsid w:val="00F46A98"/>
    <w:rsid w:val="00F57E68"/>
    <w:rsid w:val="00F60CDD"/>
    <w:rsid w:val="00F94524"/>
    <w:rsid w:val="00FA7D67"/>
    <w:rsid w:val="00FB0CC0"/>
    <w:rsid w:val="00FB2551"/>
    <w:rsid w:val="00FB28CB"/>
    <w:rsid w:val="00FB617E"/>
    <w:rsid w:val="00FC67FF"/>
    <w:rsid w:val="00FD282E"/>
    <w:rsid w:val="00FE76E6"/>
    <w:rsid w:val="00FF0075"/>
    <w:rsid w:val="00FF3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5863"/>
    <w:rPr>
      <w:color w:val="0000FF"/>
      <w:u w:val="single"/>
    </w:rPr>
  </w:style>
  <w:style w:type="character" w:customStyle="1" w:styleId="epub-sectionitem">
    <w:name w:val="epub-section__item"/>
    <w:basedOn w:val="DefaultParagraphFont"/>
    <w:rsid w:val="00D117F7"/>
  </w:style>
  <w:style w:type="character" w:customStyle="1" w:styleId="journaltitle">
    <w:name w:val="journaltitle"/>
    <w:basedOn w:val="DefaultParagraphFont"/>
    <w:rsid w:val="00D117F7"/>
  </w:style>
  <w:style w:type="character" w:customStyle="1" w:styleId="articlecitationvolume">
    <w:name w:val="articlecitation_volume"/>
    <w:basedOn w:val="DefaultParagraphFont"/>
    <w:rsid w:val="00D117F7"/>
  </w:style>
  <w:style w:type="character" w:customStyle="1" w:styleId="articlecitationpages">
    <w:name w:val="articlecitation_pages"/>
    <w:basedOn w:val="DefaultParagraphFont"/>
    <w:rsid w:val="00D117F7"/>
  </w:style>
  <w:style w:type="character" w:customStyle="1" w:styleId="authorsname">
    <w:name w:val="authors__name"/>
    <w:basedOn w:val="DefaultParagraphFont"/>
    <w:rsid w:val="00D117F7"/>
  </w:style>
  <w:style w:type="character" w:styleId="Emphasis">
    <w:name w:val="Emphasis"/>
    <w:basedOn w:val="DefaultParagraphFont"/>
    <w:uiPriority w:val="20"/>
    <w:qFormat/>
    <w:rsid w:val="00D117F7"/>
    <w:rPr>
      <w:i/>
      <w:iCs/>
    </w:rPr>
  </w:style>
  <w:style w:type="character" w:customStyle="1" w:styleId="u-visually-hidden">
    <w:name w:val="u-visually-hidden"/>
    <w:basedOn w:val="DefaultParagraphFont"/>
    <w:rsid w:val="00D117F7"/>
  </w:style>
  <w:style w:type="paragraph" w:styleId="ListParagraph">
    <w:name w:val="List Paragraph"/>
    <w:basedOn w:val="Normal"/>
    <w:uiPriority w:val="34"/>
    <w:qFormat/>
    <w:rsid w:val="00D117F7"/>
    <w:pPr>
      <w:ind w:left="720"/>
      <w:contextualSpacing/>
    </w:pPr>
  </w:style>
  <w:style w:type="paragraph" w:customStyle="1" w:styleId="dx-doi">
    <w:name w:val="dx-doi"/>
    <w:basedOn w:val="Normal"/>
    <w:rsid w:val="00D117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D30A1"/>
    <w:rPr>
      <w:color w:val="605E5C"/>
      <w:shd w:val="clear" w:color="auto" w:fill="E1DFDD"/>
    </w:rPr>
  </w:style>
  <w:style w:type="character" w:customStyle="1" w:styleId="epub-sectiontitle">
    <w:name w:val="epub-section__title"/>
    <w:basedOn w:val="DefaultParagraphFont"/>
    <w:rsid w:val="003723CC"/>
  </w:style>
  <w:style w:type="character" w:styleId="FollowedHyperlink">
    <w:name w:val="FollowedHyperlink"/>
    <w:basedOn w:val="DefaultParagraphFont"/>
    <w:uiPriority w:val="99"/>
    <w:semiHidden/>
    <w:unhideWhenUsed/>
    <w:rsid w:val="006424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5435524">
      <w:bodyDiv w:val="1"/>
      <w:marLeft w:val="0"/>
      <w:marRight w:val="0"/>
      <w:marTop w:val="0"/>
      <w:marBottom w:val="0"/>
      <w:divBdr>
        <w:top w:val="none" w:sz="0" w:space="0" w:color="auto"/>
        <w:left w:val="none" w:sz="0" w:space="0" w:color="auto"/>
        <w:bottom w:val="none" w:sz="0" w:space="0" w:color="auto"/>
        <w:right w:val="none" w:sz="0" w:space="0" w:color="auto"/>
      </w:divBdr>
    </w:div>
    <w:div w:id="1464420033">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696690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l.acm.org/doi/proceedings/10.1145/328732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link.springer.com/journal/10648"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journals.aom.org/journal/amproc"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22</Pages>
  <Words>7027</Words>
  <Characters>40056</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Angharad David</cp:lastModifiedBy>
  <cp:revision>425</cp:revision>
  <dcterms:created xsi:type="dcterms:W3CDTF">2020-02-18T12:13:00Z</dcterms:created>
  <dcterms:modified xsi:type="dcterms:W3CDTF">2020-02-23T15:54:00Z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