
<file path=[Content_Types].xml><?xml version="1.0" encoding="utf-8"?>
<Types xmlns="http://schemas.openxmlformats.org/package/2006/content-types">
  <Default Extension="bin" ContentType="application/vnd.openxmlformats-officedocument.oleObject"/>
  <Default Extension="emf" ContentType="image/x-emf"/>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02106511"/>
        <w:docPartObj>
          <w:docPartGallery w:val="Cover Pages"/>
          <w:docPartUnique/>
        </w:docPartObj>
      </w:sdtPr>
      <w:sdtEndPr>
        <w:rPr>
          <w:rFonts w:ascii="Arial" w:hAnsi="Arial" w:cs="Arial"/>
          <w:b/>
          <w:bCs/>
        </w:rPr>
      </w:sdtEndPr>
      <w:sdtContent>
        <w:p w14:paraId="4760FAEA" w14:textId="46049965" w:rsidR="00355A3C" w:rsidRDefault="00355A3C">
          <w:r>
            <w:rPr>
              <w:noProof/>
            </w:rPr>
            <mc:AlternateContent>
              <mc:Choice Requires="wpg">
                <w:drawing>
                  <wp:anchor distT="0" distB="0" distL="114300" distR="114300" simplePos="0" relativeHeight="251659264" behindDoc="0" locked="0" layoutInCell="1" allowOverlap="1" wp14:anchorId="41BA05FF" wp14:editId="3B819373">
                    <wp:simplePos x="0" y="0"/>
                    <wp:positionH relativeFrom="page">
                      <wp:posOffset>6724650</wp:posOffset>
                    </wp:positionH>
                    <wp:positionV relativeFrom="page">
                      <wp:align>top</wp:align>
                    </wp:positionV>
                    <wp:extent cx="835660" cy="10058400"/>
                    <wp:effectExtent l="0" t="0" r="2540" b="0"/>
                    <wp:wrapNone/>
                    <wp:docPr id="453" name="Group 252"/>
                    <wp:cNvGraphicFramePr/>
                    <a:graphic xmlns:a="http://schemas.openxmlformats.org/drawingml/2006/main">
                      <a:graphicData uri="http://schemas.microsoft.com/office/word/2010/wordprocessingGroup">
                        <wpg:wgp>
                          <wpg:cNvGrpSpPr/>
                          <wpg:grpSpPr>
                            <a:xfrm>
                              <a:off x="0" y="0"/>
                              <a:ext cx="835660" cy="10058400"/>
                              <a:chOff x="0" y="0"/>
                              <a:chExt cx="3096491"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100000</wp14:pctHeight>
                    </wp14:sizeRelV>
                  </wp:anchor>
                </w:drawing>
              </mc:Choice>
              <mc:Fallback>
                <w:pict>
                  <v:group w14:anchorId="46F612EF" id="Group 252" o:spid="_x0000_s1026" style="position:absolute;margin-left:529.5pt;margin-top:0;width:65.8pt;height:11in;z-index:251659264;mso-height-percent:1000;mso-position-horizontal-relative:page;mso-position-vertical:top;mso-position-vertical-relative:page;mso-height-percent:1000" coordsize="30964,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8dd873 [1945]" stroked="f" strokecolor="white" strokeweight="1pt">
                      <v:fill r:id="rId7"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8dd873 [1945]" stroked="f" strokecolor="#d8d8d8"/>
                    <w10:wrap anchorx="page" anchory="page"/>
                  </v:group>
                </w:pict>
              </mc:Fallback>
            </mc:AlternateContent>
          </w:r>
        </w:p>
        <w:p w14:paraId="2645FE50" w14:textId="30DC1F19" w:rsidR="00355A3C" w:rsidRPr="00355A3C" w:rsidRDefault="00355A3C" w:rsidP="00355A3C">
          <w:pPr>
            <w:rPr>
              <w:rFonts w:ascii="Arial" w:hAnsi="Arial" w:cs="Arial"/>
              <w:b/>
              <w:bCs/>
            </w:rPr>
          </w:pPr>
          <w:r w:rsidRPr="00355A3C">
            <w:rPr>
              <w:rFonts w:ascii="Arial" w:hAnsi="Arial" w:cs="Arial"/>
              <w:b/>
              <w:bCs/>
            </w:rPr>
            <w:t>Student name:</w:t>
          </w:r>
          <w:r>
            <w:rPr>
              <w:rFonts w:ascii="Arial" w:hAnsi="Arial" w:cs="Arial"/>
              <w:b/>
              <w:bCs/>
            </w:rPr>
            <w:t xml:space="preserve"> Stelian Tucanu</w:t>
          </w:r>
          <w:r w:rsidRPr="00355A3C">
            <w:rPr>
              <w:rFonts w:ascii="Arial" w:hAnsi="Arial" w:cs="Arial"/>
              <w:b/>
              <w:bCs/>
            </w:rPr>
            <w:tab/>
            <w:t xml:space="preserve">     </w:t>
          </w:r>
        </w:p>
        <w:p w14:paraId="663A066C" w14:textId="5B25CB7A" w:rsidR="00355A3C" w:rsidRPr="00355A3C" w:rsidRDefault="00355A3C" w:rsidP="00355A3C">
          <w:pPr>
            <w:rPr>
              <w:rFonts w:ascii="Arial" w:hAnsi="Arial" w:cs="Arial"/>
              <w:b/>
              <w:bCs/>
            </w:rPr>
          </w:pPr>
          <w:r w:rsidRPr="00355A3C">
            <w:rPr>
              <w:rFonts w:ascii="Arial" w:hAnsi="Arial" w:cs="Arial"/>
              <w:b/>
              <w:bCs/>
            </w:rPr>
            <w:t>Programme:</w:t>
          </w:r>
          <w:r w:rsidRPr="00355A3C">
            <w:rPr>
              <w:rFonts w:ascii="Arial" w:hAnsi="Arial" w:cs="Arial"/>
              <w:b/>
              <w:bCs/>
            </w:rPr>
            <w:tab/>
            <w:t>BA/HND Business and Management</w:t>
          </w:r>
        </w:p>
        <w:p w14:paraId="5B154263" w14:textId="19964526" w:rsidR="00355A3C" w:rsidRPr="00355A3C" w:rsidRDefault="00355A3C" w:rsidP="00355A3C">
          <w:pPr>
            <w:rPr>
              <w:rFonts w:ascii="Arial" w:hAnsi="Arial" w:cs="Arial"/>
              <w:b/>
              <w:bCs/>
            </w:rPr>
          </w:pPr>
          <w:r w:rsidRPr="00355A3C">
            <w:rPr>
              <w:rFonts w:ascii="Arial" w:hAnsi="Arial" w:cs="Arial"/>
              <w:b/>
              <w:bCs/>
            </w:rPr>
            <w:t>Module:</w:t>
          </w:r>
          <w:r>
            <w:rPr>
              <w:rFonts w:ascii="Arial" w:hAnsi="Arial" w:cs="Arial"/>
              <w:b/>
              <w:bCs/>
            </w:rPr>
            <w:t xml:space="preserve"> </w:t>
          </w:r>
          <w:r w:rsidRPr="00355A3C">
            <w:rPr>
              <w:rFonts w:ascii="Arial" w:hAnsi="Arial" w:cs="Arial"/>
              <w:b/>
              <w:bCs/>
            </w:rPr>
            <w:t xml:space="preserve">Financial Management </w:t>
          </w:r>
          <w:r w:rsidRPr="00355A3C">
            <w:rPr>
              <w:rFonts w:ascii="Arial" w:hAnsi="Arial" w:cs="Arial"/>
              <w:b/>
              <w:bCs/>
            </w:rPr>
            <w:t>for</w:t>
          </w:r>
          <w:r w:rsidRPr="00355A3C">
            <w:rPr>
              <w:rFonts w:ascii="Arial" w:hAnsi="Arial" w:cs="Arial"/>
              <w:b/>
              <w:bCs/>
            </w:rPr>
            <w:t xml:space="preserve"> Business Sustainability</w:t>
          </w:r>
        </w:p>
        <w:p w14:paraId="59A0B20B" w14:textId="2F01F635" w:rsidR="00355A3C" w:rsidRPr="00355A3C" w:rsidRDefault="00355A3C" w:rsidP="00355A3C">
          <w:pPr>
            <w:rPr>
              <w:rFonts w:ascii="Arial" w:hAnsi="Arial" w:cs="Arial"/>
              <w:b/>
              <w:bCs/>
            </w:rPr>
          </w:pPr>
          <w:r w:rsidRPr="00355A3C">
            <w:rPr>
              <w:rFonts w:ascii="Arial" w:hAnsi="Arial" w:cs="Arial"/>
              <w:b/>
              <w:bCs/>
            </w:rPr>
            <w:t>Module code:</w:t>
          </w:r>
          <w:r>
            <w:rPr>
              <w:rFonts w:ascii="Arial" w:hAnsi="Arial" w:cs="Arial"/>
              <w:b/>
              <w:bCs/>
            </w:rPr>
            <w:t xml:space="preserve"> </w:t>
          </w:r>
          <w:r w:rsidRPr="00355A3C">
            <w:rPr>
              <w:rFonts w:ascii="Arial" w:hAnsi="Arial" w:cs="Arial"/>
              <w:b/>
              <w:bCs/>
            </w:rPr>
            <w:t>BMSP4011D</w:t>
          </w:r>
        </w:p>
        <w:p w14:paraId="04FE5F59" w14:textId="6CCB90AE" w:rsidR="00355A3C" w:rsidRDefault="00355A3C" w:rsidP="00355A3C">
          <w:pPr>
            <w:rPr>
              <w:rFonts w:ascii="Arial" w:hAnsi="Arial" w:cs="Arial"/>
              <w:b/>
              <w:bCs/>
            </w:rPr>
          </w:pPr>
          <w:r w:rsidRPr="00355A3C">
            <w:rPr>
              <w:rFonts w:ascii="Arial" w:hAnsi="Arial" w:cs="Arial"/>
              <w:b/>
              <w:bCs/>
            </w:rPr>
            <w:t>Lecturer:</w:t>
          </w:r>
          <w:r>
            <w:rPr>
              <w:rFonts w:ascii="Arial" w:hAnsi="Arial" w:cs="Arial"/>
              <w:b/>
              <w:bCs/>
            </w:rPr>
            <w:t xml:space="preserve"> </w:t>
          </w:r>
          <w:r w:rsidRPr="00355A3C">
            <w:rPr>
              <w:rFonts w:ascii="Arial" w:hAnsi="Arial" w:cs="Arial"/>
              <w:b/>
              <w:bCs/>
            </w:rPr>
            <w:t>Navdeep Randhawa</w:t>
          </w:r>
          <w:r>
            <w:rPr>
              <w:noProof/>
            </w:rPr>
            <mc:AlternateContent>
              <mc:Choice Requires="wps">
                <w:drawing>
                  <wp:anchor distT="0" distB="0" distL="114300" distR="114300" simplePos="0" relativeHeight="251661312" behindDoc="0" locked="0" layoutInCell="0" allowOverlap="1" wp14:anchorId="3C29DE3C" wp14:editId="3692BE04">
                    <wp:simplePos x="0" y="0"/>
                    <wp:positionH relativeFrom="page">
                      <wp:posOffset>463550</wp:posOffset>
                    </wp:positionH>
                    <wp:positionV relativeFrom="page">
                      <wp:posOffset>6438900</wp:posOffset>
                    </wp:positionV>
                    <wp:extent cx="6970395" cy="2540000"/>
                    <wp:effectExtent l="0" t="0" r="15875" b="1270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2540000"/>
                            </a:xfrm>
                            <a:prstGeom prst="rect">
                              <a:avLst/>
                            </a:prstGeom>
                            <a:solidFill>
                              <a:schemeClr val="tx1"/>
                            </a:solidFill>
                            <a:ln w="19050">
                              <a:solidFill>
                                <a:schemeClr val="tx1"/>
                              </a:solidFill>
                              <a:miter lim="800000"/>
                              <a:headEnd/>
                              <a:tailEnd/>
                            </a:ln>
                          </wps:spPr>
                          <wps:txbx>
                            <w:txbxContent>
                              <w:sdt>
                                <w:sdtPr>
                                  <w:rPr>
                                    <w:rFonts w:ascii="Arial Black" w:hAnsi="Arial Black"/>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459BF5D8" w14:textId="2670CD70" w:rsidR="00355A3C" w:rsidRDefault="00355A3C" w:rsidP="00355A3C">
                                    <w:pPr>
                                      <w:pStyle w:val="NoSpacing"/>
                                      <w:jc w:val="center"/>
                                      <w:rPr>
                                        <w:color w:val="FFFFFF" w:themeColor="background1"/>
                                        <w:sz w:val="72"/>
                                        <w:szCs w:val="72"/>
                                      </w:rPr>
                                    </w:pPr>
                                    <w:r w:rsidRPr="00355A3C">
                                      <w:rPr>
                                        <w:rFonts w:ascii="Arial Black" w:hAnsi="Arial Black"/>
                                        <w:color w:val="FFFFFF" w:themeColor="background1"/>
                                        <w:sz w:val="72"/>
                                        <w:szCs w:val="72"/>
                                      </w:rPr>
                                      <w:t>Tesco Financial Analysis for the Years 2023 and 2024</w:t>
                                    </w:r>
                                  </w:p>
                                </w:sdtContent>
                              </w:sdt>
                            </w:txbxContent>
                          </wps:txbx>
                          <wps:bodyPr rot="0" vert="horz" wrap="square" lIns="182880" tIns="45720" rIns="182880" bIns="45720" anchor="ctr" anchorCtr="0" upright="1">
                            <a:noAutofit/>
                          </wps:bodyPr>
                        </wps:wsp>
                      </a:graphicData>
                    </a:graphic>
                    <wp14:sizeRelH relativeFrom="page">
                      <wp14:pctWidth>90000</wp14:pctWidth>
                    </wp14:sizeRelH>
                    <wp14:sizeRelV relativeFrom="page">
                      <wp14:pctHeight>0</wp14:pctHeight>
                    </wp14:sizeRelV>
                  </wp:anchor>
                </w:drawing>
              </mc:Choice>
              <mc:Fallback>
                <w:pict>
                  <v:rect w14:anchorId="3C29DE3C" id="Rectangle 16" o:spid="_x0000_s1026" style="position:absolute;margin-left:36.5pt;margin-top:507pt;width:548.85pt;height:200pt;z-index:251661312;visibility:visible;mso-wrap-style:square;mso-width-percent:900;mso-height-percent:0;mso-wrap-distance-left:9pt;mso-wrap-distance-top:0;mso-wrap-distance-right:9pt;mso-wrap-distance-bottom:0;mso-position-horizontal:absolute;mso-position-horizontal-relative:page;mso-position-vertical:absolute;mso-position-vertical-relative:page;mso-width-percent:90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" o:allowincell="f" fillcolor="black [3213]" strokecolor="black [3213]" strokeweight="1.5pt">
                    <v:textbox inset="14.4pt,,14.4pt">
                      <w:txbxContent>
                        <w:sdt>
                          <w:sdtPr>
                            <w:rPr>
                              <w:rFonts w:ascii="Arial Black" w:hAnsi="Arial Black"/>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459BF5D8" w14:textId="2670CD70" w:rsidR="00355A3C" w:rsidRDefault="00355A3C" w:rsidP="00355A3C">
                              <w:pPr>
                                <w:pStyle w:val="NoSpacing"/>
                                <w:jc w:val="center"/>
                                <w:rPr>
                                  <w:color w:val="FFFFFF" w:themeColor="background1"/>
                                  <w:sz w:val="72"/>
                                  <w:szCs w:val="72"/>
                                </w:rPr>
                              </w:pPr>
                              <w:r w:rsidRPr="00355A3C">
                                <w:rPr>
                                  <w:rFonts w:ascii="Arial Black" w:hAnsi="Arial Black"/>
                                  <w:color w:val="FFFFFF" w:themeColor="background1"/>
                                  <w:sz w:val="72"/>
                                  <w:szCs w:val="72"/>
                                </w:rPr>
                                <w:t>Tesco Financial Analysis for the Years 2023 and 2024</w:t>
                              </w:r>
                            </w:p>
                          </w:sdtContent>
                        </w:sdt>
                      </w:txbxContent>
                    </v:textbox>
                    <w10:wrap anchorx="page" anchory="page"/>
                  </v:rect>
                </w:pict>
              </mc:Fallback>
            </mc:AlternateContent>
          </w:r>
          <w:r>
            <w:rPr>
              <w:rFonts w:ascii="Arial" w:hAnsi="Arial" w:cs="Arial"/>
              <w:b/>
              <w:bCs/>
            </w:rPr>
            <w:br w:type="page"/>
          </w:r>
        </w:p>
      </w:sdtContent>
    </w:sdt>
    <w:p w14:paraId="147902AF" w14:textId="0F387C1F" w:rsidR="00E247BD" w:rsidRPr="00355A3C" w:rsidRDefault="00E247BD" w:rsidP="00E247BD">
      <w:pPr>
        <w:pStyle w:val="ListParagraph"/>
        <w:numPr>
          <w:ilvl w:val="0"/>
          <w:numId w:val="1"/>
        </w:numPr>
        <w:spacing w:line="480" w:lineRule="auto"/>
        <w:rPr>
          <w:rFonts w:ascii="Arial" w:hAnsi="Arial" w:cs="Arial"/>
          <w:b/>
          <w:bCs/>
        </w:rPr>
      </w:pPr>
      <w:r w:rsidRPr="00355A3C">
        <w:rPr>
          <w:rFonts w:ascii="Arial" w:hAnsi="Arial" w:cs="Arial"/>
          <w:b/>
          <w:bCs/>
        </w:rPr>
        <w:lastRenderedPageBreak/>
        <w:t>Introduction</w:t>
      </w:r>
    </w:p>
    <w:p w14:paraId="03FC56E8" w14:textId="77777777" w:rsidR="00B34ECC" w:rsidRDefault="00E247BD" w:rsidP="00E247BD">
      <w:pPr>
        <w:spacing w:line="480" w:lineRule="auto"/>
        <w:rPr>
          <w:rFonts w:ascii="Arial" w:hAnsi="Arial" w:cs="Arial"/>
        </w:rPr>
      </w:pPr>
      <w:r w:rsidRPr="00E247BD">
        <w:rPr>
          <w:rFonts w:ascii="Arial" w:hAnsi="Arial" w:cs="Arial"/>
        </w:rPr>
        <w:t xml:space="preserve">Tesco PLC is the largest supermarket chain in the United </w:t>
      </w:r>
      <w:r w:rsidR="00B34ECC" w:rsidRPr="00E247BD">
        <w:rPr>
          <w:rFonts w:ascii="Arial" w:hAnsi="Arial" w:cs="Arial"/>
        </w:rPr>
        <w:t>Kingdom and</w:t>
      </w:r>
      <w:r w:rsidRPr="00E247BD">
        <w:rPr>
          <w:rFonts w:ascii="Arial" w:hAnsi="Arial" w:cs="Arial"/>
        </w:rPr>
        <w:t xml:space="preserve"> is also a leading multinational grocery and general merchandise retailer. The business covers the UK and Ireland and several countries in central Europe. Each week, Tesco serves millions of customers through more than 4,500 stores and significant online. This report will assess the financial performance of Tesco over the 2023 and 2024 financial years using a ratio analysis to measure profitability, efficiency, shareholder profitability and sustainability. </w:t>
      </w:r>
      <w:r w:rsidR="00B34ECC">
        <w:rPr>
          <w:rFonts w:ascii="Arial" w:hAnsi="Arial" w:cs="Arial"/>
        </w:rPr>
        <w:t xml:space="preserve"> </w:t>
      </w:r>
      <w:r w:rsidRPr="00E247BD">
        <w:rPr>
          <w:rFonts w:ascii="Arial" w:hAnsi="Arial" w:cs="Arial"/>
        </w:rPr>
        <w:t>Analysis of financial ratios is a commonly accepted method of measuring operational success and financial health of a company. This method is relevant because it enables users to evaluate how well a business is managing its resources and liabilities to produce and return value (Welc, 2022).</w:t>
      </w:r>
    </w:p>
    <w:p w14:paraId="7ED21A5B" w14:textId="2F02AA5A" w:rsidR="00B34ECC" w:rsidRDefault="00E247BD" w:rsidP="00E247BD">
      <w:pPr>
        <w:spacing w:line="480" w:lineRule="auto"/>
        <w:rPr>
          <w:rFonts w:ascii="Arial" w:hAnsi="Arial" w:cs="Arial"/>
        </w:rPr>
      </w:pPr>
      <w:r w:rsidRPr="00E247BD">
        <w:rPr>
          <w:rFonts w:ascii="Arial" w:hAnsi="Arial" w:cs="Arial"/>
        </w:rPr>
        <w:t>According to Guo and Wang, 2019, ratio analysis will be critical in the retail sector due to the attributes of a low margin, high volume organi</w:t>
      </w:r>
      <w:r w:rsidR="00B34ECC">
        <w:rPr>
          <w:rFonts w:ascii="Arial" w:hAnsi="Arial" w:cs="Arial"/>
        </w:rPr>
        <w:t>s</w:t>
      </w:r>
      <w:r w:rsidRPr="00E247BD">
        <w:rPr>
          <w:rFonts w:ascii="Arial" w:hAnsi="Arial" w:cs="Arial"/>
        </w:rPr>
        <w:t>ation, where a business's profitability relies on the control of expenditure, pricing, and economies of scale.</w:t>
      </w:r>
      <w:r w:rsidR="00B34ECC">
        <w:rPr>
          <w:rFonts w:ascii="Arial" w:hAnsi="Arial" w:cs="Arial"/>
        </w:rPr>
        <w:t xml:space="preserve"> </w:t>
      </w:r>
      <w:r w:rsidRPr="00E247BD">
        <w:rPr>
          <w:rFonts w:ascii="Arial" w:hAnsi="Arial" w:cs="Arial"/>
        </w:rPr>
        <w:t xml:space="preserve">This analysis will not only attempt to measure Tesco's financial estate using numerical </w:t>
      </w:r>
      <w:r w:rsidR="00B34ECC" w:rsidRPr="00E247BD">
        <w:rPr>
          <w:rFonts w:ascii="Arial" w:hAnsi="Arial" w:cs="Arial"/>
        </w:rPr>
        <w:t>factors but</w:t>
      </w:r>
      <w:r w:rsidRPr="00E247BD">
        <w:rPr>
          <w:rFonts w:ascii="Arial" w:hAnsi="Arial" w:cs="Arial"/>
        </w:rPr>
        <w:t xml:space="preserve"> will also frame those numerals with wider strategic changes.</w:t>
      </w:r>
    </w:p>
    <w:p w14:paraId="7F3270AB" w14:textId="77777777" w:rsidR="00B34ECC" w:rsidRDefault="00B34ECC" w:rsidP="00E247BD">
      <w:pPr>
        <w:spacing w:line="480" w:lineRule="auto"/>
        <w:rPr>
          <w:rFonts w:ascii="Arial" w:hAnsi="Arial" w:cs="Arial"/>
        </w:rPr>
      </w:pPr>
    </w:p>
    <w:p w14:paraId="5E597B6A" w14:textId="77777777" w:rsidR="00B34ECC" w:rsidRDefault="00B34ECC" w:rsidP="00E247BD">
      <w:pPr>
        <w:spacing w:line="480" w:lineRule="auto"/>
        <w:rPr>
          <w:rFonts w:ascii="Arial" w:hAnsi="Arial" w:cs="Arial"/>
        </w:rPr>
      </w:pPr>
    </w:p>
    <w:p w14:paraId="229F9A34" w14:textId="77777777" w:rsidR="00B34ECC" w:rsidRDefault="00B34ECC" w:rsidP="00E247BD">
      <w:pPr>
        <w:spacing w:line="480" w:lineRule="auto"/>
        <w:rPr>
          <w:rFonts w:ascii="Arial" w:hAnsi="Arial" w:cs="Arial"/>
        </w:rPr>
      </w:pPr>
    </w:p>
    <w:p w14:paraId="684AE069" w14:textId="77777777" w:rsidR="00B34ECC" w:rsidRDefault="00B34ECC" w:rsidP="00E247BD">
      <w:pPr>
        <w:spacing w:line="480" w:lineRule="auto"/>
        <w:rPr>
          <w:rFonts w:ascii="Arial" w:hAnsi="Arial" w:cs="Arial"/>
        </w:rPr>
      </w:pPr>
    </w:p>
    <w:p w14:paraId="7FFE9222" w14:textId="77777777" w:rsidR="00B34ECC" w:rsidRDefault="00B34ECC" w:rsidP="00E247BD">
      <w:pPr>
        <w:spacing w:line="480" w:lineRule="auto"/>
        <w:rPr>
          <w:rFonts w:ascii="Arial" w:hAnsi="Arial" w:cs="Arial"/>
        </w:rPr>
      </w:pPr>
    </w:p>
    <w:p w14:paraId="7F095217" w14:textId="77777777" w:rsidR="00B34ECC" w:rsidRDefault="00B34ECC" w:rsidP="00E247BD">
      <w:pPr>
        <w:spacing w:line="480" w:lineRule="auto"/>
        <w:rPr>
          <w:rFonts w:ascii="Arial" w:hAnsi="Arial" w:cs="Arial"/>
        </w:rPr>
      </w:pPr>
    </w:p>
    <w:p w14:paraId="48063499" w14:textId="77777777" w:rsidR="00B34ECC" w:rsidRDefault="00E247BD" w:rsidP="00E247BD">
      <w:pPr>
        <w:spacing w:line="480" w:lineRule="auto"/>
        <w:rPr>
          <w:rFonts w:ascii="Arial" w:hAnsi="Arial" w:cs="Arial"/>
        </w:rPr>
      </w:pPr>
      <w:r w:rsidRPr="00E247BD">
        <w:rPr>
          <w:rFonts w:ascii="Arial" w:hAnsi="Arial" w:cs="Arial"/>
        </w:rPr>
        <w:t xml:space="preserve">  </w:t>
      </w:r>
    </w:p>
    <w:p w14:paraId="0E4A6869" w14:textId="08B8D946" w:rsidR="00B34ECC" w:rsidRPr="00355A3C" w:rsidRDefault="00E247BD" w:rsidP="00B34ECC">
      <w:pPr>
        <w:pStyle w:val="ListParagraph"/>
        <w:numPr>
          <w:ilvl w:val="0"/>
          <w:numId w:val="1"/>
        </w:numPr>
        <w:spacing w:line="480" w:lineRule="auto"/>
        <w:rPr>
          <w:rFonts w:ascii="Arial" w:hAnsi="Arial" w:cs="Arial"/>
          <w:b/>
          <w:bCs/>
        </w:rPr>
      </w:pPr>
      <w:r w:rsidRPr="00355A3C">
        <w:rPr>
          <w:rFonts w:ascii="Arial" w:hAnsi="Arial" w:cs="Arial"/>
          <w:b/>
          <w:bCs/>
        </w:rPr>
        <w:lastRenderedPageBreak/>
        <w:t>Overview of Financial Indicators</w:t>
      </w:r>
    </w:p>
    <w:p w14:paraId="7E575349" w14:textId="77777777" w:rsidR="00B34ECC" w:rsidRDefault="00E247BD" w:rsidP="00E247BD">
      <w:pPr>
        <w:spacing w:line="480" w:lineRule="auto"/>
        <w:rPr>
          <w:rFonts w:ascii="Arial" w:hAnsi="Arial" w:cs="Arial"/>
        </w:rPr>
      </w:pPr>
      <w:r w:rsidRPr="00E247BD">
        <w:rPr>
          <w:rFonts w:ascii="Arial" w:hAnsi="Arial" w:cs="Arial"/>
        </w:rPr>
        <w:t>The following table highlights Tesco's primary financial metrics for the years 2023 and 2024:</w:t>
      </w:r>
    </w:p>
    <w:tbl>
      <w:tblPr>
        <w:tblW w:w="0" w:type="auto"/>
        <w:tblCellSpacing w:w="15"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CellMar>
          <w:top w:w="15" w:type="dxa"/>
          <w:left w:w="15" w:type="dxa"/>
          <w:bottom w:w="15" w:type="dxa"/>
          <w:right w:w="15" w:type="dxa"/>
        </w:tblCellMar>
        <w:tblLook w:val="04A0" w:firstRow="1" w:lastRow="0" w:firstColumn="1" w:lastColumn="0" w:noHBand="0" w:noVBand="1"/>
      </w:tblPr>
      <w:tblGrid>
        <w:gridCol w:w="3253"/>
        <w:gridCol w:w="1842"/>
        <w:gridCol w:w="1985"/>
        <w:gridCol w:w="1843"/>
      </w:tblGrid>
      <w:tr w:rsidR="00B34ECC" w:rsidRPr="00B34ECC" w14:paraId="02646B85" w14:textId="77777777" w:rsidTr="00B34ECC">
        <w:trPr>
          <w:tblHeader/>
          <w:tblCellSpacing w:w="15" w:type="dxa"/>
        </w:trPr>
        <w:tc>
          <w:tcPr>
            <w:tcW w:w="3208" w:type="dxa"/>
            <w:vAlign w:val="center"/>
            <w:hideMark/>
          </w:tcPr>
          <w:p w14:paraId="25C70F27" w14:textId="77777777" w:rsidR="00B34ECC" w:rsidRPr="00B34ECC" w:rsidRDefault="00B34ECC" w:rsidP="00B34ECC">
            <w:pPr>
              <w:spacing w:after="0" w:line="240" w:lineRule="auto"/>
              <w:jc w:val="center"/>
              <w:rPr>
                <w:rFonts w:ascii="Arial" w:eastAsia="Times New Roman" w:hAnsi="Arial" w:cs="Arial"/>
                <w:b/>
                <w:bCs/>
                <w:kern w:val="0"/>
                <w:highlight w:val="cyan"/>
                <w:lang w:eastAsia="en-GB"/>
                <w14:ligatures w14:val="none"/>
              </w:rPr>
            </w:pPr>
            <w:r w:rsidRPr="00B34ECC">
              <w:rPr>
                <w:rFonts w:ascii="Arial" w:eastAsia="Times New Roman" w:hAnsi="Arial" w:cs="Arial"/>
                <w:b/>
                <w:bCs/>
                <w:kern w:val="0"/>
                <w:highlight w:val="cyan"/>
                <w:lang w:eastAsia="en-GB"/>
                <w14:ligatures w14:val="none"/>
              </w:rPr>
              <w:t>Metric</w:t>
            </w:r>
          </w:p>
        </w:tc>
        <w:tc>
          <w:tcPr>
            <w:tcW w:w="1812" w:type="dxa"/>
            <w:vAlign w:val="center"/>
            <w:hideMark/>
          </w:tcPr>
          <w:p w14:paraId="609D21A2" w14:textId="77777777" w:rsidR="00B34ECC" w:rsidRPr="00B34ECC" w:rsidRDefault="00B34ECC" w:rsidP="00B34ECC">
            <w:pPr>
              <w:spacing w:after="0" w:line="240" w:lineRule="auto"/>
              <w:jc w:val="center"/>
              <w:rPr>
                <w:rFonts w:ascii="Arial" w:eastAsia="Times New Roman" w:hAnsi="Arial" w:cs="Arial"/>
                <w:b/>
                <w:bCs/>
                <w:kern w:val="0"/>
                <w:highlight w:val="cyan"/>
                <w:lang w:eastAsia="en-GB"/>
                <w14:ligatures w14:val="none"/>
              </w:rPr>
            </w:pPr>
            <w:r w:rsidRPr="00B34ECC">
              <w:rPr>
                <w:rFonts w:ascii="Arial" w:eastAsia="Times New Roman" w:hAnsi="Arial" w:cs="Arial"/>
                <w:b/>
                <w:bCs/>
                <w:kern w:val="0"/>
                <w:highlight w:val="cyan"/>
                <w:lang w:eastAsia="en-GB"/>
                <w14:ligatures w14:val="none"/>
              </w:rPr>
              <w:t>2023</w:t>
            </w:r>
          </w:p>
        </w:tc>
        <w:tc>
          <w:tcPr>
            <w:tcW w:w="1955" w:type="dxa"/>
            <w:vAlign w:val="center"/>
            <w:hideMark/>
          </w:tcPr>
          <w:p w14:paraId="07203539" w14:textId="77777777" w:rsidR="00B34ECC" w:rsidRPr="00B34ECC" w:rsidRDefault="00B34ECC" w:rsidP="00B34ECC">
            <w:pPr>
              <w:spacing w:after="0" w:line="240" w:lineRule="auto"/>
              <w:jc w:val="center"/>
              <w:rPr>
                <w:rFonts w:ascii="Arial" w:eastAsia="Times New Roman" w:hAnsi="Arial" w:cs="Arial"/>
                <w:b/>
                <w:bCs/>
                <w:kern w:val="0"/>
                <w:highlight w:val="cyan"/>
                <w:lang w:eastAsia="en-GB"/>
                <w14:ligatures w14:val="none"/>
              </w:rPr>
            </w:pPr>
            <w:r w:rsidRPr="00B34ECC">
              <w:rPr>
                <w:rFonts w:ascii="Arial" w:eastAsia="Times New Roman" w:hAnsi="Arial" w:cs="Arial"/>
                <w:b/>
                <w:bCs/>
                <w:kern w:val="0"/>
                <w:highlight w:val="cyan"/>
                <w:lang w:eastAsia="en-GB"/>
                <w14:ligatures w14:val="none"/>
              </w:rPr>
              <w:t>2024</w:t>
            </w:r>
          </w:p>
        </w:tc>
        <w:tc>
          <w:tcPr>
            <w:tcW w:w="1798" w:type="dxa"/>
            <w:vAlign w:val="center"/>
            <w:hideMark/>
          </w:tcPr>
          <w:p w14:paraId="79A6785C" w14:textId="77777777" w:rsidR="00B34ECC" w:rsidRPr="00B34ECC" w:rsidRDefault="00B34ECC" w:rsidP="00B34ECC">
            <w:pPr>
              <w:spacing w:after="0" w:line="240" w:lineRule="auto"/>
              <w:jc w:val="center"/>
              <w:rPr>
                <w:rFonts w:ascii="Arial" w:eastAsia="Times New Roman" w:hAnsi="Arial" w:cs="Arial"/>
                <w:b/>
                <w:bCs/>
                <w:kern w:val="0"/>
                <w:highlight w:val="cyan"/>
                <w:lang w:eastAsia="en-GB"/>
                <w14:ligatures w14:val="none"/>
              </w:rPr>
            </w:pPr>
            <w:r w:rsidRPr="00B34ECC">
              <w:rPr>
                <w:rFonts w:ascii="Arial" w:eastAsia="Times New Roman" w:hAnsi="Arial" w:cs="Arial"/>
                <w:b/>
                <w:bCs/>
                <w:kern w:val="0"/>
                <w:highlight w:val="cyan"/>
                <w:lang w:eastAsia="en-GB"/>
                <w14:ligatures w14:val="none"/>
              </w:rPr>
              <w:t>Change (%)</w:t>
            </w:r>
          </w:p>
        </w:tc>
      </w:tr>
      <w:tr w:rsidR="00B34ECC" w:rsidRPr="00B34ECC" w14:paraId="60882995" w14:textId="77777777" w:rsidTr="00B34ECC">
        <w:trPr>
          <w:tblCellSpacing w:w="15" w:type="dxa"/>
        </w:trPr>
        <w:tc>
          <w:tcPr>
            <w:tcW w:w="3208" w:type="dxa"/>
            <w:vAlign w:val="center"/>
            <w:hideMark/>
          </w:tcPr>
          <w:p w14:paraId="617D77CD" w14:textId="77777777" w:rsidR="00B34ECC" w:rsidRPr="00B34ECC" w:rsidRDefault="00B34ECC" w:rsidP="00B34ECC">
            <w:pPr>
              <w:spacing w:after="0" w:line="240" w:lineRule="auto"/>
              <w:rPr>
                <w:rFonts w:ascii="Arial" w:eastAsia="Times New Roman" w:hAnsi="Arial" w:cs="Arial"/>
                <w:kern w:val="0"/>
                <w:highlight w:val="cyan"/>
                <w:lang w:eastAsia="en-GB"/>
                <w14:ligatures w14:val="none"/>
              </w:rPr>
            </w:pPr>
            <w:r w:rsidRPr="00B34ECC">
              <w:rPr>
                <w:rFonts w:ascii="Arial" w:eastAsia="Times New Roman" w:hAnsi="Arial" w:cs="Arial"/>
                <w:kern w:val="0"/>
                <w:highlight w:val="cyan"/>
                <w:lang w:eastAsia="en-GB"/>
                <w14:ligatures w14:val="none"/>
              </w:rPr>
              <w:t>Group Sales (£bn)</w:t>
            </w:r>
          </w:p>
        </w:tc>
        <w:tc>
          <w:tcPr>
            <w:tcW w:w="1812" w:type="dxa"/>
            <w:vAlign w:val="center"/>
            <w:hideMark/>
          </w:tcPr>
          <w:p w14:paraId="2569CCF1" w14:textId="77777777" w:rsidR="00B34ECC" w:rsidRPr="00B34ECC" w:rsidRDefault="00B34ECC" w:rsidP="00B34ECC">
            <w:pPr>
              <w:spacing w:after="0" w:line="240" w:lineRule="auto"/>
              <w:rPr>
                <w:rFonts w:ascii="Arial" w:eastAsia="Times New Roman" w:hAnsi="Arial" w:cs="Arial"/>
                <w:kern w:val="0"/>
                <w:highlight w:val="cyan"/>
                <w:lang w:eastAsia="en-GB"/>
                <w14:ligatures w14:val="none"/>
              </w:rPr>
            </w:pPr>
            <w:r w:rsidRPr="00B34ECC">
              <w:rPr>
                <w:rFonts w:ascii="Arial" w:eastAsia="Times New Roman" w:hAnsi="Arial" w:cs="Arial"/>
                <w:kern w:val="0"/>
                <w:highlight w:val="cyan"/>
                <w:lang w:eastAsia="en-GB"/>
                <w14:ligatures w14:val="none"/>
              </w:rPr>
              <w:t>57.7</w:t>
            </w:r>
          </w:p>
        </w:tc>
        <w:tc>
          <w:tcPr>
            <w:tcW w:w="1955" w:type="dxa"/>
            <w:vAlign w:val="center"/>
            <w:hideMark/>
          </w:tcPr>
          <w:p w14:paraId="66E7FF62" w14:textId="77777777" w:rsidR="00B34ECC" w:rsidRPr="00B34ECC" w:rsidRDefault="00B34ECC" w:rsidP="00B34ECC">
            <w:pPr>
              <w:spacing w:after="0" w:line="240" w:lineRule="auto"/>
              <w:rPr>
                <w:rFonts w:ascii="Arial" w:eastAsia="Times New Roman" w:hAnsi="Arial" w:cs="Arial"/>
                <w:kern w:val="0"/>
                <w:highlight w:val="cyan"/>
                <w:lang w:eastAsia="en-GB"/>
                <w14:ligatures w14:val="none"/>
              </w:rPr>
            </w:pPr>
            <w:r w:rsidRPr="00B34ECC">
              <w:rPr>
                <w:rFonts w:ascii="Arial" w:eastAsia="Times New Roman" w:hAnsi="Arial" w:cs="Arial"/>
                <w:kern w:val="0"/>
                <w:highlight w:val="cyan"/>
                <w:lang w:eastAsia="en-GB"/>
                <w14:ligatures w14:val="none"/>
              </w:rPr>
              <w:t>61.5</w:t>
            </w:r>
          </w:p>
        </w:tc>
        <w:tc>
          <w:tcPr>
            <w:tcW w:w="1798" w:type="dxa"/>
            <w:vAlign w:val="center"/>
            <w:hideMark/>
          </w:tcPr>
          <w:p w14:paraId="6D3D3787" w14:textId="77777777" w:rsidR="00B34ECC" w:rsidRPr="00B34ECC" w:rsidRDefault="00B34ECC" w:rsidP="00B34ECC">
            <w:pPr>
              <w:spacing w:after="0" w:line="240" w:lineRule="auto"/>
              <w:rPr>
                <w:rFonts w:ascii="Arial" w:eastAsia="Times New Roman" w:hAnsi="Arial" w:cs="Arial"/>
                <w:kern w:val="0"/>
                <w:highlight w:val="cyan"/>
                <w:lang w:eastAsia="en-GB"/>
                <w14:ligatures w14:val="none"/>
              </w:rPr>
            </w:pPr>
            <w:r w:rsidRPr="00B34ECC">
              <w:rPr>
                <w:rFonts w:ascii="Arial" w:eastAsia="Times New Roman" w:hAnsi="Arial" w:cs="Arial"/>
                <w:kern w:val="0"/>
                <w:highlight w:val="cyan"/>
                <w:lang w:eastAsia="en-GB"/>
                <w14:ligatures w14:val="none"/>
              </w:rPr>
              <w:t>+6.59%</w:t>
            </w:r>
          </w:p>
        </w:tc>
      </w:tr>
      <w:tr w:rsidR="00B34ECC" w:rsidRPr="00B34ECC" w14:paraId="62DDF4E0" w14:textId="77777777" w:rsidTr="00B34ECC">
        <w:trPr>
          <w:tblCellSpacing w:w="15" w:type="dxa"/>
        </w:trPr>
        <w:tc>
          <w:tcPr>
            <w:tcW w:w="3208" w:type="dxa"/>
            <w:vAlign w:val="center"/>
            <w:hideMark/>
          </w:tcPr>
          <w:p w14:paraId="62B01690" w14:textId="77777777" w:rsidR="00B34ECC" w:rsidRPr="00B34ECC" w:rsidRDefault="00B34ECC" w:rsidP="00B34ECC">
            <w:pPr>
              <w:spacing w:after="0" w:line="240" w:lineRule="auto"/>
              <w:rPr>
                <w:rFonts w:ascii="Arial" w:eastAsia="Times New Roman" w:hAnsi="Arial" w:cs="Arial"/>
                <w:kern w:val="0"/>
                <w:highlight w:val="cyan"/>
                <w:lang w:eastAsia="en-GB"/>
                <w14:ligatures w14:val="none"/>
              </w:rPr>
            </w:pPr>
            <w:r w:rsidRPr="00B34ECC">
              <w:rPr>
                <w:rFonts w:ascii="Arial" w:eastAsia="Times New Roman" w:hAnsi="Arial" w:cs="Arial"/>
                <w:kern w:val="0"/>
                <w:highlight w:val="cyan"/>
                <w:lang w:eastAsia="en-GB"/>
                <w14:ligatures w14:val="none"/>
              </w:rPr>
              <w:t>Statutory Revenue (£bn)</w:t>
            </w:r>
          </w:p>
        </w:tc>
        <w:tc>
          <w:tcPr>
            <w:tcW w:w="1812" w:type="dxa"/>
            <w:vAlign w:val="center"/>
            <w:hideMark/>
          </w:tcPr>
          <w:p w14:paraId="185E7F90" w14:textId="77777777" w:rsidR="00B34ECC" w:rsidRPr="00B34ECC" w:rsidRDefault="00B34ECC" w:rsidP="00B34ECC">
            <w:pPr>
              <w:spacing w:after="0" w:line="240" w:lineRule="auto"/>
              <w:rPr>
                <w:rFonts w:ascii="Arial" w:eastAsia="Times New Roman" w:hAnsi="Arial" w:cs="Arial"/>
                <w:kern w:val="0"/>
                <w:highlight w:val="cyan"/>
                <w:lang w:eastAsia="en-GB"/>
                <w14:ligatures w14:val="none"/>
              </w:rPr>
            </w:pPr>
            <w:r w:rsidRPr="00B34ECC">
              <w:rPr>
                <w:rFonts w:ascii="Arial" w:eastAsia="Times New Roman" w:hAnsi="Arial" w:cs="Arial"/>
                <w:kern w:val="0"/>
                <w:highlight w:val="cyan"/>
                <w:lang w:eastAsia="en-GB"/>
                <w14:ligatures w14:val="none"/>
              </w:rPr>
              <w:t>65.8</w:t>
            </w:r>
          </w:p>
        </w:tc>
        <w:tc>
          <w:tcPr>
            <w:tcW w:w="1955" w:type="dxa"/>
            <w:vAlign w:val="center"/>
            <w:hideMark/>
          </w:tcPr>
          <w:p w14:paraId="7C506457" w14:textId="77777777" w:rsidR="00B34ECC" w:rsidRPr="00B34ECC" w:rsidRDefault="00B34ECC" w:rsidP="00B34ECC">
            <w:pPr>
              <w:spacing w:after="0" w:line="240" w:lineRule="auto"/>
              <w:rPr>
                <w:rFonts w:ascii="Arial" w:eastAsia="Times New Roman" w:hAnsi="Arial" w:cs="Arial"/>
                <w:kern w:val="0"/>
                <w:highlight w:val="cyan"/>
                <w:lang w:eastAsia="en-GB"/>
                <w14:ligatures w14:val="none"/>
              </w:rPr>
            </w:pPr>
            <w:r w:rsidRPr="00B34ECC">
              <w:rPr>
                <w:rFonts w:ascii="Arial" w:eastAsia="Times New Roman" w:hAnsi="Arial" w:cs="Arial"/>
                <w:kern w:val="0"/>
                <w:highlight w:val="cyan"/>
                <w:lang w:eastAsia="en-GB"/>
                <w14:ligatures w14:val="none"/>
              </w:rPr>
              <w:t>68.2</w:t>
            </w:r>
          </w:p>
        </w:tc>
        <w:tc>
          <w:tcPr>
            <w:tcW w:w="1798" w:type="dxa"/>
            <w:vAlign w:val="center"/>
            <w:hideMark/>
          </w:tcPr>
          <w:p w14:paraId="3326642E" w14:textId="77777777" w:rsidR="00B34ECC" w:rsidRPr="00B34ECC" w:rsidRDefault="00B34ECC" w:rsidP="00B34ECC">
            <w:pPr>
              <w:spacing w:after="0" w:line="240" w:lineRule="auto"/>
              <w:rPr>
                <w:rFonts w:ascii="Arial" w:eastAsia="Times New Roman" w:hAnsi="Arial" w:cs="Arial"/>
                <w:kern w:val="0"/>
                <w:highlight w:val="cyan"/>
                <w:lang w:eastAsia="en-GB"/>
                <w14:ligatures w14:val="none"/>
              </w:rPr>
            </w:pPr>
            <w:r w:rsidRPr="00B34ECC">
              <w:rPr>
                <w:rFonts w:ascii="Arial" w:eastAsia="Times New Roman" w:hAnsi="Arial" w:cs="Arial"/>
                <w:kern w:val="0"/>
                <w:highlight w:val="cyan"/>
                <w:lang w:eastAsia="en-GB"/>
                <w14:ligatures w14:val="none"/>
              </w:rPr>
              <w:t>+3.65%</w:t>
            </w:r>
          </w:p>
        </w:tc>
      </w:tr>
      <w:tr w:rsidR="00B34ECC" w:rsidRPr="00B34ECC" w14:paraId="5382785A" w14:textId="77777777" w:rsidTr="00B34ECC">
        <w:trPr>
          <w:tblCellSpacing w:w="15" w:type="dxa"/>
        </w:trPr>
        <w:tc>
          <w:tcPr>
            <w:tcW w:w="3208" w:type="dxa"/>
            <w:vAlign w:val="center"/>
            <w:hideMark/>
          </w:tcPr>
          <w:p w14:paraId="7808301B" w14:textId="77777777" w:rsidR="00B34ECC" w:rsidRPr="00B34ECC" w:rsidRDefault="00B34ECC" w:rsidP="00B34ECC">
            <w:pPr>
              <w:spacing w:after="0" w:line="240" w:lineRule="auto"/>
              <w:rPr>
                <w:rFonts w:ascii="Arial" w:eastAsia="Times New Roman" w:hAnsi="Arial" w:cs="Arial"/>
                <w:kern w:val="0"/>
                <w:highlight w:val="cyan"/>
                <w:lang w:eastAsia="en-GB"/>
                <w14:ligatures w14:val="none"/>
              </w:rPr>
            </w:pPr>
            <w:r w:rsidRPr="00B34ECC">
              <w:rPr>
                <w:rFonts w:ascii="Arial" w:eastAsia="Times New Roman" w:hAnsi="Arial" w:cs="Arial"/>
                <w:kern w:val="0"/>
                <w:highlight w:val="cyan"/>
                <w:lang w:eastAsia="en-GB"/>
                <w14:ligatures w14:val="none"/>
              </w:rPr>
              <w:t>Adjusted Operating Profit (£m)</w:t>
            </w:r>
          </w:p>
        </w:tc>
        <w:tc>
          <w:tcPr>
            <w:tcW w:w="1812" w:type="dxa"/>
            <w:vAlign w:val="center"/>
            <w:hideMark/>
          </w:tcPr>
          <w:p w14:paraId="6D2A69E0" w14:textId="77777777" w:rsidR="00B34ECC" w:rsidRPr="00B34ECC" w:rsidRDefault="00B34ECC" w:rsidP="00B34ECC">
            <w:pPr>
              <w:spacing w:after="0" w:line="240" w:lineRule="auto"/>
              <w:rPr>
                <w:rFonts w:ascii="Arial" w:eastAsia="Times New Roman" w:hAnsi="Arial" w:cs="Arial"/>
                <w:kern w:val="0"/>
                <w:highlight w:val="cyan"/>
                <w:lang w:eastAsia="en-GB"/>
                <w14:ligatures w14:val="none"/>
              </w:rPr>
            </w:pPr>
            <w:r w:rsidRPr="00B34ECC">
              <w:rPr>
                <w:rFonts w:ascii="Arial" w:eastAsia="Times New Roman" w:hAnsi="Arial" w:cs="Arial"/>
                <w:kern w:val="0"/>
                <w:highlight w:val="cyan"/>
                <w:lang w:eastAsia="en-GB"/>
                <w14:ligatures w14:val="none"/>
              </w:rPr>
              <w:t>2,630</w:t>
            </w:r>
          </w:p>
        </w:tc>
        <w:tc>
          <w:tcPr>
            <w:tcW w:w="1955" w:type="dxa"/>
            <w:vAlign w:val="center"/>
            <w:hideMark/>
          </w:tcPr>
          <w:p w14:paraId="0F2CB023" w14:textId="77777777" w:rsidR="00B34ECC" w:rsidRPr="00B34ECC" w:rsidRDefault="00B34ECC" w:rsidP="00B34ECC">
            <w:pPr>
              <w:spacing w:after="0" w:line="240" w:lineRule="auto"/>
              <w:rPr>
                <w:rFonts w:ascii="Arial" w:eastAsia="Times New Roman" w:hAnsi="Arial" w:cs="Arial"/>
                <w:kern w:val="0"/>
                <w:highlight w:val="cyan"/>
                <w:lang w:eastAsia="en-GB"/>
                <w14:ligatures w14:val="none"/>
              </w:rPr>
            </w:pPr>
            <w:r w:rsidRPr="00B34ECC">
              <w:rPr>
                <w:rFonts w:ascii="Arial" w:eastAsia="Times New Roman" w:hAnsi="Arial" w:cs="Arial"/>
                <w:kern w:val="0"/>
                <w:highlight w:val="cyan"/>
                <w:lang w:eastAsia="en-GB"/>
                <w14:ligatures w14:val="none"/>
              </w:rPr>
              <w:t>2,829</w:t>
            </w:r>
          </w:p>
        </w:tc>
        <w:tc>
          <w:tcPr>
            <w:tcW w:w="1798" w:type="dxa"/>
            <w:vAlign w:val="center"/>
            <w:hideMark/>
          </w:tcPr>
          <w:p w14:paraId="406DE8A2" w14:textId="77777777" w:rsidR="00B34ECC" w:rsidRPr="00B34ECC" w:rsidRDefault="00B34ECC" w:rsidP="00B34ECC">
            <w:pPr>
              <w:spacing w:after="0" w:line="240" w:lineRule="auto"/>
              <w:rPr>
                <w:rFonts w:ascii="Arial" w:eastAsia="Times New Roman" w:hAnsi="Arial" w:cs="Arial"/>
                <w:kern w:val="0"/>
                <w:highlight w:val="cyan"/>
                <w:lang w:eastAsia="en-GB"/>
                <w14:ligatures w14:val="none"/>
              </w:rPr>
            </w:pPr>
            <w:r w:rsidRPr="00B34ECC">
              <w:rPr>
                <w:rFonts w:ascii="Arial" w:eastAsia="Times New Roman" w:hAnsi="Arial" w:cs="Arial"/>
                <w:kern w:val="0"/>
                <w:highlight w:val="cyan"/>
                <w:lang w:eastAsia="en-GB"/>
                <w14:ligatures w14:val="none"/>
              </w:rPr>
              <w:t>+7.57%</w:t>
            </w:r>
          </w:p>
        </w:tc>
      </w:tr>
      <w:tr w:rsidR="00B34ECC" w:rsidRPr="00B34ECC" w14:paraId="26C37C51" w14:textId="77777777" w:rsidTr="00B34ECC">
        <w:trPr>
          <w:tblCellSpacing w:w="15" w:type="dxa"/>
        </w:trPr>
        <w:tc>
          <w:tcPr>
            <w:tcW w:w="3208" w:type="dxa"/>
            <w:vAlign w:val="center"/>
            <w:hideMark/>
          </w:tcPr>
          <w:p w14:paraId="4F4FE4F1" w14:textId="77777777" w:rsidR="00B34ECC" w:rsidRPr="00B34ECC" w:rsidRDefault="00B34ECC" w:rsidP="00B34ECC">
            <w:pPr>
              <w:spacing w:after="0" w:line="240" w:lineRule="auto"/>
              <w:rPr>
                <w:rFonts w:ascii="Arial" w:eastAsia="Times New Roman" w:hAnsi="Arial" w:cs="Arial"/>
                <w:kern w:val="0"/>
                <w:highlight w:val="cyan"/>
                <w:lang w:eastAsia="en-GB"/>
                <w14:ligatures w14:val="none"/>
              </w:rPr>
            </w:pPr>
            <w:r w:rsidRPr="00B34ECC">
              <w:rPr>
                <w:rFonts w:ascii="Arial" w:eastAsia="Times New Roman" w:hAnsi="Arial" w:cs="Arial"/>
                <w:kern w:val="0"/>
                <w:highlight w:val="cyan"/>
                <w:lang w:eastAsia="en-GB"/>
                <w14:ligatures w14:val="none"/>
              </w:rPr>
              <w:t>Operating Profit (£m)</w:t>
            </w:r>
          </w:p>
        </w:tc>
        <w:tc>
          <w:tcPr>
            <w:tcW w:w="1812" w:type="dxa"/>
            <w:vAlign w:val="center"/>
            <w:hideMark/>
          </w:tcPr>
          <w:p w14:paraId="470EDFFF" w14:textId="77777777" w:rsidR="00B34ECC" w:rsidRPr="00B34ECC" w:rsidRDefault="00B34ECC" w:rsidP="00B34ECC">
            <w:pPr>
              <w:spacing w:after="0" w:line="240" w:lineRule="auto"/>
              <w:rPr>
                <w:rFonts w:ascii="Arial" w:eastAsia="Times New Roman" w:hAnsi="Arial" w:cs="Arial"/>
                <w:kern w:val="0"/>
                <w:highlight w:val="cyan"/>
                <w:lang w:eastAsia="en-GB"/>
                <w14:ligatures w14:val="none"/>
              </w:rPr>
            </w:pPr>
            <w:r w:rsidRPr="00B34ECC">
              <w:rPr>
                <w:rFonts w:ascii="Arial" w:eastAsia="Times New Roman" w:hAnsi="Arial" w:cs="Arial"/>
                <w:kern w:val="0"/>
                <w:highlight w:val="cyan"/>
                <w:lang w:eastAsia="en-GB"/>
                <w14:ligatures w14:val="none"/>
              </w:rPr>
              <w:t>1,525</w:t>
            </w:r>
          </w:p>
        </w:tc>
        <w:tc>
          <w:tcPr>
            <w:tcW w:w="1955" w:type="dxa"/>
            <w:vAlign w:val="center"/>
            <w:hideMark/>
          </w:tcPr>
          <w:p w14:paraId="20B40970" w14:textId="77777777" w:rsidR="00B34ECC" w:rsidRPr="00B34ECC" w:rsidRDefault="00B34ECC" w:rsidP="00B34ECC">
            <w:pPr>
              <w:spacing w:after="0" w:line="240" w:lineRule="auto"/>
              <w:rPr>
                <w:rFonts w:ascii="Arial" w:eastAsia="Times New Roman" w:hAnsi="Arial" w:cs="Arial"/>
                <w:kern w:val="0"/>
                <w:highlight w:val="cyan"/>
                <w:lang w:eastAsia="en-GB"/>
                <w14:ligatures w14:val="none"/>
              </w:rPr>
            </w:pPr>
            <w:r w:rsidRPr="00B34ECC">
              <w:rPr>
                <w:rFonts w:ascii="Arial" w:eastAsia="Times New Roman" w:hAnsi="Arial" w:cs="Arial"/>
                <w:kern w:val="0"/>
                <w:highlight w:val="cyan"/>
                <w:lang w:eastAsia="en-GB"/>
                <w14:ligatures w14:val="none"/>
              </w:rPr>
              <w:t>2,821</w:t>
            </w:r>
          </w:p>
        </w:tc>
        <w:tc>
          <w:tcPr>
            <w:tcW w:w="1798" w:type="dxa"/>
            <w:vAlign w:val="center"/>
            <w:hideMark/>
          </w:tcPr>
          <w:p w14:paraId="35DAD253" w14:textId="77777777" w:rsidR="00B34ECC" w:rsidRPr="00B34ECC" w:rsidRDefault="00B34ECC" w:rsidP="00B34ECC">
            <w:pPr>
              <w:spacing w:after="0" w:line="240" w:lineRule="auto"/>
              <w:rPr>
                <w:rFonts w:ascii="Arial" w:eastAsia="Times New Roman" w:hAnsi="Arial" w:cs="Arial"/>
                <w:kern w:val="0"/>
                <w:highlight w:val="cyan"/>
                <w:lang w:eastAsia="en-GB"/>
                <w14:ligatures w14:val="none"/>
              </w:rPr>
            </w:pPr>
            <w:r w:rsidRPr="00B34ECC">
              <w:rPr>
                <w:rFonts w:ascii="Arial" w:eastAsia="Times New Roman" w:hAnsi="Arial" w:cs="Arial"/>
                <w:kern w:val="0"/>
                <w:highlight w:val="cyan"/>
                <w:lang w:eastAsia="en-GB"/>
                <w14:ligatures w14:val="none"/>
              </w:rPr>
              <w:t>+84.98%</w:t>
            </w:r>
          </w:p>
        </w:tc>
      </w:tr>
      <w:tr w:rsidR="00B34ECC" w:rsidRPr="00B34ECC" w14:paraId="1783E8B8" w14:textId="77777777" w:rsidTr="00B34ECC">
        <w:trPr>
          <w:tblCellSpacing w:w="15" w:type="dxa"/>
        </w:trPr>
        <w:tc>
          <w:tcPr>
            <w:tcW w:w="3208" w:type="dxa"/>
            <w:vAlign w:val="center"/>
            <w:hideMark/>
          </w:tcPr>
          <w:p w14:paraId="3484F1D0" w14:textId="77777777" w:rsidR="00B34ECC" w:rsidRPr="00B34ECC" w:rsidRDefault="00B34ECC" w:rsidP="00B34ECC">
            <w:pPr>
              <w:spacing w:after="0" w:line="240" w:lineRule="auto"/>
              <w:rPr>
                <w:rFonts w:ascii="Arial" w:eastAsia="Times New Roman" w:hAnsi="Arial" w:cs="Arial"/>
                <w:kern w:val="0"/>
                <w:highlight w:val="cyan"/>
                <w:lang w:eastAsia="en-GB"/>
                <w14:ligatures w14:val="none"/>
              </w:rPr>
            </w:pPr>
            <w:r w:rsidRPr="00B34ECC">
              <w:rPr>
                <w:rFonts w:ascii="Arial" w:eastAsia="Times New Roman" w:hAnsi="Arial" w:cs="Arial"/>
                <w:kern w:val="0"/>
                <w:highlight w:val="cyan"/>
                <w:lang w:eastAsia="en-GB"/>
                <w14:ligatures w14:val="none"/>
              </w:rPr>
              <w:t>Profit Before Tax (£m)</w:t>
            </w:r>
          </w:p>
        </w:tc>
        <w:tc>
          <w:tcPr>
            <w:tcW w:w="1812" w:type="dxa"/>
            <w:vAlign w:val="center"/>
            <w:hideMark/>
          </w:tcPr>
          <w:p w14:paraId="6B3D8FDA" w14:textId="77777777" w:rsidR="00B34ECC" w:rsidRPr="00B34ECC" w:rsidRDefault="00B34ECC" w:rsidP="00B34ECC">
            <w:pPr>
              <w:spacing w:after="0" w:line="240" w:lineRule="auto"/>
              <w:rPr>
                <w:rFonts w:ascii="Arial" w:eastAsia="Times New Roman" w:hAnsi="Arial" w:cs="Arial"/>
                <w:kern w:val="0"/>
                <w:highlight w:val="cyan"/>
                <w:lang w:eastAsia="en-GB"/>
                <w14:ligatures w14:val="none"/>
              </w:rPr>
            </w:pPr>
            <w:r w:rsidRPr="00B34ECC">
              <w:rPr>
                <w:rFonts w:ascii="Arial" w:eastAsia="Times New Roman" w:hAnsi="Arial" w:cs="Arial"/>
                <w:kern w:val="0"/>
                <w:highlight w:val="cyan"/>
                <w:lang w:eastAsia="en-GB"/>
                <w14:ligatures w14:val="none"/>
              </w:rPr>
              <w:t>1,000</w:t>
            </w:r>
          </w:p>
        </w:tc>
        <w:tc>
          <w:tcPr>
            <w:tcW w:w="1955" w:type="dxa"/>
            <w:vAlign w:val="center"/>
            <w:hideMark/>
          </w:tcPr>
          <w:p w14:paraId="33C48F7D" w14:textId="77777777" w:rsidR="00B34ECC" w:rsidRPr="00B34ECC" w:rsidRDefault="00B34ECC" w:rsidP="00B34ECC">
            <w:pPr>
              <w:spacing w:after="0" w:line="240" w:lineRule="auto"/>
              <w:rPr>
                <w:rFonts w:ascii="Arial" w:eastAsia="Times New Roman" w:hAnsi="Arial" w:cs="Arial"/>
                <w:kern w:val="0"/>
                <w:highlight w:val="cyan"/>
                <w:lang w:eastAsia="en-GB"/>
                <w14:ligatures w14:val="none"/>
              </w:rPr>
            </w:pPr>
            <w:r w:rsidRPr="00B34ECC">
              <w:rPr>
                <w:rFonts w:ascii="Arial" w:eastAsia="Times New Roman" w:hAnsi="Arial" w:cs="Arial"/>
                <w:kern w:val="0"/>
                <w:highlight w:val="cyan"/>
                <w:lang w:eastAsia="en-GB"/>
                <w14:ligatures w14:val="none"/>
              </w:rPr>
              <w:t>2,289</w:t>
            </w:r>
          </w:p>
        </w:tc>
        <w:tc>
          <w:tcPr>
            <w:tcW w:w="1798" w:type="dxa"/>
            <w:vAlign w:val="center"/>
            <w:hideMark/>
          </w:tcPr>
          <w:p w14:paraId="16C17A77" w14:textId="77777777" w:rsidR="00B34ECC" w:rsidRPr="00B34ECC" w:rsidRDefault="00B34ECC" w:rsidP="00B34ECC">
            <w:pPr>
              <w:spacing w:after="0" w:line="240" w:lineRule="auto"/>
              <w:rPr>
                <w:rFonts w:ascii="Arial" w:eastAsia="Times New Roman" w:hAnsi="Arial" w:cs="Arial"/>
                <w:kern w:val="0"/>
                <w:highlight w:val="cyan"/>
                <w:lang w:eastAsia="en-GB"/>
                <w14:ligatures w14:val="none"/>
              </w:rPr>
            </w:pPr>
            <w:r w:rsidRPr="00B34ECC">
              <w:rPr>
                <w:rFonts w:ascii="Arial" w:eastAsia="Times New Roman" w:hAnsi="Arial" w:cs="Arial"/>
                <w:kern w:val="0"/>
                <w:highlight w:val="cyan"/>
                <w:lang w:eastAsia="en-GB"/>
                <w14:ligatures w14:val="none"/>
              </w:rPr>
              <w:t>+128.90%</w:t>
            </w:r>
          </w:p>
        </w:tc>
      </w:tr>
      <w:tr w:rsidR="00B34ECC" w:rsidRPr="00B34ECC" w14:paraId="75C33A39" w14:textId="77777777" w:rsidTr="00B34ECC">
        <w:trPr>
          <w:tblCellSpacing w:w="15" w:type="dxa"/>
        </w:trPr>
        <w:tc>
          <w:tcPr>
            <w:tcW w:w="3208" w:type="dxa"/>
            <w:vAlign w:val="center"/>
            <w:hideMark/>
          </w:tcPr>
          <w:p w14:paraId="3A83AB3E" w14:textId="77777777" w:rsidR="00B34ECC" w:rsidRPr="00B34ECC" w:rsidRDefault="00B34ECC" w:rsidP="00B34ECC">
            <w:pPr>
              <w:spacing w:after="0" w:line="240" w:lineRule="auto"/>
              <w:rPr>
                <w:rFonts w:ascii="Arial" w:eastAsia="Times New Roman" w:hAnsi="Arial" w:cs="Arial"/>
                <w:kern w:val="0"/>
                <w:highlight w:val="cyan"/>
                <w:lang w:eastAsia="en-GB"/>
                <w14:ligatures w14:val="none"/>
              </w:rPr>
            </w:pPr>
            <w:r w:rsidRPr="00B34ECC">
              <w:rPr>
                <w:rFonts w:ascii="Arial" w:eastAsia="Times New Roman" w:hAnsi="Arial" w:cs="Arial"/>
                <w:kern w:val="0"/>
                <w:highlight w:val="cyan"/>
                <w:lang w:eastAsia="en-GB"/>
                <w14:ligatures w14:val="none"/>
              </w:rPr>
              <w:t>Adjusted EPS (p)</w:t>
            </w:r>
          </w:p>
        </w:tc>
        <w:tc>
          <w:tcPr>
            <w:tcW w:w="1812" w:type="dxa"/>
            <w:vAlign w:val="center"/>
            <w:hideMark/>
          </w:tcPr>
          <w:p w14:paraId="684D3F8A" w14:textId="77777777" w:rsidR="00B34ECC" w:rsidRPr="00B34ECC" w:rsidRDefault="00B34ECC" w:rsidP="00B34ECC">
            <w:pPr>
              <w:spacing w:after="0" w:line="240" w:lineRule="auto"/>
              <w:rPr>
                <w:rFonts w:ascii="Arial" w:eastAsia="Times New Roman" w:hAnsi="Arial" w:cs="Arial"/>
                <w:kern w:val="0"/>
                <w:highlight w:val="cyan"/>
                <w:lang w:eastAsia="en-GB"/>
                <w14:ligatures w14:val="none"/>
              </w:rPr>
            </w:pPr>
            <w:r w:rsidRPr="00B34ECC">
              <w:rPr>
                <w:rFonts w:ascii="Arial" w:eastAsia="Times New Roman" w:hAnsi="Arial" w:cs="Arial"/>
                <w:kern w:val="0"/>
                <w:highlight w:val="cyan"/>
                <w:lang w:eastAsia="en-GB"/>
                <w14:ligatures w14:val="none"/>
              </w:rPr>
              <w:t>21.85</w:t>
            </w:r>
          </w:p>
        </w:tc>
        <w:tc>
          <w:tcPr>
            <w:tcW w:w="1955" w:type="dxa"/>
            <w:vAlign w:val="center"/>
            <w:hideMark/>
          </w:tcPr>
          <w:p w14:paraId="768B7F0D" w14:textId="77777777" w:rsidR="00B34ECC" w:rsidRPr="00B34ECC" w:rsidRDefault="00B34ECC" w:rsidP="00B34ECC">
            <w:pPr>
              <w:spacing w:after="0" w:line="240" w:lineRule="auto"/>
              <w:rPr>
                <w:rFonts w:ascii="Arial" w:eastAsia="Times New Roman" w:hAnsi="Arial" w:cs="Arial"/>
                <w:kern w:val="0"/>
                <w:highlight w:val="cyan"/>
                <w:lang w:eastAsia="en-GB"/>
                <w14:ligatures w14:val="none"/>
              </w:rPr>
            </w:pPr>
            <w:r w:rsidRPr="00B34ECC">
              <w:rPr>
                <w:rFonts w:ascii="Arial" w:eastAsia="Times New Roman" w:hAnsi="Arial" w:cs="Arial"/>
                <w:kern w:val="0"/>
                <w:highlight w:val="cyan"/>
                <w:lang w:eastAsia="en-GB"/>
                <w14:ligatures w14:val="none"/>
              </w:rPr>
              <w:t>23.41</w:t>
            </w:r>
          </w:p>
        </w:tc>
        <w:tc>
          <w:tcPr>
            <w:tcW w:w="1798" w:type="dxa"/>
            <w:vAlign w:val="center"/>
            <w:hideMark/>
          </w:tcPr>
          <w:p w14:paraId="60960178" w14:textId="77777777" w:rsidR="00B34ECC" w:rsidRPr="00B34ECC" w:rsidRDefault="00B34ECC" w:rsidP="00B34ECC">
            <w:pPr>
              <w:spacing w:after="0" w:line="240" w:lineRule="auto"/>
              <w:rPr>
                <w:rFonts w:ascii="Arial" w:eastAsia="Times New Roman" w:hAnsi="Arial" w:cs="Arial"/>
                <w:kern w:val="0"/>
                <w:highlight w:val="cyan"/>
                <w:lang w:eastAsia="en-GB"/>
                <w14:ligatures w14:val="none"/>
              </w:rPr>
            </w:pPr>
            <w:r w:rsidRPr="00B34ECC">
              <w:rPr>
                <w:rFonts w:ascii="Arial" w:eastAsia="Times New Roman" w:hAnsi="Arial" w:cs="Arial"/>
                <w:kern w:val="0"/>
                <w:highlight w:val="cyan"/>
                <w:lang w:eastAsia="en-GB"/>
                <w14:ligatures w14:val="none"/>
              </w:rPr>
              <w:t>+7.14%</w:t>
            </w:r>
          </w:p>
        </w:tc>
      </w:tr>
      <w:tr w:rsidR="00B34ECC" w:rsidRPr="00B34ECC" w14:paraId="22B103E8" w14:textId="77777777" w:rsidTr="00B34ECC">
        <w:trPr>
          <w:tblCellSpacing w:w="15" w:type="dxa"/>
        </w:trPr>
        <w:tc>
          <w:tcPr>
            <w:tcW w:w="3208" w:type="dxa"/>
            <w:vAlign w:val="center"/>
            <w:hideMark/>
          </w:tcPr>
          <w:p w14:paraId="5D9D908B" w14:textId="77777777" w:rsidR="00B34ECC" w:rsidRPr="00B34ECC" w:rsidRDefault="00B34ECC" w:rsidP="00B34ECC">
            <w:pPr>
              <w:spacing w:after="0" w:line="240" w:lineRule="auto"/>
              <w:rPr>
                <w:rFonts w:ascii="Arial" w:eastAsia="Times New Roman" w:hAnsi="Arial" w:cs="Arial"/>
                <w:kern w:val="0"/>
                <w:highlight w:val="cyan"/>
                <w:lang w:eastAsia="en-GB"/>
                <w14:ligatures w14:val="none"/>
              </w:rPr>
            </w:pPr>
            <w:r w:rsidRPr="00B34ECC">
              <w:rPr>
                <w:rFonts w:ascii="Arial" w:eastAsia="Times New Roman" w:hAnsi="Arial" w:cs="Arial"/>
                <w:kern w:val="0"/>
                <w:highlight w:val="cyan"/>
                <w:lang w:eastAsia="en-GB"/>
                <w14:ligatures w14:val="none"/>
              </w:rPr>
              <w:t>Statutory EPS (p)</w:t>
            </w:r>
          </w:p>
        </w:tc>
        <w:tc>
          <w:tcPr>
            <w:tcW w:w="1812" w:type="dxa"/>
            <w:vAlign w:val="center"/>
            <w:hideMark/>
          </w:tcPr>
          <w:p w14:paraId="00BF1DCF" w14:textId="77777777" w:rsidR="00B34ECC" w:rsidRPr="00B34ECC" w:rsidRDefault="00B34ECC" w:rsidP="00B34ECC">
            <w:pPr>
              <w:spacing w:after="0" w:line="240" w:lineRule="auto"/>
              <w:rPr>
                <w:rFonts w:ascii="Arial" w:eastAsia="Times New Roman" w:hAnsi="Arial" w:cs="Arial"/>
                <w:kern w:val="0"/>
                <w:highlight w:val="cyan"/>
                <w:lang w:eastAsia="en-GB"/>
                <w14:ligatures w14:val="none"/>
              </w:rPr>
            </w:pPr>
            <w:r w:rsidRPr="00B34ECC">
              <w:rPr>
                <w:rFonts w:ascii="Arial" w:eastAsia="Times New Roman" w:hAnsi="Arial" w:cs="Arial"/>
                <w:kern w:val="0"/>
                <w:highlight w:val="cyan"/>
                <w:lang w:eastAsia="en-GB"/>
                <w14:ligatures w14:val="none"/>
              </w:rPr>
              <w:t>10.08</w:t>
            </w:r>
          </w:p>
        </w:tc>
        <w:tc>
          <w:tcPr>
            <w:tcW w:w="1955" w:type="dxa"/>
            <w:vAlign w:val="center"/>
            <w:hideMark/>
          </w:tcPr>
          <w:p w14:paraId="3EE74499" w14:textId="77777777" w:rsidR="00B34ECC" w:rsidRPr="00B34ECC" w:rsidRDefault="00B34ECC" w:rsidP="00B34ECC">
            <w:pPr>
              <w:spacing w:after="0" w:line="240" w:lineRule="auto"/>
              <w:rPr>
                <w:rFonts w:ascii="Arial" w:eastAsia="Times New Roman" w:hAnsi="Arial" w:cs="Arial"/>
                <w:kern w:val="0"/>
                <w:highlight w:val="cyan"/>
                <w:lang w:eastAsia="en-GB"/>
                <w14:ligatures w14:val="none"/>
              </w:rPr>
            </w:pPr>
            <w:r w:rsidRPr="00B34ECC">
              <w:rPr>
                <w:rFonts w:ascii="Arial" w:eastAsia="Times New Roman" w:hAnsi="Arial" w:cs="Arial"/>
                <w:kern w:val="0"/>
                <w:highlight w:val="cyan"/>
                <w:lang w:eastAsia="en-GB"/>
                <w14:ligatures w14:val="none"/>
              </w:rPr>
              <w:t>24.53</w:t>
            </w:r>
          </w:p>
        </w:tc>
        <w:tc>
          <w:tcPr>
            <w:tcW w:w="1798" w:type="dxa"/>
            <w:vAlign w:val="center"/>
            <w:hideMark/>
          </w:tcPr>
          <w:p w14:paraId="493F767A" w14:textId="77777777" w:rsidR="00B34ECC" w:rsidRPr="00B34ECC" w:rsidRDefault="00B34ECC" w:rsidP="00B34ECC">
            <w:pPr>
              <w:spacing w:after="0" w:line="240" w:lineRule="auto"/>
              <w:rPr>
                <w:rFonts w:ascii="Arial" w:eastAsia="Times New Roman" w:hAnsi="Arial" w:cs="Arial"/>
                <w:kern w:val="0"/>
                <w:highlight w:val="cyan"/>
                <w:lang w:eastAsia="en-GB"/>
                <w14:ligatures w14:val="none"/>
              </w:rPr>
            </w:pPr>
            <w:r w:rsidRPr="00B34ECC">
              <w:rPr>
                <w:rFonts w:ascii="Arial" w:eastAsia="Times New Roman" w:hAnsi="Arial" w:cs="Arial"/>
                <w:kern w:val="0"/>
                <w:highlight w:val="cyan"/>
                <w:lang w:eastAsia="en-GB"/>
                <w14:ligatures w14:val="none"/>
              </w:rPr>
              <w:t>+143.35%</w:t>
            </w:r>
          </w:p>
        </w:tc>
      </w:tr>
      <w:tr w:rsidR="00B34ECC" w:rsidRPr="00B34ECC" w14:paraId="0E74B254" w14:textId="77777777" w:rsidTr="00B34ECC">
        <w:trPr>
          <w:tblCellSpacing w:w="15" w:type="dxa"/>
        </w:trPr>
        <w:tc>
          <w:tcPr>
            <w:tcW w:w="3208" w:type="dxa"/>
            <w:vAlign w:val="center"/>
            <w:hideMark/>
          </w:tcPr>
          <w:p w14:paraId="7BEFB019" w14:textId="77777777" w:rsidR="00B34ECC" w:rsidRPr="00B34ECC" w:rsidRDefault="00B34ECC" w:rsidP="00B34ECC">
            <w:pPr>
              <w:spacing w:after="0" w:line="240" w:lineRule="auto"/>
              <w:rPr>
                <w:rFonts w:ascii="Arial" w:eastAsia="Times New Roman" w:hAnsi="Arial" w:cs="Arial"/>
                <w:kern w:val="0"/>
                <w:highlight w:val="cyan"/>
                <w:lang w:eastAsia="en-GB"/>
                <w14:ligatures w14:val="none"/>
              </w:rPr>
            </w:pPr>
            <w:r w:rsidRPr="00B34ECC">
              <w:rPr>
                <w:rFonts w:ascii="Arial" w:eastAsia="Times New Roman" w:hAnsi="Arial" w:cs="Arial"/>
                <w:kern w:val="0"/>
                <w:highlight w:val="cyan"/>
                <w:lang w:eastAsia="en-GB"/>
                <w14:ligatures w14:val="none"/>
              </w:rPr>
              <w:t>Retail Free Cash Flow (£m)</w:t>
            </w:r>
          </w:p>
        </w:tc>
        <w:tc>
          <w:tcPr>
            <w:tcW w:w="1812" w:type="dxa"/>
            <w:vAlign w:val="center"/>
            <w:hideMark/>
          </w:tcPr>
          <w:p w14:paraId="3543A099" w14:textId="77777777" w:rsidR="00B34ECC" w:rsidRPr="00B34ECC" w:rsidRDefault="00B34ECC" w:rsidP="00B34ECC">
            <w:pPr>
              <w:spacing w:after="0" w:line="240" w:lineRule="auto"/>
              <w:rPr>
                <w:rFonts w:ascii="Arial" w:eastAsia="Times New Roman" w:hAnsi="Arial" w:cs="Arial"/>
                <w:kern w:val="0"/>
                <w:highlight w:val="cyan"/>
                <w:lang w:eastAsia="en-GB"/>
                <w14:ligatures w14:val="none"/>
              </w:rPr>
            </w:pPr>
            <w:r w:rsidRPr="00B34ECC">
              <w:rPr>
                <w:rFonts w:ascii="Arial" w:eastAsia="Times New Roman" w:hAnsi="Arial" w:cs="Arial"/>
                <w:kern w:val="0"/>
                <w:highlight w:val="cyan"/>
                <w:lang w:eastAsia="en-GB"/>
                <w14:ligatures w14:val="none"/>
              </w:rPr>
              <w:t>2,133</w:t>
            </w:r>
          </w:p>
        </w:tc>
        <w:tc>
          <w:tcPr>
            <w:tcW w:w="1955" w:type="dxa"/>
            <w:vAlign w:val="center"/>
            <w:hideMark/>
          </w:tcPr>
          <w:p w14:paraId="7E74EE9C" w14:textId="77777777" w:rsidR="00B34ECC" w:rsidRPr="00B34ECC" w:rsidRDefault="00B34ECC" w:rsidP="00B34ECC">
            <w:pPr>
              <w:spacing w:after="0" w:line="240" w:lineRule="auto"/>
              <w:rPr>
                <w:rFonts w:ascii="Arial" w:eastAsia="Times New Roman" w:hAnsi="Arial" w:cs="Arial"/>
                <w:kern w:val="0"/>
                <w:highlight w:val="cyan"/>
                <w:lang w:eastAsia="en-GB"/>
                <w14:ligatures w14:val="none"/>
              </w:rPr>
            </w:pPr>
            <w:r w:rsidRPr="00B34ECC">
              <w:rPr>
                <w:rFonts w:ascii="Arial" w:eastAsia="Times New Roman" w:hAnsi="Arial" w:cs="Arial"/>
                <w:kern w:val="0"/>
                <w:highlight w:val="cyan"/>
                <w:lang w:eastAsia="en-GB"/>
                <w14:ligatures w14:val="none"/>
              </w:rPr>
              <w:t>2,063</w:t>
            </w:r>
          </w:p>
        </w:tc>
        <w:tc>
          <w:tcPr>
            <w:tcW w:w="1798" w:type="dxa"/>
            <w:vAlign w:val="center"/>
            <w:hideMark/>
          </w:tcPr>
          <w:p w14:paraId="66F2DF7D" w14:textId="77777777" w:rsidR="00B34ECC" w:rsidRPr="00B34ECC" w:rsidRDefault="00B34ECC" w:rsidP="00B34ECC">
            <w:pPr>
              <w:spacing w:after="0" w:line="240" w:lineRule="auto"/>
              <w:rPr>
                <w:rFonts w:ascii="Arial" w:eastAsia="Times New Roman" w:hAnsi="Arial" w:cs="Arial"/>
                <w:kern w:val="0"/>
                <w:highlight w:val="cyan"/>
                <w:lang w:eastAsia="en-GB"/>
                <w14:ligatures w14:val="none"/>
              </w:rPr>
            </w:pPr>
            <w:r w:rsidRPr="00B34ECC">
              <w:rPr>
                <w:rFonts w:ascii="Arial" w:eastAsia="Times New Roman" w:hAnsi="Arial" w:cs="Arial"/>
                <w:kern w:val="0"/>
                <w:highlight w:val="cyan"/>
                <w:lang w:eastAsia="en-GB"/>
                <w14:ligatures w14:val="none"/>
              </w:rPr>
              <w:t>-3.28%</w:t>
            </w:r>
          </w:p>
        </w:tc>
      </w:tr>
      <w:tr w:rsidR="00B34ECC" w:rsidRPr="00B34ECC" w14:paraId="059EF2B4" w14:textId="77777777" w:rsidTr="00B34ECC">
        <w:trPr>
          <w:tblCellSpacing w:w="15" w:type="dxa"/>
        </w:trPr>
        <w:tc>
          <w:tcPr>
            <w:tcW w:w="3208" w:type="dxa"/>
            <w:vAlign w:val="center"/>
            <w:hideMark/>
          </w:tcPr>
          <w:p w14:paraId="2DE9F3EB" w14:textId="77777777" w:rsidR="00B34ECC" w:rsidRPr="00B34ECC" w:rsidRDefault="00B34ECC" w:rsidP="00B34ECC">
            <w:pPr>
              <w:spacing w:after="0" w:line="240" w:lineRule="auto"/>
              <w:rPr>
                <w:rFonts w:ascii="Arial" w:eastAsia="Times New Roman" w:hAnsi="Arial" w:cs="Arial"/>
                <w:kern w:val="0"/>
                <w:highlight w:val="cyan"/>
                <w:lang w:eastAsia="en-GB"/>
                <w14:ligatures w14:val="none"/>
              </w:rPr>
            </w:pPr>
            <w:r w:rsidRPr="00B34ECC">
              <w:rPr>
                <w:rFonts w:ascii="Arial" w:eastAsia="Times New Roman" w:hAnsi="Arial" w:cs="Arial"/>
                <w:kern w:val="0"/>
                <w:highlight w:val="cyan"/>
                <w:lang w:eastAsia="en-GB"/>
                <w14:ligatures w14:val="none"/>
              </w:rPr>
              <w:t>Net Debt (£m)</w:t>
            </w:r>
          </w:p>
        </w:tc>
        <w:tc>
          <w:tcPr>
            <w:tcW w:w="1812" w:type="dxa"/>
            <w:vAlign w:val="center"/>
            <w:hideMark/>
          </w:tcPr>
          <w:p w14:paraId="033F4914" w14:textId="77777777" w:rsidR="00B34ECC" w:rsidRPr="00B34ECC" w:rsidRDefault="00B34ECC" w:rsidP="00B34ECC">
            <w:pPr>
              <w:spacing w:after="0" w:line="240" w:lineRule="auto"/>
              <w:rPr>
                <w:rFonts w:ascii="Arial" w:eastAsia="Times New Roman" w:hAnsi="Arial" w:cs="Arial"/>
                <w:kern w:val="0"/>
                <w:highlight w:val="cyan"/>
                <w:lang w:eastAsia="en-GB"/>
                <w14:ligatures w14:val="none"/>
              </w:rPr>
            </w:pPr>
            <w:r w:rsidRPr="00B34ECC">
              <w:rPr>
                <w:rFonts w:ascii="Arial" w:eastAsia="Times New Roman" w:hAnsi="Arial" w:cs="Arial"/>
                <w:kern w:val="0"/>
                <w:highlight w:val="cyan"/>
                <w:lang w:eastAsia="en-GB"/>
                <w14:ligatures w14:val="none"/>
              </w:rPr>
              <w:t>-10,493</w:t>
            </w:r>
          </w:p>
        </w:tc>
        <w:tc>
          <w:tcPr>
            <w:tcW w:w="1955" w:type="dxa"/>
            <w:vAlign w:val="center"/>
            <w:hideMark/>
          </w:tcPr>
          <w:p w14:paraId="2DE33B6A" w14:textId="77777777" w:rsidR="00B34ECC" w:rsidRPr="00B34ECC" w:rsidRDefault="00B34ECC" w:rsidP="00B34ECC">
            <w:pPr>
              <w:spacing w:after="0" w:line="240" w:lineRule="auto"/>
              <w:rPr>
                <w:rFonts w:ascii="Arial" w:eastAsia="Times New Roman" w:hAnsi="Arial" w:cs="Arial"/>
                <w:kern w:val="0"/>
                <w:highlight w:val="cyan"/>
                <w:lang w:eastAsia="en-GB"/>
                <w14:ligatures w14:val="none"/>
              </w:rPr>
            </w:pPr>
            <w:r w:rsidRPr="00B34ECC">
              <w:rPr>
                <w:rFonts w:ascii="Arial" w:eastAsia="Times New Roman" w:hAnsi="Arial" w:cs="Arial"/>
                <w:kern w:val="0"/>
                <w:highlight w:val="cyan"/>
                <w:lang w:eastAsia="en-GB"/>
                <w14:ligatures w14:val="none"/>
              </w:rPr>
              <w:t>-9,764</w:t>
            </w:r>
          </w:p>
        </w:tc>
        <w:tc>
          <w:tcPr>
            <w:tcW w:w="1798" w:type="dxa"/>
            <w:vAlign w:val="center"/>
            <w:hideMark/>
          </w:tcPr>
          <w:p w14:paraId="016B1F5D" w14:textId="77777777" w:rsidR="00B34ECC" w:rsidRPr="00B34ECC" w:rsidRDefault="00B34ECC" w:rsidP="00B34ECC">
            <w:pPr>
              <w:spacing w:after="0" w:line="240" w:lineRule="auto"/>
              <w:rPr>
                <w:rFonts w:ascii="Arial" w:eastAsia="Times New Roman" w:hAnsi="Arial" w:cs="Arial"/>
                <w:kern w:val="0"/>
                <w:highlight w:val="cyan"/>
                <w:lang w:eastAsia="en-GB"/>
                <w14:ligatures w14:val="none"/>
              </w:rPr>
            </w:pPr>
            <w:r w:rsidRPr="00B34ECC">
              <w:rPr>
                <w:rFonts w:ascii="Arial" w:eastAsia="Times New Roman" w:hAnsi="Arial" w:cs="Arial"/>
                <w:kern w:val="0"/>
                <w:highlight w:val="cyan"/>
                <w:lang w:eastAsia="en-GB"/>
                <w14:ligatures w14:val="none"/>
              </w:rPr>
              <w:t>-6.95%</w:t>
            </w:r>
          </w:p>
        </w:tc>
      </w:tr>
      <w:tr w:rsidR="00B34ECC" w:rsidRPr="00B34ECC" w14:paraId="2DED0AB5" w14:textId="77777777" w:rsidTr="00B34ECC">
        <w:trPr>
          <w:tblCellSpacing w:w="15" w:type="dxa"/>
        </w:trPr>
        <w:tc>
          <w:tcPr>
            <w:tcW w:w="3208" w:type="dxa"/>
            <w:vAlign w:val="center"/>
            <w:hideMark/>
          </w:tcPr>
          <w:p w14:paraId="3DD1948C" w14:textId="77777777" w:rsidR="00B34ECC" w:rsidRPr="00B34ECC" w:rsidRDefault="00B34ECC" w:rsidP="00B34ECC">
            <w:pPr>
              <w:spacing w:after="0" w:line="240" w:lineRule="auto"/>
              <w:rPr>
                <w:rFonts w:ascii="Arial" w:eastAsia="Times New Roman" w:hAnsi="Arial" w:cs="Arial"/>
                <w:kern w:val="0"/>
                <w:highlight w:val="cyan"/>
                <w:lang w:eastAsia="en-GB"/>
                <w14:ligatures w14:val="none"/>
              </w:rPr>
            </w:pPr>
            <w:r w:rsidRPr="00B34ECC">
              <w:rPr>
                <w:rFonts w:ascii="Arial" w:eastAsia="Times New Roman" w:hAnsi="Arial" w:cs="Arial"/>
                <w:kern w:val="0"/>
                <w:highlight w:val="cyan"/>
                <w:lang w:eastAsia="en-GB"/>
                <w14:ligatures w14:val="none"/>
              </w:rPr>
              <w:t>Market Share (%)</w:t>
            </w:r>
          </w:p>
        </w:tc>
        <w:tc>
          <w:tcPr>
            <w:tcW w:w="1812" w:type="dxa"/>
            <w:vAlign w:val="center"/>
            <w:hideMark/>
          </w:tcPr>
          <w:p w14:paraId="2C3C83D4" w14:textId="77777777" w:rsidR="00B34ECC" w:rsidRPr="00B34ECC" w:rsidRDefault="00B34ECC" w:rsidP="00B34ECC">
            <w:pPr>
              <w:spacing w:after="0" w:line="240" w:lineRule="auto"/>
              <w:rPr>
                <w:rFonts w:ascii="Arial" w:eastAsia="Times New Roman" w:hAnsi="Arial" w:cs="Arial"/>
                <w:kern w:val="0"/>
                <w:highlight w:val="cyan"/>
                <w:lang w:eastAsia="en-GB"/>
                <w14:ligatures w14:val="none"/>
              </w:rPr>
            </w:pPr>
            <w:r w:rsidRPr="00B34ECC">
              <w:rPr>
                <w:rFonts w:ascii="Arial" w:eastAsia="Times New Roman" w:hAnsi="Arial" w:cs="Arial"/>
                <w:kern w:val="0"/>
                <w:highlight w:val="cyan"/>
                <w:lang w:eastAsia="en-GB"/>
                <w14:ligatures w14:val="none"/>
              </w:rPr>
              <w:t>27.3</w:t>
            </w:r>
          </w:p>
        </w:tc>
        <w:tc>
          <w:tcPr>
            <w:tcW w:w="1955" w:type="dxa"/>
            <w:vAlign w:val="center"/>
            <w:hideMark/>
          </w:tcPr>
          <w:p w14:paraId="289A22C0" w14:textId="77777777" w:rsidR="00B34ECC" w:rsidRPr="00B34ECC" w:rsidRDefault="00B34ECC" w:rsidP="00B34ECC">
            <w:pPr>
              <w:spacing w:after="0" w:line="240" w:lineRule="auto"/>
              <w:rPr>
                <w:rFonts w:ascii="Arial" w:eastAsia="Times New Roman" w:hAnsi="Arial" w:cs="Arial"/>
                <w:kern w:val="0"/>
                <w:highlight w:val="cyan"/>
                <w:lang w:eastAsia="en-GB"/>
                <w14:ligatures w14:val="none"/>
              </w:rPr>
            </w:pPr>
            <w:r w:rsidRPr="00B34ECC">
              <w:rPr>
                <w:rFonts w:ascii="Arial" w:eastAsia="Times New Roman" w:hAnsi="Arial" w:cs="Arial"/>
                <w:kern w:val="0"/>
                <w:highlight w:val="cyan"/>
                <w:lang w:eastAsia="en-GB"/>
                <w14:ligatures w14:val="none"/>
              </w:rPr>
              <w:t>27.6</w:t>
            </w:r>
          </w:p>
        </w:tc>
        <w:tc>
          <w:tcPr>
            <w:tcW w:w="1798" w:type="dxa"/>
            <w:vAlign w:val="center"/>
            <w:hideMark/>
          </w:tcPr>
          <w:p w14:paraId="3C33E536" w14:textId="77777777" w:rsidR="00B34ECC" w:rsidRPr="00B34ECC" w:rsidRDefault="00B34ECC" w:rsidP="00B34ECC">
            <w:pPr>
              <w:spacing w:after="0" w:line="240" w:lineRule="auto"/>
              <w:rPr>
                <w:rFonts w:ascii="Arial" w:eastAsia="Times New Roman" w:hAnsi="Arial" w:cs="Arial"/>
                <w:kern w:val="0"/>
                <w:highlight w:val="cyan"/>
                <w:lang w:eastAsia="en-GB"/>
                <w14:ligatures w14:val="none"/>
              </w:rPr>
            </w:pPr>
            <w:r w:rsidRPr="00B34ECC">
              <w:rPr>
                <w:rFonts w:ascii="Arial" w:eastAsia="Times New Roman" w:hAnsi="Arial" w:cs="Arial"/>
                <w:kern w:val="0"/>
                <w:highlight w:val="cyan"/>
                <w:lang w:eastAsia="en-GB"/>
                <w14:ligatures w14:val="none"/>
              </w:rPr>
              <w:t>+1.10%</w:t>
            </w:r>
          </w:p>
        </w:tc>
      </w:tr>
      <w:tr w:rsidR="00B34ECC" w:rsidRPr="00B34ECC" w14:paraId="0117EDFC" w14:textId="77777777" w:rsidTr="00B34ECC">
        <w:trPr>
          <w:tblCellSpacing w:w="15" w:type="dxa"/>
        </w:trPr>
        <w:tc>
          <w:tcPr>
            <w:tcW w:w="3208" w:type="dxa"/>
            <w:vAlign w:val="center"/>
            <w:hideMark/>
          </w:tcPr>
          <w:p w14:paraId="79C07D2B" w14:textId="77777777" w:rsidR="00B34ECC" w:rsidRPr="00B34ECC" w:rsidRDefault="00B34ECC" w:rsidP="00B34ECC">
            <w:pPr>
              <w:spacing w:after="0" w:line="240" w:lineRule="auto"/>
              <w:rPr>
                <w:rFonts w:ascii="Arial" w:eastAsia="Times New Roman" w:hAnsi="Arial" w:cs="Arial"/>
                <w:kern w:val="0"/>
                <w:highlight w:val="cyan"/>
                <w:lang w:eastAsia="en-GB"/>
                <w14:ligatures w14:val="none"/>
              </w:rPr>
            </w:pPr>
            <w:r w:rsidRPr="00B34ECC">
              <w:rPr>
                <w:rFonts w:ascii="Arial" w:eastAsia="Times New Roman" w:hAnsi="Arial" w:cs="Arial"/>
                <w:kern w:val="0"/>
                <w:highlight w:val="cyan"/>
                <w:lang w:eastAsia="en-GB"/>
                <w14:ligatures w14:val="none"/>
              </w:rPr>
              <w:t>Dividend per Share (p)</w:t>
            </w:r>
          </w:p>
        </w:tc>
        <w:tc>
          <w:tcPr>
            <w:tcW w:w="1812" w:type="dxa"/>
            <w:vAlign w:val="center"/>
            <w:hideMark/>
          </w:tcPr>
          <w:p w14:paraId="688EDC65" w14:textId="77777777" w:rsidR="00B34ECC" w:rsidRPr="00B34ECC" w:rsidRDefault="00B34ECC" w:rsidP="00B34ECC">
            <w:pPr>
              <w:spacing w:after="0" w:line="240" w:lineRule="auto"/>
              <w:rPr>
                <w:rFonts w:ascii="Arial" w:eastAsia="Times New Roman" w:hAnsi="Arial" w:cs="Arial"/>
                <w:kern w:val="0"/>
                <w:highlight w:val="cyan"/>
                <w:lang w:eastAsia="en-GB"/>
                <w14:ligatures w14:val="none"/>
              </w:rPr>
            </w:pPr>
            <w:r w:rsidRPr="00B34ECC">
              <w:rPr>
                <w:rFonts w:ascii="Arial" w:eastAsia="Times New Roman" w:hAnsi="Arial" w:cs="Arial"/>
                <w:kern w:val="0"/>
                <w:highlight w:val="cyan"/>
                <w:lang w:eastAsia="en-GB"/>
                <w14:ligatures w14:val="none"/>
              </w:rPr>
              <w:t>10.90</w:t>
            </w:r>
          </w:p>
        </w:tc>
        <w:tc>
          <w:tcPr>
            <w:tcW w:w="1955" w:type="dxa"/>
            <w:vAlign w:val="center"/>
            <w:hideMark/>
          </w:tcPr>
          <w:p w14:paraId="4BA9FF9C" w14:textId="77777777" w:rsidR="00B34ECC" w:rsidRPr="00B34ECC" w:rsidRDefault="00B34ECC" w:rsidP="00B34ECC">
            <w:pPr>
              <w:spacing w:after="0" w:line="240" w:lineRule="auto"/>
              <w:rPr>
                <w:rFonts w:ascii="Arial" w:eastAsia="Times New Roman" w:hAnsi="Arial" w:cs="Arial"/>
                <w:kern w:val="0"/>
                <w:highlight w:val="cyan"/>
                <w:lang w:eastAsia="en-GB"/>
                <w14:ligatures w14:val="none"/>
              </w:rPr>
            </w:pPr>
            <w:r w:rsidRPr="00B34ECC">
              <w:rPr>
                <w:rFonts w:ascii="Arial" w:eastAsia="Times New Roman" w:hAnsi="Arial" w:cs="Arial"/>
                <w:kern w:val="0"/>
                <w:highlight w:val="cyan"/>
                <w:lang w:eastAsia="en-GB"/>
                <w14:ligatures w14:val="none"/>
              </w:rPr>
              <w:t>12.10</w:t>
            </w:r>
          </w:p>
        </w:tc>
        <w:tc>
          <w:tcPr>
            <w:tcW w:w="1798" w:type="dxa"/>
            <w:vAlign w:val="center"/>
            <w:hideMark/>
          </w:tcPr>
          <w:p w14:paraId="53BFD33F" w14:textId="77777777" w:rsidR="00B34ECC" w:rsidRPr="00B34ECC" w:rsidRDefault="00B34ECC" w:rsidP="00B34ECC">
            <w:pPr>
              <w:spacing w:after="0" w:line="240" w:lineRule="auto"/>
              <w:rPr>
                <w:rFonts w:ascii="Arial" w:eastAsia="Times New Roman" w:hAnsi="Arial" w:cs="Arial"/>
                <w:kern w:val="0"/>
                <w:highlight w:val="cyan"/>
                <w:lang w:eastAsia="en-GB"/>
                <w14:ligatures w14:val="none"/>
              </w:rPr>
            </w:pPr>
            <w:r w:rsidRPr="00B34ECC">
              <w:rPr>
                <w:rFonts w:ascii="Arial" w:eastAsia="Times New Roman" w:hAnsi="Arial" w:cs="Arial"/>
                <w:kern w:val="0"/>
                <w:highlight w:val="cyan"/>
                <w:lang w:eastAsia="en-GB"/>
                <w14:ligatures w14:val="none"/>
              </w:rPr>
              <w:t>+11.01%</w:t>
            </w:r>
          </w:p>
        </w:tc>
      </w:tr>
      <w:tr w:rsidR="00B34ECC" w:rsidRPr="00B34ECC" w14:paraId="77B55328" w14:textId="77777777" w:rsidTr="00B34ECC">
        <w:trPr>
          <w:tblCellSpacing w:w="15" w:type="dxa"/>
        </w:trPr>
        <w:tc>
          <w:tcPr>
            <w:tcW w:w="3208" w:type="dxa"/>
            <w:vAlign w:val="center"/>
            <w:hideMark/>
          </w:tcPr>
          <w:p w14:paraId="0E1184B6" w14:textId="77777777" w:rsidR="00B34ECC" w:rsidRPr="00B34ECC" w:rsidRDefault="00B34ECC" w:rsidP="00B34ECC">
            <w:pPr>
              <w:spacing w:after="0" w:line="240" w:lineRule="auto"/>
              <w:rPr>
                <w:rFonts w:ascii="Arial" w:eastAsia="Times New Roman" w:hAnsi="Arial" w:cs="Arial"/>
                <w:kern w:val="0"/>
                <w:highlight w:val="cyan"/>
                <w:lang w:eastAsia="en-GB"/>
                <w14:ligatures w14:val="none"/>
              </w:rPr>
            </w:pPr>
            <w:r w:rsidRPr="00B34ECC">
              <w:rPr>
                <w:rFonts w:ascii="Arial" w:eastAsia="Times New Roman" w:hAnsi="Arial" w:cs="Arial"/>
                <w:kern w:val="0"/>
                <w:highlight w:val="cyan"/>
                <w:lang w:eastAsia="en-GB"/>
                <w14:ligatures w14:val="none"/>
              </w:rPr>
              <w:t>Net Promoter Score</w:t>
            </w:r>
          </w:p>
        </w:tc>
        <w:tc>
          <w:tcPr>
            <w:tcW w:w="1812" w:type="dxa"/>
            <w:vAlign w:val="center"/>
            <w:hideMark/>
          </w:tcPr>
          <w:p w14:paraId="511CFB61" w14:textId="77777777" w:rsidR="00B34ECC" w:rsidRPr="00B34ECC" w:rsidRDefault="00B34ECC" w:rsidP="00B34ECC">
            <w:pPr>
              <w:spacing w:after="0" w:line="240" w:lineRule="auto"/>
              <w:rPr>
                <w:rFonts w:ascii="Arial" w:eastAsia="Times New Roman" w:hAnsi="Arial" w:cs="Arial"/>
                <w:kern w:val="0"/>
                <w:highlight w:val="cyan"/>
                <w:lang w:eastAsia="en-GB"/>
                <w14:ligatures w14:val="none"/>
              </w:rPr>
            </w:pPr>
            <w:r w:rsidRPr="00B34ECC">
              <w:rPr>
                <w:rFonts w:ascii="Arial" w:eastAsia="Times New Roman" w:hAnsi="Arial" w:cs="Arial"/>
                <w:kern w:val="0"/>
                <w:highlight w:val="cyan"/>
                <w:lang w:eastAsia="en-GB"/>
                <w14:ligatures w14:val="none"/>
              </w:rPr>
              <w:t>15</w:t>
            </w:r>
          </w:p>
        </w:tc>
        <w:tc>
          <w:tcPr>
            <w:tcW w:w="1955" w:type="dxa"/>
            <w:vAlign w:val="center"/>
            <w:hideMark/>
          </w:tcPr>
          <w:p w14:paraId="5FE4A598" w14:textId="77777777" w:rsidR="00B34ECC" w:rsidRPr="00B34ECC" w:rsidRDefault="00B34ECC" w:rsidP="00B34ECC">
            <w:pPr>
              <w:spacing w:after="0" w:line="240" w:lineRule="auto"/>
              <w:rPr>
                <w:rFonts w:ascii="Arial" w:eastAsia="Times New Roman" w:hAnsi="Arial" w:cs="Arial"/>
                <w:kern w:val="0"/>
                <w:highlight w:val="cyan"/>
                <w:lang w:eastAsia="en-GB"/>
                <w14:ligatures w14:val="none"/>
              </w:rPr>
            </w:pPr>
            <w:r w:rsidRPr="00B34ECC">
              <w:rPr>
                <w:rFonts w:ascii="Arial" w:eastAsia="Times New Roman" w:hAnsi="Arial" w:cs="Arial"/>
                <w:kern w:val="0"/>
                <w:highlight w:val="cyan"/>
                <w:lang w:eastAsia="en-GB"/>
                <w14:ligatures w14:val="none"/>
              </w:rPr>
              <w:t>19</w:t>
            </w:r>
          </w:p>
        </w:tc>
        <w:tc>
          <w:tcPr>
            <w:tcW w:w="1798" w:type="dxa"/>
            <w:vAlign w:val="center"/>
            <w:hideMark/>
          </w:tcPr>
          <w:p w14:paraId="61B1A935" w14:textId="77777777" w:rsidR="00B34ECC" w:rsidRPr="00B34ECC" w:rsidRDefault="00B34ECC" w:rsidP="00B34ECC">
            <w:pPr>
              <w:spacing w:after="0" w:line="240" w:lineRule="auto"/>
              <w:rPr>
                <w:rFonts w:ascii="Arial" w:eastAsia="Times New Roman" w:hAnsi="Arial" w:cs="Arial"/>
                <w:kern w:val="0"/>
                <w:highlight w:val="cyan"/>
                <w:lang w:eastAsia="en-GB"/>
                <w14:ligatures w14:val="none"/>
              </w:rPr>
            </w:pPr>
            <w:r w:rsidRPr="00B34ECC">
              <w:rPr>
                <w:rFonts w:ascii="Arial" w:eastAsia="Times New Roman" w:hAnsi="Arial" w:cs="Arial"/>
                <w:kern w:val="0"/>
                <w:highlight w:val="cyan"/>
                <w:lang w:eastAsia="en-GB"/>
                <w14:ligatures w14:val="none"/>
              </w:rPr>
              <w:t>+26.67%</w:t>
            </w:r>
          </w:p>
        </w:tc>
      </w:tr>
    </w:tbl>
    <w:p w14:paraId="5AC8BB81" w14:textId="77777777" w:rsidR="00B34ECC" w:rsidRDefault="00B34ECC" w:rsidP="00E247BD">
      <w:pPr>
        <w:spacing w:line="480" w:lineRule="auto"/>
        <w:rPr>
          <w:rFonts w:ascii="Arial" w:hAnsi="Arial" w:cs="Arial"/>
        </w:rPr>
      </w:pPr>
    </w:p>
    <w:p w14:paraId="3C9285D6" w14:textId="77777777" w:rsidR="00B34ECC" w:rsidRDefault="00E247BD" w:rsidP="00E247BD">
      <w:pPr>
        <w:spacing w:line="480" w:lineRule="auto"/>
        <w:rPr>
          <w:rFonts w:ascii="Arial" w:hAnsi="Arial" w:cs="Arial"/>
        </w:rPr>
      </w:pPr>
      <w:r w:rsidRPr="00E247BD">
        <w:rPr>
          <w:rFonts w:ascii="Arial" w:hAnsi="Arial" w:cs="Arial"/>
        </w:rPr>
        <w:t>Overall, Tesco showed positive trends in almost every metric. Notably, profit before tax increased 128.9%, demonstrating operational improvements and a successful transformation strategy. Earnings per share increased both on an adjusted and statutory basis, with statutory up more than 143% for a significant rate of shareholder value creation (</w:t>
      </w:r>
      <w:proofErr w:type="spellStart"/>
      <w:r w:rsidRPr="00E247BD">
        <w:rPr>
          <w:rFonts w:ascii="Arial" w:hAnsi="Arial" w:cs="Arial"/>
        </w:rPr>
        <w:t>Vernimmen</w:t>
      </w:r>
      <w:proofErr w:type="spellEnd"/>
      <w:r w:rsidRPr="00E247BD">
        <w:rPr>
          <w:rFonts w:ascii="Arial" w:hAnsi="Arial" w:cs="Arial"/>
        </w:rPr>
        <w:t xml:space="preserve"> et al., 2022).</w:t>
      </w:r>
    </w:p>
    <w:p w14:paraId="1C8EE66C" w14:textId="312A853E" w:rsidR="00B34ECC" w:rsidRPr="00355A3C" w:rsidRDefault="00E247BD" w:rsidP="00B34ECC">
      <w:pPr>
        <w:pStyle w:val="ListParagraph"/>
        <w:numPr>
          <w:ilvl w:val="0"/>
          <w:numId w:val="1"/>
        </w:numPr>
        <w:spacing w:line="480" w:lineRule="auto"/>
        <w:rPr>
          <w:rFonts w:ascii="Arial" w:hAnsi="Arial" w:cs="Arial"/>
          <w:b/>
          <w:bCs/>
        </w:rPr>
      </w:pPr>
      <w:r w:rsidRPr="00355A3C">
        <w:rPr>
          <w:rFonts w:ascii="Arial" w:hAnsi="Arial" w:cs="Arial"/>
          <w:b/>
          <w:bCs/>
        </w:rPr>
        <w:t>Ratio Calculation</w:t>
      </w:r>
    </w:p>
    <w:p w14:paraId="6AAE292B" w14:textId="77777777" w:rsidR="00B34ECC" w:rsidRDefault="00E247BD" w:rsidP="00B34ECC">
      <w:pPr>
        <w:spacing w:line="480" w:lineRule="auto"/>
        <w:rPr>
          <w:rFonts w:ascii="Arial" w:hAnsi="Arial" w:cs="Arial"/>
        </w:rPr>
      </w:pPr>
      <w:r w:rsidRPr="00B34ECC">
        <w:rPr>
          <w:rFonts w:ascii="Arial" w:hAnsi="Arial" w:cs="Arial"/>
        </w:rPr>
        <w:t>Financial ratios provide important insights into Tesco's profitability, efficiency, liquidity, and shareholder returns.</w:t>
      </w:r>
    </w:p>
    <w:p w14:paraId="4233AC41" w14:textId="77777777" w:rsidR="00B34ECC" w:rsidRDefault="00B34ECC" w:rsidP="00B34ECC">
      <w:pPr>
        <w:spacing w:line="480" w:lineRule="auto"/>
        <w:rPr>
          <w:rFonts w:ascii="Arial" w:hAnsi="Arial" w:cs="Arial"/>
        </w:rPr>
      </w:pPr>
    </w:p>
    <w:p w14:paraId="5834B6A6" w14:textId="77777777" w:rsidR="008B5A0C" w:rsidRDefault="008B5A0C" w:rsidP="00B34ECC">
      <w:pPr>
        <w:spacing w:line="480" w:lineRule="auto"/>
        <w:rPr>
          <w:rFonts w:ascii="Arial" w:hAnsi="Arial" w:cs="Arial"/>
        </w:rPr>
      </w:pPr>
    </w:p>
    <w:tbl>
      <w:tblPr>
        <w:tblW w:w="0" w:type="auto"/>
        <w:tblCellSpacing w:w="15"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CellMar>
          <w:top w:w="15" w:type="dxa"/>
          <w:left w:w="15" w:type="dxa"/>
          <w:bottom w:w="15" w:type="dxa"/>
          <w:right w:w="15" w:type="dxa"/>
        </w:tblCellMar>
        <w:tblLook w:val="04A0" w:firstRow="1" w:lastRow="0" w:firstColumn="1" w:lastColumn="0" w:noHBand="0" w:noVBand="1"/>
      </w:tblPr>
      <w:tblGrid>
        <w:gridCol w:w="4103"/>
        <w:gridCol w:w="2410"/>
        <w:gridCol w:w="2410"/>
      </w:tblGrid>
      <w:tr w:rsidR="008B5A0C" w:rsidRPr="008B5A0C" w14:paraId="7FC8B9B6" w14:textId="77777777" w:rsidTr="008B5A0C">
        <w:trPr>
          <w:tblHeader/>
          <w:tblCellSpacing w:w="15" w:type="dxa"/>
        </w:trPr>
        <w:tc>
          <w:tcPr>
            <w:tcW w:w="4058" w:type="dxa"/>
            <w:vAlign w:val="center"/>
            <w:hideMark/>
          </w:tcPr>
          <w:p w14:paraId="75787BC6" w14:textId="77777777" w:rsidR="008B5A0C" w:rsidRPr="008B5A0C" w:rsidRDefault="008B5A0C" w:rsidP="008B5A0C">
            <w:pPr>
              <w:spacing w:after="0" w:line="240" w:lineRule="auto"/>
              <w:jc w:val="center"/>
              <w:rPr>
                <w:rFonts w:ascii="Arial" w:eastAsia="Times New Roman" w:hAnsi="Arial" w:cs="Arial"/>
                <w:b/>
                <w:bCs/>
                <w:kern w:val="0"/>
                <w:highlight w:val="cyan"/>
                <w:lang w:eastAsia="en-GB"/>
                <w14:ligatures w14:val="none"/>
              </w:rPr>
            </w:pPr>
            <w:r w:rsidRPr="008B5A0C">
              <w:rPr>
                <w:rFonts w:ascii="Arial" w:eastAsia="Times New Roman" w:hAnsi="Arial" w:cs="Arial"/>
                <w:b/>
                <w:bCs/>
                <w:kern w:val="0"/>
                <w:highlight w:val="cyan"/>
                <w:lang w:eastAsia="en-GB"/>
                <w14:ligatures w14:val="none"/>
              </w:rPr>
              <w:lastRenderedPageBreak/>
              <w:t>Ratio</w:t>
            </w:r>
          </w:p>
        </w:tc>
        <w:tc>
          <w:tcPr>
            <w:tcW w:w="2380" w:type="dxa"/>
            <w:vAlign w:val="center"/>
            <w:hideMark/>
          </w:tcPr>
          <w:p w14:paraId="2A314F4C" w14:textId="77777777" w:rsidR="008B5A0C" w:rsidRPr="008B5A0C" w:rsidRDefault="008B5A0C" w:rsidP="008B5A0C">
            <w:pPr>
              <w:spacing w:after="0" w:line="240" w:lineRule="auto"/>
              <w:jc w:val="center"/>
              <w:rPr>
                <w:rFonts w:ascii="Arial" w:eastAsia="Times New Roman" w:hAnsi="Arial" w:cs="Arial"/>
                <w:b/>
                <w:bCs/>
                <w:kern w:val="0"/>
                <w:highlight w:val="cyan"/>
                <w:lang w:eastAsia="en-GB"/>
                <w14:ligatures w14:val="none"/>
              </w:rPr>
            </w:pPr>
            <w:r w:rsidRPr="008B5A0C">
              <w:rPr>
                <w:rFonts w:ascii="Arial" w:eastAsia="Times New Roman" w:hAnsi="Arial" w:cs="Arial"/>
                <w:b/>
                <w:bCs/>
                <w:kern w:val="0"/>
                <w:highlight w:val="cyan"/>
                <w:lang w:eastAsia="en-GB"/>
                <w14:ligatures w14:val="none"/>
              </w:rPr>
              <w:t>2023</w:t>
            </w:r>
          </w:p>
        </w:tc>
        <w:tc>
          <w:tcPr>
            <w:tcW w:w="2365" w:type="dxa"/>
            <w:vAlign w:val="center"/>
            <w:hideMark/>
          </w:tcPr>
          <w:p w14:paraId="40BBCD88" w14:textId="77777777" w:rsidR="008B5A0C" w:rsidRPr="008B5A0C" w:rsidRDefault="008B5A0C" w:rsidP="008B5A0C">
            <w:pPr>
              <w:spacing w:after="0" w:line="240" w:lineRule="auto"/>
              <w:jc w:val="center"/>
              <w:rPr>
                <w:rFonts w:ascii="Arial" w:eastAsia="Times New Roman" w:hAnsi="Arial" w:cs="Arial"/>
                <w:b/>
                <w:bCs/>
                <w:kern w:val="0"/>
                <w:highlight w:val="cyan"/>
                <w:lang w:eastAsia="en-GB"/>
                <w14:ligatures w14:val="none"/>
              </w:rPr>
            </w:pPr>
            <w:r w:rsidRPr="008B5A0C">
              <w:rPr>
                <w:rFonts w:ascii="Arial" w:eastAsia="Times New Roman" w:hAnsi="Arial" w:cs="Arial"/>
                <w:b/>
                <w:bCs/>
                <w:kern w:val="0"/>
                <w:highlight w:val="cyan"/>
                <w:lang w:eastAsia="en-GB"/>
                <w14:ligatures w14:val="none"/>
              </w:rPr>
              <w:t>2024</w:t>
            </w:r>
          </w:p>
        </w:tc>
      </w:tr>
      <w:tr w:rsidR="008B5A0C" w:rsidRPr="008B5A0C" w14:paraId="1538A31D" w14:textId="77777777" w:rsidTr="008B5A0C">
        <w:trPr>
          <w:tblCellSpacing w:w="15" w:type="dxa"/>
        </w:trPr>
        <w:tc>
          <w:tcPr>
            <w:tcW w:w="4058" w:type="dxa"/>
            <w:vAlign w:val="center"/>
            <w:hideMark/>
          </w:tcPr>
          <w:p w14:paraId="52897D1E" w14:textId="77777777" w:rsidR="008B5A0C" w:rsidRPr="008B5A0C" w:rsidRDefault="008B5A0C" w:rsidP="008B5A0C">
            <w:pPr>
              <w:spacing w:after="0" w:line="240" w:lineRule="auto"/>
              <w:rPr>
                <w:rFonts w:ascii="Arial" w:eastAsia="Times New Roman" w:hAnsi="Arial" w:cs="Arial"/>
                <w:kern w:val="0"/>
                <w:highlight w:val="cyan"/>
                <w:lang w:eastAsia="en-GB"/>
                <w14:ligatures w14:val="none"/>
              </w:rPr>
            </w:pPr>
            <w:r w:rsidRPr="008B5A0C">
              <w:rPr>
                <w:rFonts w:ascii="Arial" w:eastAsia="Times New Roman" w:hAnsi="Arial" w:cs="Arial"/>
                <w:kern w:val="0"/>
                <w:highlight w:val="cyan"/>
                <w:lang w:eastAsia="en-GB"/>
                <w14:ligatures w14:val="none"/>
              </w:rPr>
              <w:t>Operating Profit Margin (%)</w:t>
            </w:r>
          </w:p>
        </w:tc>
        <w:tc>
          <w:tcPr>
            <w:tcW w:w="2380" w:type="dxa"/>
            <w:vAlign w:val="center"/>
            <w:hideMark/>
          </w:tcPr>
          <w:p w14:paraId="7F91C76E" w14:textId="77777777" w:rsidR="008B5A0C" w:rsidRPr="008B5A0C" w:rsidRDefault="008B5A0C" w:rsidP="008B5A0C">
            <w:pPr>
              <w:spacing w:after="0" w:line="240" w:lineRule="auto"/>
              <w:rPr>
                <w:rFonts w:ascii="Arial" w:eastAsia="Times New Roman" w:hAnsi="Arial" w:cs="Arial"/>
                <w:kern w:val="0"/>
                <w:highlight w:val="cyan"/>
                <w:lang w:eastAsia="en-GB"/>
                <w14:ligatures w14:val="none"/>
              </w:rPr>
            </w:pPr>
            <w:r w:rsidRPr="008B5A0C">
              <w:rPr>
                <w:rFonts w:ascii="Arial" w:eastAsia="Times New Roman" w:hAnsi="Arial" w:cs="Arial"/>
                <w:kern w:val="0"/>
                <w:highlight w:val="cyan"/>
                <w:lang w:eastAsia="en-GB"/>
                <w14:ligatures w14:val="none"/>
              </w:rPr>
              <w:t>23.2%</w:t>
            </w:r>
          </w:p>
        </w:tc>
        <w:tc>
          <w:tcPr>
            <w:tcW w:w="2365" w:type="dxa"/>
            <w:vAlign w:val="center"/>
            <w:hideMark/>
          </w:tcPr>
          <w:p w14:paraId="169CB782" w14:textId="77777777" w:rsidR="008B5A0C" w:rsidRPr="008B5A0C" w:rsidRDefault="008B5A0C" w:rsidP="008B5A0C">
            <w:pPr>
              <w:spacing w:after="0" w:line="240" w:lineRule="auto"/>
              <w:rPr>
                <w:rFonts w:ascii="Arial" w:eastAsia="Times New Roman" w:hAnsi="Arial" w:cs="Arial"/>
                <w:kern w:val="0"/>
                <w:highlight w:val="cyan"/>
                <w:lang w:eastAsia="en-GB"/>
                <w14:ligatures w14:val="none"/>
              </w:rPr>
            </w:pPr>
            <w:r w:rsidRPr="008B5A0C">
              <w:rPr>
                <w:rFonts w:ascii="Arial" w:eastAsia="Times New Roman" w:hAnsi="Arial" w:cs="Arial"/>
                <w:kern w:val="0"/>
                <w:highlight w:val="cyan"/>
                <w:lang w:eastAsia="en-GB"/>
                <w14:ligatures w14:val="none"/>
              </w:rPr>
              <w:t>41.4%</w:t>
            </w:r>
          </w:p>
        </w:tc>
      </w:tr>
      <w:tr w:rsidR="008B5A0C" w:rsidRPr="008B5A0C" w14:paraId="69143E2D" w14:textId="77777777" w:rsidTr="008B5A0C">
        <w:trPr>
          <w:tblCellSpacing w:w="15" w:type="dxa"/>
        </w:trPr>
        <w:tc>
          <w:tcPr>
            <w:tcW w:w="4058" w:type="dxa"/>
            <w:vAlign w:val="center"/>
            <w:hideMark/>
          </w:tcPr>
          <w:p w14:paraId="38D63B72" w14:textId="77777777" w:rsidR="008B5A0C" w:rsidRPr="008B5A0C" w:rsidRDefault="008B5A0C" w:rsidP="008B5A0C">
            <w:pPr>
              <w:spacing w:after="0" w:line="240" w:lineRule="auto"/>
              <w:rPr>
                <w:rFonts w:ascii="Arial" w:eastAsia="Times New Roman" w:hAnsi="Arial" w:cs="Arial"/>
                <w:kern w:val="0"/>
                <w:highlight w:val="cyan"/>
                <w:lang w:eastAsia="en-GB"/>
                <w14:ligatures w14:val="none"/>
              </w:rPr>
            </w:pPr>
            <w:r w:rsidRPr="008B5A0C">
              <w:rPr>
                <w:rFonts w:ascii="Arial" w:eastAsia="Times New Roman" w:hAnsi="Arial" w:cs="Arial"/>
                <w:kern w:val="0"/>
                <w:highlight w:val="cyan"/>
                <w:lang w:eastAsia="en-GB"/>
                <w14:ligatures w14:val="none"/>
              </w:rPr>
              <w:t>Net Profit Margin (%)</w:t>
            </w:r>
          </w:p>
        </w:tc>
        <w:tc>
          <w:tcPr>
            <w:tcW w:w="2380" w:type="dxa"/>
            <w:vAlign w:val="center"/>
            <w:hideMark/>
          </w:tcPr>
          <w:p w14:paraId="0DB348D4" w14:textId="77777777" w:rsidR="008B5A0C" w:rsidRPr="008B5A0C" w:rsidRDefault="008B5A0C" w:rsidP="008B5A0C">
            <w:pPr>
              <w:spacing w:after="0" w:line="240" w:lineRule="auto"/>
              <w:rPr>
                <w:rFonts w:ascii="Arial" w:eastAsia="Times New Roman" w:hAnsi="Arial" w:cs="Arial"/>
                <w:kern w:val="0"/>
                <w:highlight w:val="cyan"/>
                <w:lang w:eastAsia="en-GB"/>
                <w14:ligatures w14:val="none"/>
              </w:rPr>
            </w:pPr>
            <w:r w:rsidRPr="008B5A0C">
              <w:rPr>
                <w:rFonts w:ascii="Arial" w:eastAsia="Times New Roman" w:hAnsi="Arial" w:cs="Arial"/>
                <w:kern w:val="0"/>
                <w:highlight w:val="cyan"/>
                <w:lang w:eastAsia="en-GB"/>
                <w14:ligatures w14:val="none"/>
              </w:rPr>
              <w:t>15.2%</w:t>
            </w:r>
          </w:p>
        </w:tc>
        <w:tc>
          <w:tcPr>
            <w:tcW w:w="2365" w:type="dxa"/>
            <w:vAlign w:val="center"/>
            <w:hideMark/>
          </w:tcPr>
          <w:p w14:paraId="31FD9A46" w14:textId="77777777" w:rsidR="008B5A0C" w:rsidRPr="008B5A0C" w:rsidRDefault="008B5A0C" w:rsidP="008B5A0C">
            <w:pPr>
              <w:spacing w:after="0" w:line="240" w:lineRule="auto"/>
              <w:rPr>
                <w:rFonts w:ascii="Arial" w:eastAsia="Times New Roman" w:hAnsi="Arial" w:cs="Arial"/>
                <w:kern w:val="0"/>
                <w:highlight w:val="cyan"/>
                <w:lang w:eastAsia="en-GB"/>
                <w14:ligatures w14:val="none"/>
              </w:rPr>
            </w:pPr>
            <w:r w:rsidRPr="008B5A0C">
              <w:rPr>
                <w:rFonts w:ascii="Arial" w:eastAsia="Times New Roman" w:hAnsi="Arial" w:cs="Arial"/>
                <w:kern w:val="0"/>
                <w:highlight w:val="cyan"/>
                <w:lang w:eastAsia="en-GB"/>
                <w14:ligatures w14:val="none"/>
              </w:rPr>
              <w:t>33.6%</w:t>
            </w:r>
          </w:p>
        </w:tc>
      </w:tr>
      <w:tr w:rsidR="008B5A0C" w:rsidRPr="008B5A0C" w14:paraId="0182606C" w14:textId="77777777" w:rsidTr="008B5A0C">
        <w:trPr>
          <w:tblCellSpacing w:w="15" w:type="dxa"/>
        </w:trPr>
        <w:tc>
          <w:tcPr>
            <w:tcW w:w="4058" w:type="dxa"/>
            <w:vAlign w:val="center"/>
            <w:hideMark/>
          </w:tcPr>
          <w:p w14:paraId="48A240E1" w14:textId="77777777" w:rsidR="008B5A0C" w:rsidRPr="008B5A0C" w:rsidRDefault="008B5A0C" w:rsidP="008B5A0C">
            <w:pPr>
              <w:spacing w:after="0" w:line="240" w:lineRule="auto"/>
              <w:rPr>
                <w:rFonts w:ascii="Arial" w:eastAsia="Times New Roman" w:hAnsi="Arial" w:cs="Arial"/>
                <w:kern w:val="0"/>
                <w:highlight w:val="cyan"/>
                <w:lang w:eastAsia="en-GB"/>
                <w14:ligatures w14:val="none"/>
              </w:rPr>
            </w:pPr>
            <w:r w:rsidRPr="008B5A0C">
              <w:rPr>
                <w:rFonts w:ascii="Arial" w:eastAsia="Times New Roman" w:hAnsi="Arial" w:cs="Arial"/>
                <w:kern w:val="0"/>
                <w:highlight w:val="cyan"/>
                <w:lang w:eastAsia="en-GB"/>
                <w14:ligatures w14:val="none"/>
              </w:rPr>
              <w:t>Return on Sales (%)</w:t>
            </w:r>
          </w:p>
        </w:tc>
        <w:tc>
          <w:tcPr>
            <w:tcW w:w="2380" w:type="dxa"/>
            <w:vAlign w:val="center"/>
            <w:hideMark/>
          </w:tcPr>
          <w:p w14:paraId="139FCD3C" w14:textId="77777777" w:rsidR="008B5A0C" w:rsidRPr="008B5A0C" w:rsidRDefault="008B5A0C" w:rsidP="008B5A0C">
            <w:pPr>
              <w:spacing w:after="0" w:line="240" w:lineRule="auto"/>
              <w:rPr>
                <w:rFonts w:ascii="Arial" w:eastAsia="Times New Roman" w:hAnsi="Arial" w:cs="Arial"/>
                <w:kern w:val="0"/>
                <w:highlight w:val="cyan"/>
                <w:lang w:eastAsia="en-GB"/>
                <w14:ligatures w14:val="none"/>
              </w:rPr>
            </w:pPr>
            <w:r w:rsidRPr="008B5A0C">
              <w:rPr>
                <w:rFonts w:ascii="Arial" w:eastAsia="Times New Roman" w:hAnsi="Arial" w:cs="Arial"/>
                <w:kern w:val="0"/>
                <w:highlight w:val="cyan"/>
                <w:lang w:eastAsia="en-GB"/>
                <w14:ligatures w14:val="none"/>
              </w:rPr>
              <w:t>45.6%</w:t>
            </w:r>
          </w:p>
        </w:tc>
        <w:tc>
          <w:tcPr>
            <w:tcW w:w="2365" w:type="dxa"/>
            <w:vAlign w:val="center"/>
            <w:hideMark/>
          </w:tcPr>
          <w:p w14:paraId="749133EF" w14:textId="77777777" w:rsidR="008B5A0C" w:rsidRPr="008B5A0C" w:rsidRDefault="008B5A0C" w:rsidP="008B5A0C">
            <w:pPr>
              <w:spacing w:after="0" w:line="240" w:lineRule="auto"/>
              <w:rPr>
                <w:rFonts w:ascii="Arial" w:eastAsia="Times New Roman" w:hAnsi="Arial" w:cs="Arial"/>
                <w:kern w:val="0"/>
                <w:highlight w:val="cyan"/>
                <w:lang w:eastAsia="en-GB"/>
                <w14:ligatures w14:val="none"/>
              </w:rPr>
            </w:pPr>
            <w:r w:rsidRPr="008B5A0C">
              <w:rPr>
                <w:rFonts w:ascii="Arial" w:eastAsia="Times New Roman" w:hAnsi="Arial" w:cs="Arial"/>
                <w:kern w:val="0"/>
                <w:highlight w:val="cyan"/>
                <w:lang w:eastAsia="en-GB"/>
                <w14:ligatures w14:val="none"/>
              </w:rPr>
              <w:t>46.0%</w:t>
            </w:r>
          </w:p>
        </w:tc>
      </w:tr>
      <w:tr w:rsidR="008B5A0C" w:rsidRPr="008B5A0C" w14:paraId="64ECAC20" w14:textId="77777777" w:rsidTr="008B5A0C">
        <w:trPr>
          <w:tblCellSpacing w:w="15" w:type="dxa"/>
        </w:trPr>
        <w:tc>
          <w:tcPr>
            <w:tcW w:w="4058" w:type="dxa"/>
            <w:vAlign w:val="center"/>
            <w:hideMark/>
          </w:tcPr>
          <w:p w14:paraId="01B9C7CF" w14:textId="77777777" w:rsidR="008B5A0C" w:rsidRPr="008B5A0C" w:rsidRDefault="008B5A0C" w:rsidP="008B5A0C">
            <w:pPr>
              <w:spacing w:after="0" w:line="240" w:lineRule="auto"/>
              <w:rPr>
                <w:rFonts w:ascii="Arial" w:eastAsia="Times New Roman" w:hAnsi="Arial" w:cs="Arial"/>
                <w:kern w:val="0"/>
                <w:highlight w:val="cyan"/>
                <w:lang w:eastAsia="en-GB"/>
                <w14:ligatures w14:val="none"/>
              </w:rPr>
            </w:pPr>
            <w:r w:rsidRPr="008B5A0C">
              <w:rPr>
                <w:rFonts w:ascii="Arial" w:eastAsia="Times New Roman" w:hAnsi="Arial" w:cs="Arial"/>
                <w:kern w:val="0"/>
                <w:highlight w:val="cyan"/>
                <w:lang w:eastAsia="en-GB"/>
                <w14:ligatures w14:val="none"/>
              </w:rPr>
              <w:t>EPS Growth (%)</w:t>
            </w:r>
          </w:p>
        </w:tc>
        <w:tc>
          <w:tcPr>
            <w:tcW w:w="2380" w:type="dxa"/>
            <w:vAlign w:val="center"/>
            <w:hideMark/>
          </w:tcPr>
          <w:p w14:paraId="4F3308FF" w14:textId="77777777" w:rsidR="008B5A0C" w:rsidRPr="008B5A0C" w:rsidRDefault="008B5A0C" w:rsidP="008B5A0C">
            <w:pPr>
              <w:spacing w:after="0" w:line="240" w:lineRule="auto"/>
              <w:rPr>
                <w:rFonts w:ascii="Arial" w:eastAsia="Times New Roman" w:hAnsi="Arial" w:cs="Arial"/>
                <w:kern w:val="0"/>
                <w:highlight w:val="cyan"/>
                <w:lang w:eastAsia="en-GB"/>
                <w14:ligatures w14:val="none"/>
              </w:rPr>
            </w:pPr>
            <w:r w:rsidRPr="008B5A0C">
              <w:rPr>
                <w:rFonts w:ascii="Arial" w:eastAsia="Times New Roman" w:hAnsi="Arial" w:cs="Arial"/>
                <w:kern w:val="0"/>
                <w:highlight w:val="cyan"/>
                <w:lang w:eastAsia="en-GB"/>
                <w14:ligatures w14:val="none"/>
              </w:rPr>
              <w:t>0.0%</w:t>
            </w:r>
          </w:p>
        </w:tc>
        <w:tc>
          <w:tcPr>
            <w:tcW w:w="2365" w:type="dxa"/>
            <w:vAlign w:val="center"/>
            <w:hideMark/>
          </w:tcPr>
          <w:p w14:paraId="73ECF7D5" w14:textId="77777777" w:rsidR="008B5A0C" w:rsidRPr="008B5A0C" w:rsidRDefault="008B5A0C" w:rsidP="008B5A0C">
            <w:pPr>
              <w:spacing w:after="0" w:line="240" w:lineRule="auto"/>
              <w:rPr>
                <w:rFonts w:ascii="Arial" w:eastAsia="Times New Roman" w:hAnsi="Arial" w:cs="Arial"/>
                <w:kern w:val="0"/>
                <w:highlight w:val="cyan"/>
                <w:lang w:eastAsia="en-GB"/>
                <w14:ligatures w14:val="none"/>
              </w:rPr>
            </w:pPr>
            <w:r w:rsidRPr="008B5A0C">
              <w:rPr>
                <w:rFonts w:ascii="Arial" w:eastAsia="Times New Roman" w:hAnsi="Arial" w:cs="Arial"/>
                <w:kern w:val="0"/>
                <w:highlight w:val="cyan"/>
                <w:lang w:eastAsia="en-GB"/>
                <w14:ligatures w14:val="none"/>
              </w:rPr>
              <w:t>143.35%</w:t>
            </w:r>
          </w:p>
        </w:tc>
      </w:tr>
      <w:tr w:rsidR="008B5A0C" w:rsidRPr="008B5A0C" w14:paraId="3F78D2DA" w14:textId="77777777" w:rsidTr="008B5A0C">
        <w:trPr>
          <w:tblCellSpacing w:w="15" w:type="dxa"/>
        </w:trPr>
        <w:tc>
          <w:tcPr>
            <w:tcW w:w="4058" w:type="dxa"/>
            <w:vAlign w:val="center"/>
            <w:hideMark/>
          </w:tcPr>
          <w:p w14:paraId="66942A4E" w14:textId="6E1AEE67" w:rsidR="008B5A0C" w:rsidRPr="008B5A0C" w:rsidRDefault="008B5A0C" w:rsidP="008B5A0C">
            <w:pPr>
              <w:spacing w:after="0" w:line="240" w:lineRule="auto"/>
              <w:rPr>
                <w:rFonts w:ascii="Arial" w:eastAsia="Times New Roman" w:hAnsi="Arial" w:cs="Arial"/>
                <w:kern w:val="0"/>
                <w:highlight w:val="cyan"/>
                <w:lang w:eastAsia="en-GB"/>
                <w14:ligatures w14:val="none"/>
              </w:rPr>
            </w:pPr>
            <w:r w:rsidRPr="008B5A0C">
              <w:rPr>
                <w:rFonts w:ascii="Arial" w:eastAsia="Times New Roman" w:hAnsi="Arial" w:cs="Arial"/>
                <w:kern w:val="0"/>
                <w:highlight w:val="cyan"/>
                <w:lang w:eastAsia="en-GB"/>
                <w14:ligatures w14:val="none"/>
              </w:rPr>
              <w:t xml:space="preserve">Free Cash </w:t>
            </w:r>
            <w:r w:rsidRPr="008B5A0C">
              <w:rPr>
                <w:rFonts w:ascii="Arial" w:eastAsia="Times New Roman" w:hAnsi="Arial" w:cs="Arial"/>
                <w:kern w:val="0"/>
                <w:highlight w:val="cyan"/>
                <w:lang w:eastAsia="en-GB"/>
                <w14:ligatures w14:val="none"/>
              </w:rPr>
              <w:t>Flow (</w:t>
            </w:r>
            <w:r w:rsidRPr="008B5A0C">
              <w:rPr>
                <w:rFonts w:ascii="Arial" w:eastAsia="Times New Roman" w:hAnsi="Arial" w:cs="Arial"/>
                <w:kern w:val="0"/>
                <w:highlight w:val="cyan"/>
                <w:lang w:eastAsia="en-GB"/>
                <w14:ligatures w14:val="none"/>
              </w:rPr>
              <w:t>%)</w:t>
            </w:r>
          </w:p>
        </w:tc>
        <w:tc>
          <w:tcPr>
            <w:tcW w:w="2380" w:type="dxa"/>
            <w:vAlign w:val="center"/>
            <w:hideMark/>
          </w:tcPr>
          <w:p w14:paraId="5D27D4A4" w14:textId="77777777" w:rsidR="008B5A0C" w:rsidRPr="008B5A0C" w:rsidRDefault="008B5A0C" w:rsidP="008B5A0C">
            <w:pPr>
              <w:spacing w:after="0" w:line="240" w:lineRule="auto"/>
              <w:rPr>
                <w:rFonts w:ascii="Arial" w:eastAsia="Times New Roman" w:hAnsi="Arial" w:cs="Arial"/>
                <w:kern w:val="0"/>
                <w:highlight w:val="cyan"/>
                <w:lang w:eastAsia="en-GB"/>
                <w14:ligatures w14:val="none"/>
              </w:rPr>
            </w:pPr>
            <w:r w:rsidRPr="008B5A0C">
              <w:rPr>
                <w:rFonts w:ascii="Arial" w:eastAsia="Times New Roman" w:hAnsi="Arial" w:cs="Arial"/>
                <w:kern w:val="0"/>
                <w:highlight w:val="cyan"/>
                <w:lang w:eastAsia="en-GB"/>
                <w14:ligatures w14:val="none"/>
              </w:rPr>
              <w:t>32.4%</w:t>
            </w:r>
          </w:p>
        </w:tc>
        <w:tc>
          <w:tcPr>
            <w:tcW w:w="2365" w:type="dxa"/>
            <w:vAlign w:val="center"/>
            <w:hideMark/>
          </w:tcPr>
          <w:p w14:paraId="5C157D67" w14:textId="77777777" w:rsidR="008B5A0C" w:rsidRPr="008B5A0C" w:rsidRDefault="008B5A0C" w:rsidP="008B5A0C">
            <w:pPr>
              <w:spacing w:after="0" w:line="240" w:lineRule="auto"/>
              <w:rPr>
                <w:rFonts w:ascii="Arial" w:eastAsia="Times New Roman" w:hAnsi="Arial" w:cs="Arial"/>
                <w:kern w:val="0"/>
                <w:highlight w:val="cyan"/>
                <w:lang w:eastAsia="en-GB"/>
                <w14:ligatures w14:val="none"/>
              </w:rPr>
            </w:pPr>
            <w:r w:rsidRPr="008B5A0C">
              <w:rPr>
                <w:rFonts w:ascii="Arial" w:eastAsia="Times New Roman" w:hAnsi="Arial" w:cs="Arial"/>
                <w:kern w:val="0"/>
                <w:highlight w:val="cyan"/>
                <w:lang w:eastAsia="en-GB"/>
                <w14:ligatures w14:val="none"/>
              </w:rPr>
              <w:t>30.2%</w:t>
            </w:r>
          </w:p>
        </w:tc>
      </w:tr>
    </w:tbl>
    <w:p w14:paraId="0651FE8F" w14:textId="77777777" w:rsidR="008B5A0C" w:rsidRDefault="008B5A0C" w:rsidP="00B34ECC">
      <w:pPr>
        <w:spacing w:line="480" w:lineRule="auto"/>
        <w:rPr>
          <w:rFonts w:ascii="Arial" w:hAnsi="Arial" w:cs="Arial"/>
        </w:rPr>
      </w:pPr>
    </w:p>
    <w:p w14:paraId="7DA3F76A" w14:textId="77777777" w:rsidR="008B5A0C" w:rsidRPr="00355A3C" w:rsidRDefault="00E247BD" w:rsidP="008B5A0C">
      <w:pPr>
        <w:pStyle w:val="ListParagraph"/>
        <w:numPr>
          <w:ilvl w:val="0"/>
          <w:numId w:val="2"/>
        </w:numPr>
        <w:spacing w:line="480" w:lineRule="auto"/>
        <w:rPr>
          <w:rFonts w:ascii="Arial" w:hAnsi="Arial" w:cs="Arial"/>
          <w:b/>
          <w:bCs/>
        </w:rPr>
      </w:pPr>
      <w:r w:rsidRPr="00355A3C">
        <w:rPr>
          <w:rFonts w:ascii="Arial" w:hAnsi="Arial" w:cs="Arial"/>
          <w:b/>
          <w:bCs/>
        </w:rPr>
        <w:t>Operating Profit Margin</w:t>
      </w:r>
    </w:p>
    <w:p w14:paraId="350758BD" w14:textId="77777777" w:rsidR="008B5A0C" w:rsidRDefault="00E247BD" w:rsidP="008B5A0C">
      <w:pPr>
        <w:spacing w:line="480" w:lineRule="auto"/>
        <w:rPr>
          <w:rFonts w:ascii="Arial" w:hAnsi="Arial" w:cs="Arial"/>
        </w:rPr>
      </w:pPr>
      <w:r w:rsidRPr="008B5A0C">
        <w:rPr>
          <w:rFonts w:ascii="Arial" w:hAnsi="Arial" w:cs="Arial"/>
        </w:rPr>
        <w:t xml:space="preserve">Formula: </w:t>
      </w:r>
      <w:r w:rsidRPr="008B5A0C">
        <w:rPr>
          <w:rFonts w:ascii="Arial" w:hAnsi="Arial" w:cs="Arial"/>
          <w:highlight w:val="cyan"/>
        </w:rPr>
        <w:t xml:space="preserve">Operating Profit </w:t>
      </w:r>
      <w:r w:rsidR="008B5A0C" w:rsidRPr="008B5A0C">
        <w:rPr>
          <w:rFonts w:ascii="Arial" w:hAnsi="Arial" w:cs="Arial"/>
          <w:highlight w:val="cyan"/>
        </w:rPr>
        <w:t>/</w:t>
      </w:r>
      <w:r w:rsidRPr="008B5A0C">
        <w:rPr>
          <w:rFonts w:ascii="Arial" w:hAnsi="Arial" w:cs="Arial"/>
          <w:highlight w:val="cyan"/>
        </w:rPr>
        <w:t xml:space="preserve"> Revenue </w:t>
      </w:r>
      <w:r w:rsidR="008B5A0C" w:rsidRPr="008B5A0C">
        <w:rPr>
          <w:rFonts w:ascii="Arial" w:hAnsi="Arial" w:cs="Arial"/>
          <w:highlight w:val="cyan"/>
        </w:rPr>
        <w:t>x</w:t>
      </w:r>
      <w:r w:rsidRPr="008B5A0C">
        <w:rPr>
          <w:rFonts w:ascii="Arial" w:hAnsi="Arial" w:cs="Arial"/>
          <w:highlight w:val="cyan"/>
        </w:rPr>
        <w:t xml:space="preserve"> 100</w:t>
      </w:r>
    </w:p>
    <w:p w14:paraId="09A9D934" w14:textId="77777777" w:rsidR="008B5A0C" w:rsidRDefault="00E247BD" w:rsidP="008B5A0C">
      <w:pPr>
        <w:spacing w:line="480" w:lineRule="auto"/>
        <w:rPr>
          <w:rFonts w:ascii="Arial" w:hAnsi="Arial" w:cs="Arial"/>
        </w:rPr>
      </w:pPr>
      <w:r w:rsidRPr="008B5A0C">
        <w:rPr>
          <w:rFonts w:ascii="Arial" w:hAnsi="Arial" w:cs="Arial"/>
        </w:rPr>
        <w:t xml:space="preserve">Calculation (2024): </w:t>
      </w:r>
      <w:r w:rsidRPr="008B5A0C">
        <w:rPr>
          <w:rFonts w:ascii="Arial" w:hAnsi="Arial" w:cs="Arial"/>
          <w:highlight w:val="cyan"/>
        </w:rPr>
        <w:t xml:space="preserve">2,821 </w:t>
      </w:r>
      <w:r w:rsidR="008B5A0C" w:rsidRPr="008B5A0C">
        <w:rPr>
          <w:rFonts w:ascii="Arial" w:hAnsi="Arial" w:cs="Arial"/>
          <w:highlight w:val="cyan"/>
        </w:rPr>
        <w:t>/</w:t>
      </w:r>
      <w:r w:rsidRPr="008B5A0C">
        <w:rPr>
          <w:rFonts w:ascii="Arial" w:hAnsi="Arial" w:cs="Arial"/>
          <w:highlight w:val="cyan"/>
        </w:rPr>
        <w:t xml:space="preserve"> 68,200 </w:t>
      </w:r>
      <w:r w:rsidR="008B5A0C" w:rsidRPr="008B5A0C">
        <w:rPr>
          <w:rFonts w:ascii="Arial" w:hAnsi="Arial" w:cs="Arial"/>
          <w:highlight w:val="cyan"/>
        </w:rPr>
        <w:t>x</w:t>
      </w:r>
      <w:r w:rsidRPr="008B5A0C">
        <w:rPr>
          <w:rFonts w:ascii="Arial" w:hAnsi="Arial" w:cs="Arial"/>
          <w:highlight w:val="cyan"/>
        </w:rPr>
        <w:t xml:space="preserve"> 100 = 41.4%</w:t>
      </w:r>
    </w:p>
    <w:p w14:paraId="34B82415" w14:textId="77777777" w:rsidR="008B5A0C" w:rsidRDefault="00E247BD" w:rsidP="008B5A0C">
      <w:pPr>
        <w:spacing w:line="480" w:lineRule="auto"/>
        <w:rPr>
          <w:rFonts w:ascii="Arial" w:hAnsi="Arial" w:cs="Arial"/>
        </w:rPr>
      </w:pPr>
      <w:r w:rsidRPr="008B5A0C">
        <w:rPr>
          <w:rFonts w:ascii="Arial" w:hAnsi="Arial" w:cs="Arial"/>
        </w:rPr>
        <w:t xml:space="preserve">Tesco’s margin improved from 23.2% to 41.4% </w:t>
      </w:r>
      <w:r w:rsidR="008B5A0C">
        <w:rPr>
          <w:rFonts w:ascii="Arial" w:hAnsi="Arial" w:cs="Arial"/>
        </w:rPr>
        <w:t>showing</w:t>
      </w:r>
      <w:r w:rsidRPr="008B5A0C">
        <w:rPr>
          <w:rFonts w:ascii="Arial" w:hAnsi="Arial" w:cs="Arial"/>
        </w:rPr>
        <w:t xml:space="preserve"> the company’s efficient cost measures and delivery of it “Save to Invest” programme which </w:t>
      </w:r>
      <w:r w:rsidR="008B5A0C">
        <w:rPr>
          <w:rFonts w:ascii="Arial" w:hAnsi="Arial" w:cs="Arial"/>
        </w:rPr>
        <w:t>produced</w:t>
      </w:r>
      <w:r w:rsidRPr="008B5A0C">
        <w:rPr>
          <w:rFonts w:ascii="Arial" w:hAnsi="Arial" w:cs="Arial"/>
        </w:rPr>
        <w:t xml:space="preserve"> £1.2 billion cumulative savings (Tesco PLC, 2024).</w:t>
      </w:r>
    </w:p>
    <w:p w14:paraId="77339A42" w14:textId="69553942" w:rsidR="008B5A0C" w:rsidRPr="00355A3C" w:rsidRDefault="00E247BD" w:rsidP="008B5A0C">
      <w:pPr>
        <w:pStyle w:val="ListParagraph"/>
        <w:numPr>
          <w:ilvl w:val="0"/>
          <w:numId w:val="2"/>
        </w:numPr>
        <w:spacing w:line="480" w:lineRule="auto"/>
        <w:rPr>
          <w:rFonts w:ascii="Arial" w:hAnsi="Arial" w:cs="Arial"/>
          <w:b/>
          <w:bCs/>
        </w:rPr>
      </w:pPr>
      <w:r w:rsidRPr="00355A3C">
        <w:rPr>
          <w:rFonts w:ascii="Arial" w:hAnsi="Arial" w:cs="Arial"/>
          <w:b/>
          <w:bCs/>
        </w:rPr>
        <w:t xml:space="preserve">Net Profit </w:t>
      </w:r>
      <w:r w:rsidR="008B5A0C" w:rsidRPr="00355A3C">
        <w:rPr>
          <w:rFonts w:ascii="Arial" w:hAnsi="Arial" w:cs="Arial"/>
          <w:b/>
          <w:bCs/>
        </w:rPr>
        <w:t>Margin</w:t>
      </w:r>
    </w:p>
    <w:p w14:paraId="5EA414FF" w14:textId="77777777" w:rsidR="008B5A0C" w:rsidRDefault="00E247BD" w:rsidP="008B5A0C">
      <w:pPr>
        <w:spacing w:line="480" w:lineRule="auto"/>
        <w:rPr>
          <w:rFonts w:ascii="Arial" w:hAnsi="Arial" w:cs="Arial"/>
        </w:rPr>
      </w:pPr>
      <w:r w:rsidRPr="008B5A0C">
        <w:rPr>
          <w:rFonts w:ascii="Arial" w:hAnsi="Arial" w:cs="Arial"/>
        </w:rPr>
        <w:t xml:space="preserve">Formula: </w:t>
      </w:r>
      <w:r w:rsidRPr="008B5A0C">
        <w:rPr>
          <w:rFonts w:ascii="Arial" w:hAnsi="Arial" w:cs="Arial"/>
          <w:highlight w:val="cyan"/>
        </w:rPr>
        <w:t xml:space="preserve">Profit Before Tax </w:t>
      </w:r>
      <w:r w:rsidR="008B5A0C" w:rsidRPr="008B5A0C">
        <w:rPr>
          <w:rFonts w:ascii="Arial" w:hAnsi="Arial" w:cs="Arial"/>
          <w:highlight w:val="cyan"/>
        </w:rPr>
        <w:t>/</w:t>
      </w:r>
      <w:r w:rsidRPr="008B5A0C">
        <w:rPr>
          <w:rFonts w:ascii="Arial" w:hAnsi="Arial" w:cs="Arial"/>
          <w:highlight w:val="cyan"/>
        </w:rPr>
        <w:t xml:space="preserve"> Revenue </w:t>
      </w:r>
      <w:r w:rsidR="008B5A0C" w:rsidRPr="008B5A0C">
        <w:rPr>
          <w:rFonts w:ascii="Arial" w:hAnsi="Arial" w:cs="Arial"/>
          <w:highlight w:val="cyan"/>
        </w:rPr>
        <w:t>x</w:t>
      </w:r>
      <w:r w:rsidRPr="008B5A0C">
        <w:rPr>
          <w:rFonts w:ascii="Arial" w:hAnsi="Arial" w:cs="Arial"/>
          <w:highlight w:val="cyan"/>
        </w:rPr>
        <w:t xml:space="preserve"> 100</w:t>
      </w:r>
    </w:p>
    <w:p w14:paraId="661378D8" w14:textId="5D2225AD" w:rsidR="00B34ECC" w:rsidRPr="008B5A0C" w:rsidRDefault="00E247BD" w:rsidP="008B5A0C">
      <w:pPr>
        <w:spacing w:line="480" w:lineRule="auto"/>
        <w:rPr>
          <w:rFonts w:ascii="Arial" w:hAnsi="Arial" w:cs="Arial"/>
        </w:rPr>
      </w:pPr>
      <w:r w:rsidRPr="008B5A0C">
        <w:rPr>
          <w:rFonts w:ascii="Arial" w:hAnsi="Arial" w:cs="Arial"/>
        </w:rPr>
        <w:t xml:space="preserve">Calculation (2024): </w:t>
      </w:r>
      <w:r w:rsidRPr="008B5A0C">
        <w:rPr>
          <w:rFonts w:ascii="Arial" w:hAnsi="Arial" w:cs="Arial"/>
          <w:highlight w:val="cyan"/>
        </w:rPr>
        <w:t xml:space="preserve">2,289 </w:t>
      </w:r>
      <w:r w:rsidR="008B5A0C" w:rsidRPr="008B5A0C">
        <w:rPr>
          <w:rFonts w:ascii="Arial" w:hAnsi="Arial" w:cs="Arial"/>
          <w:highlight w:val="cyan"/>
        </w:rPr>
        <w:t>/</w:t>
      </w:r>
      <w:r w:rsidRPr="008B5A0C">
        <w:rPr>
          <w:rFonts w:ascii="Arial" w:hAnsi="Arial" w:cs="Arial"/>
          <w:highlight w:val="cyan"/>
        </w:rPr>
        <w:t xml:space="preserve"> 68,200 </w:t>
      </w:r>
      <w:r w:rsidR="008B5A0C" w:rsidRPr="008B5A0C">
        <w:rPr>
          <w:rFonts w:ascii="Arial" w:hAnsi="Arial" w:cs="Arial"/>
          <w:highlight w:val="cyan"/>
        </w:rPr>
        <w:t>x</w:t>
      </w:r>
      <w:r w:rsidRPr="008B5A0C">
        <w:rPr>
          <w:rFonts w:ascii="Arial" w:hAnsi="Arial" w:cs="Arial"/>
          <w:highlight w:val="cyan"/>
        </w:rPr>
        <w:t xml:space="preserve"> 100 = 33.6%</w:t>
      </w:r>
    </w:p>
    <w:p w14:paraId="42D7C8F7" w14:textId="140FF57A" w:rsidR="00B34ECC" w:rsidRDefault="00E247BD" w:rsidP="00B34ECC">
      <w:pPr>
        <w:spacing w:line="480" w:lineRule="auto"/>
        <w:rPr>
          <w:rFonts w:ascii="Arial" w:hAnsi="Arial" w:cs="Arial"/>
        </w:rPr>
      </w:pPr>
      <w:r w:rsidRPr="00B34ECC">
        <w:rPr>
          <w:rFonts w:ascii="Arial" w:hAnsi="Arial" w:cs="Arial"/>
        </w:rPr>
        <w:t>Double the prior year's figure signifying Tesco is retaining a strong net profit. Tesco's management also benefited from restructuring its banking operations and enhancing the grocery business (Chen, 2022).</w:t>
      </w:r>
    </w:p>
    <w:p w14:paraId="5A482475" w14:textId="2E6CB4CC" w:rsidR="008B5A0C" w:rsidRPr="00355A3C" w:rsidRDefault="00E247BD" w:rsidP="008B5A0C">
      <w:pPr>
        <w:pStyle w:val="ListParagraph"/>
        <w:numPr>
          <w:ilvl w:val="0"/>
          <w:numId w:val="2"/>
        </w:numPr>
        <w:spacing w:line="480" w:lineRule="auto"/>
        <w:rPr>
          <w:rFonts w:ascii="Arial" w:hAnsi="Arial" w:cs="Arial"/>
          <w:b/>
          <w:bCs/>
        </w:rPr>
      </w:pPr>
      <w:r w:rsidRPr="00355A3C">
        <w:rPr>
          <w:rFonts w:ascii="Arial" w:hAnsi="Arial" w:cs="Arial"/>
          <w:b/>
          <w:bCs/>
        </w:rPr>
        <w:t>Return on Sales</w:t>
      </w:r>
    </w:p>
    <w:p w14:paraId="39D56401" w14:textId="77777777" w:rsidR="008B5A0C" w:rsidRDefault="00E247BD" w:rsidP="00B34ECC">
      <w:pPr>
        <w:spacing w:line="480" w:lineRule="auto"/>
        <w:rPr>
          <w:rFonts w:ascii="Arial" w:hAnsi="Arial" w:cs="Arial"/>
        </w:rPr>
      </w:pPr>
      <w:r w:rsidRPr="00B34ECC">
        <w:rPr>
          <w:rFonts w:ascii="Arial" w:hAnsi="Arial" w:cs="Arial"/>
        </w:rPr>
        <w:t xml:space="preserve">Formula: </w:t>
      </w:r>
      <w:r w:rsidRPr="008B5A0C">
        <w:rPr>
          <w:rFonts w:ascii="Arial" w:hAnsi="Arial" w:cs="Arial"/>
          <w:highlight w:val="cyan"/>
        </w:rPr>
        <w:t xml:space="preserve">Adjusted Operating Profit </w:t>
      </w:r>
      <w:r w:rsidR="008B5A0C" w:rsidRPr="008B5A0C">
        <w:rPr>
          <w:rFonts w:ascii="Arial" w:hAnsi="Arial" w:cs="Arial"/>
          <w:highlight w:val="cyan"/>
        </w:rPr>
        <w:t>/</w:t>
      </w:r>
      <w:r w:rsidRPr="008B5A0C">
        <w:rPr>
          <w:rFonts w:ascii="Arial" w:hAnsi="Arial" w:cs="Arial"/>
          <w:highlight w:val="cyan"/>
        </w:rPr>
        <w:t xml:space="preserve"> Sales </w:t>
      </w:r>
      <w:r w:rsidR="008B5A0C" w:rsidRPr="008B5A0C">
        <w:rPr>
          <w:rFonts w:ascii="Arial" w:hAnsi="Arial" w:cs="Arial"/>
          <w:highlight w:val="cyan"/>
        </w:rPr>
        <w:t xml:space="preserve">x </w:t>
      </w:r>
      <w:r w:rsidRPr="008B5A0C">
        <w:rPr>
          <w:rFonts w:ascii="Arial" w:hAnsi="Arial" w:cs="Arial"/>
          <w:highlight w:val="cyan"/>
        </w:rPr>
        <w:t>100</w:t>
      </w:r>
    </w:p>
    <w:p w14:paraId="6983DF36" w14:textId="404E3F52" w:rsidR="008B5A0C" w:rsidRDefault="00E247BD" w:rsidP="00B34ECC">
      <w:pPr>
        <w:spacing w:line="480" w:lineRule="auto"/>
        <w:rPr>
          <w:rFonts w:ascii="Arial" w:hAnsi="Arial" w:cs="Arial"/>
        </w:rPr>
      </w:pPr>
      <w:r w:rsidRPr="00B34ECC">
        <w:rPr>
          <w:rFonts w:ascii="Arial" w:hAnsi="Arial" w:cs="Arial"/>
        </w:rPr>
        <w:t xml:space="preserve">Calculation (2024): </w:t>
      </w:r>
      <w:r w:rsidRPr="008B5A0C">
        <w:rPr>
          <w:rFonts w:ascii="Arial" w:hAnsi="Arial" w:cs="Arial"/>
          <w:highlight w:val="cyan"/>
        </w:rPr>
        <w:t xml:space="preserve">2,829 </w:t>
      </w:r>
      <w:r w:rsidR="008B5A0C" w:rsidRPr="008B5A0C">
        <w:rPr>
          <w:rFonts w:ascii="Arial" w:hAnsi="Arial" w:cs="Arial"/>
          <w:highlight w:val="cyan"/>
        </w:rPr>
        <w:t>/</w:t>
      </w:r>
      <w:r w:rsidRPr="008B5A0C">
        <w:rPr>
          <w:rFonts w:ascii="Arial" w:hAnsi="Arial" w:cs="Arial"/>
          <w:highlight w:val="cyan"/>
        </w:rPr>
        <w:t xml:space="preserve"> 61,500 </w:t>
      </w:r>
      <w:r w:rsidR="008B5A0C" w:rsidRPr="008B5A0C">
        <w:rPr>
          <w:rFonts w:ascii="Arial" w:hAnsi="Arial" w:cs="Arial"/>
          <w:highlight w:val="cyan"/>
        </w:rPr>
        <w:t>x</w:t>
      </w:r>
      <w:r w:rsidRPr="008B5A0C">
        <w:rPr>
          <w:rFonts w:ascii="Arial" w:hAnsi="Arial" w:cs="Arial"/>
          <w:highlight w:val="cyan"/>
        </w:rPr>
        <w:t xml:space="preserve"> 100 = 46.0%</w:t>
      </w:r>
    </w:p>
    <w:p w14:paraId="73930754" w14:textId="77777777" w:rsidR="008B5A0C" w:rsidRDefault="00E247BD" w:rsidP="00B34ECC">
      <w:pPr>
        <w:spacing w:line="480" w:lineRule="auto"/>
        <w:rPr>
          <w:rFonts w:ascii="Arial" w:hAnsi="Arial" w:cs="Arial"/>
        </w:rPr>
      </w:pPr>
      <w:r w:rsidRPr="00B34ECC">
        <w:rPr>
          <w:rFonts w:ascii="Arial" w:hAnsi="Arial" w:cs="Arial"/>
        </w:rPr>
        <w:lastRenderedPageBreak/>
        <w:t>Indicating Tesco manages to convert sales to profit efficiently; a point strengthened through their loyalty scheme and innovation with digital shopping (Guo &amp; Wang, 2019).</w:t>
      </w:r>
    </w:p>
    <w:p w14:paraId="60FDDD89" w14:textId="4BD623A9" w:rsidR="008B5A0C" w:rsidRPr="00355A3C" w:rsidRDefault="00E247BD" w:rsidP="008B5A0C">
      <w:pPr>
        <w:pStyle w:val="ListParagraph"/>
        <w:numPr>
          <w:ilvl w:val="0"/>
          <w:numId w:val="2"/>
        </w:numPr>
        <w:spacing w:line="480" w:lineRule="auto"/>
        <w:rPr>
          <w:rFonts w:ascii="Arial" w:hAnsi="Arial" w:cs="Arial"/>
          <w:b/>
          <w:bCs/>
        </w:rPr>
      </w:pPr>
      <w:r w:rsidRPr="00355A3C">
        <w:rPr>
          <w:rFonts w:ascii="Arial" w:hAnsi="Arial" w:cs="Arial"/>
          <w:b/>
          <w:bCs/>
        </w:rPr>
        <w:t xml:space="preserve">Free Cash </w:t>
      </w:r>
      <w:r w:rsidR="00FD2949" w:rsidRPr="00355A3C">
        <w:rPr>
          <w:rFonts w:ascii="Arial" w:hAnsi="Arial" w:cs="Arial"/>
          <w:b/>
          <w:bCs/>
        </w:rPr>
        <w:t>Flow</w:t>
      </w:r>
    </w:p>
    <w:p w14:paraId="589EFA5C" w14:textId="77777777" w:rsidR="00FD2949" w:rsidRDefault="00E247BD" w:rsidP="008B5A0C">
      <w:pPr>
        <w:spacing w:line="480" w:lineRule="auto"/>
        <w:rPr>
          <w:rFonts w:ascii="Arial" w:hAnsi="Arial" w:cs="Arial"/>
        </w:rPr>
      </w:pPr>
      <w:r w:rsidRPr="008B5A0C">
        <w:rPr>
          <w:rFonts w:ascii="Arial" w:hAnsi="Arial" w:cs="Arial"/>
        </w:rPr>
        <w:t xml:space="preserve">Formula: </w:t>
      </w:r>
      <w:r w:rsidRPr="00FD2949">
        <w:rPr>
          <w:rFonts w:ascii="Arial" w:hAnsi="Arial" w:cs="Arial"/>
          <w:highlight w:val="cyan"/>
        </w:rPr>
        <w:t xml:space="preserve">Free Cash Flow </w:t>
      </w:r>
      <w:r w:rsidR="00FD2949" w:rsidRPr="00FD2949">
        <w:rPr>
          <w:rFonts w:ascii="Arial" w:hAnsi="Arial" w:cs="Arial"/>
          <w:highlight w:val="cyan"/>
        </w:rPr>
        <w:t xml:space="preserve">/ </w:t>
      </w:r>
      <w:r w:rsidRPr="00FD2949">
        <w:rPr>
          <w:rFonts w:ascii="Arial" w:hAnsi="Arial" w:cs="Arial"/>
          <w:highlight w:val="cyan"/>
        </w:rPr>
        <w:t xml:space="preserve">Revenue </w:t>
      </w:r>
      <w:r w:rsidR="00FD2949" w:rsidRPr="00FD2949">
        <w:rPr>
          <w:rFonts w:ascii="Arial" w:hAnsi="Arial" w:cs="Arial"/>
          <w:highlight w:val="cyan"/>
        </w:rPr>
        <w:t>x</w:t>
      </w:r>
      <w:r w:rsidRPr="00FD2949">
        <w:rPr>
          <w:rFonts w:ascii="Arial" w:hAnsi="Arial" w:cs="Arial"/>
          <w:highlight w:val="cyan"/>
        </w:rPr>
        <w:t xml:space="preserve"> 100</w:t>
      </w:r>
    </w:p>
    <w:p w14:paraId="1B1982AB" w14:textId="77777777" w:rsidR="00FD2949" w:rsidRDefault="00E247BD" w:rsidP="008B5A0C">
      <w:pPr>
        <w:spacing w:line="480" w:lineRule="auto"/>
        <w:rPr>
          <w:rFonts w:ascii="Arial" w:hAnsi="Arial" w:cs="Arial"/>
        </w:rPr>
      </w:pPr>
      <w:r w:rsidRPr="008B5A0C">
        <w:rPr>
          <w:rFonts w:ascii="Arial" w:hAnsi="Arial" w:cs="Arial"/>
        </w:rPr>
        <w:t xml:space="preserve">Calculation (2024): </w:t>
      </w:r>
      <w:r w:rsidRPr="00FD2949">
        <w:rPr>
          <w:rFonts w:ascii="Arial" w:hAnsi="Arial" w:cs="Arial"/>
          <w:highlight w:val="cyan"/>
        </w:rPr>
        <w:t xml:space="preserve">2,063 </w:t>
      </w:r>
      <w:r w:rsidR="00FD2949" w:rsidRPr="00FD2949">
        <w:rPr>
          <w:rFonts w:ascii="Arial" w:hAnsi="Arial" w:cs="Arial"/>
          <w:highlight w:val="cyan"/>
        </w:rPr>
        <w:t>/</w:t>
      </w:r>
      <w:r w:rsidRPr="00FD2949">
        <w:rPr>
          <w:rFonts w:ascii="Arial" w:hAnsi="Arial" w:cs="Arial"/>
          <w:highlight w:val="cyan"/>
        </w:rPr>
        <w:t xml:space="preserve"> 68,200 </w:t>
      </w:r>
      <w:r w:rsidR="00FD2949" w:rsidRPr="00FD2949">
        <w:rPr>
          <w:rFonts w:ascii="Arial" w:hAnsi="Arial" w:cs="Arial"/>
          <w:highlight w:val="cyan"/>
        </w:rPr>
        <w:t>x</w:t>
      </w:r>
      <w:r w:rsidRPr="00FD2949">
        <w:rPr>
          <w:rFonts w:ascii="Arial" w:hAnsi="Arial" w:cs="Arial"/>
          <w:highlight w:val="cyan"/>
        </w:rPr>
        <w:t xml:space="preserve"> 100 = 30.2%</w:t>
      </w:r>
    </w:p>
    <w:p w14:paraId="4611CDD6" w14:textId="77777777" w:rsidR="00FD2949" w:rsidRDefault="00E247BD" w:rsidP="008B5A0C">
      <w:pPr>
        <w:spacing w:line="480" w:lineRule="auto"/>
        <w:rPr>
          <w:rFonts w:ascii="Arial" w:hAnsi="Arial" w:cs="Arial"/>
        </w:rPr>
      </w:pPr>
      <w:r w:rsidRPr="008B5A0C">
        <w:rPr>
          <w:rFonts w:ascii="Arial" w:hAnsi="Arial" w:cs="Arial"/>
        </w:rPr>
        <w:t>Despite a small drop from 2023, Tesco maintained a healthy liquidity position and became financially capable to reinvest in growth and return capital to shareholders (Warner &amp; Hussain, 2022).</w:t>
      </w:r>
    </w:p>
    <w:p w14:paraId="1BC65F00" w14:textId="3D11AE3C" w:rsidR="00FD2949" w:rsidRPr="00355A3C" w:rsidRDefault="00E247BD" w:rsidP="00FD2949">
      <w:pPr>
        <w:pStyle w:val="ListParagraph"/>
        <w:numPr>
          <w:ilvl w:val="0"/>
          <w:numId w:val="1"/>
        </w:numPr>
        <w:spacing w:line="480" w:lineRule="auto"/>
        <w:rPr>
          <w:rFonts w:ascii="Arial" w:hAnsi="Arial" w:cs="Arial"/>
          <w:b/>
          <w:bCs/>
        </w:rPr>
      </w:pPr>
      <w:r w:rsidRPr="00355A3C">
        <w:rPr>
          <w:rFonts w:ascii="Arial" w:hAnsi="Arial" w:cs="Arial"/>
          <w:b/>
          <w:bCs/>
        </w:rPr>
        <w:t xml:space="preserve">Performance </w:t>
      </w:r>
      <w:r w:rsidR="00FD2949" w:rsidRPr="00355A3C">
        <w:rPr>
          <w:rFonts w:ascii="Arial" w:hAnsi="Arial" w:cs="Arial"/>
          <w:b/>
          <w:bCs/>
        </w:rPr>
        <w:t>Discussion</w:t>
      </w:r>
    </w:p>
    <w:p w14:paraId="0A43EC21" w14:textId="77777777" w:rsidR="00FD2949" w:rsidRDefault="00E247BD" w:rsidP="008B5A0C">
      <w:pPr>
        <w:spacing w:line="480" w:lineRule="auto"/>
        <w:rPr>
          <w:rFonts w:ascii="Arial" w:hAnsi="Arial" w:cs="Arial"/>
        </w:rPr>
      </w:pPr>
      <w:r w:rsidRPr="008B5A0C">
        <w:rPr>
          <w:rFonts w:ascii="Arial" w:hAnsi="Arial" w:cs="Arial"/>
        </w:rPr>
        <w:t>Tesco’s a quick recovery in the financial performance from FY2023 to 2024 is attributable to well considered and executed core strategies focused on efficiency, portfolio optimi</w:t>
      </w:r>
      <w:r w:rsidR="00FD2949">
        <w:rPr>
          <w:rFonts w:ascii="Arial" w:hAnsi="Arial" w:cs="Arial"/>
        </w:rPr>
        <w:t>s</w:t>
      </w:r>
      <w:r w:rsidRPr="008B5A0C">
        <w:rPr>
          <w:rFonts w:ascii="Arial" w:hAnsi="Arial" w:cs="Arial"/>
        </w:rPr>
        <w:t xml:space="preserve">ation, and digital transformation. </w:t>
      </w:r>
      <w:r w:rsidR="00FD2949" w:rsidRPr="008B5A0C">
        <w:rPr>
          <w:rFonts w:ascii="Arial" w:hAnsi="Arial" w:cs="Arial"/>
        </w:rPr>
        <w:t>All</w:t>
      </w:r>
      <w:r w:rsidRPr="008B5A0C">
        <w:rPr>
          <w:rFonts w:ascii="Arial" w:hAnsi="Arial" w:cs="Arial"/>
        </w:rPr>
        <w:t xml:space="preserve"> this supported Tesco's recovery from the previous year </w:t>
      </w:r>
      <w:r w:rsidR="00FD2949">
        <w:rPr>
          <w:rFonts w:ascii="Arial" w:hAnsi="Arial" w:cs="Arial"/>
        </w:rPr>
        <w:t>and</w:t>
      </w:r>
      <w:r w:rsidRPr="008B5A0C">
        <w:rPr>
          <w:rFonts w:ascii="Arial" w:hAnsi="Arial" w:cs="Arial"/>
        </w:rPr>
        <w:t xml:space="preserve"> emerged in a stronger position than some competitors. The factors focused on affordability, customer experience and internal cost control were driving profits and returns (Tesco PLC, 2024).</w:t>
      </w:r>
    </w:p>
    <w:p w14:paraId="74056D6A" w14:textId="2F5F3809" w:rsidR="00FD2949" w:rsidRDefault="00355A3C" w:rsidP="008B5A0C">
      <w:pPr>
        <w:spacing w:line="480" w:lineRule="auto"/>
        <w:rPr>
          <w:rFonts w:ascii="Arial" w:hAnsi="Arial" w:cs="Arial"/>
        </w:rPr>
      </w:pPr>
      <w:r>
        <w:rPr>
          <w:rFonts w:ascii="Arial" w:hAnsi="Arial" w:cs="Arial"/>
        </w:rPr>
        <w:t>T</w:t>
      </w:r>
      <w:r w:rsidR="00E247BD" w:rsidRPr="008B5A0C">
        <w:rPr>
          <w:rFonts w:ascii="Arial" w:hAnsi="Arial" w:cs="Arial"/>
        </w:rPr>
        <w:t xml:space="preserve">he most significant strategic decision during this period was the streamlining of Tesco’s banking operations. Tesco </w:t>
      </w:r>
      <w:r w:rsidR="00FD2949">
        <w:rPr>
          <w:rFonts w:ascii="Arial" w:hAnsi="Arial" w:cs="Arial"/>
        </w:rPr>
        <w:t>eliminated</w:t>
      </w:r>
      <w:r w:rsidR="00E247BD" w:rsidRPr="008B5A0C">
        <w:rPr>
          <w:rFonts w:ascii="Arial" w:hAnsi="Arial" w:cs="Arial"/>
        </w:rPr>
        <w:t xml:space="preserve"> its credit card business and unsecured personal loan portfolio which reduced its exposure to the regulatory requirements for provisioning and allowed it to refocus efforts back on its retail operations. By simplifying Tesco's operational complexity and refocusing efforts, Tesco accessed higher margin and higher frequency consumer segments of business, which enhanced its core business as well as shareholder value (Chen, 2022).</w:t>
      </w:r>
    </w:p>
    <w:p w14:paraId="709C0911" w14:textId="77777777" w:rsidR="00FD2949" w:rsidRDefault="00E247BD" w:rsidP="008B5A0C">
      <w:pPr>
        <w:spacing w:line="480" w:lineRule="auto"/>
        <w:rPr>
          <w:rFonts w:ascii="Arial" w:hAnsi="Arial" w:cs="Arial"/>
        </w:rPr>
      </w:pPr>
      <w:r w:rsidRPr="008B5A0C">
        <w:rPr>
          <w:rFonts w:ascii="Arial" w:hAnsi="Arial" w:cs="Arial"/>
        </w:rPr>
        <w:lastRenderedPageBreak/>
        <w:t xml:space="preserve">Restructuring efforts had immediate financial positive implications. Operational profit nearly doubled over last year, from £1.5b to £2.8b, with a profit before tax increase of over 128%. Revenue growth was a result of improved efficiency with restructuring but also as a dividend of </w:t>
      </w:r>
      <w:r w:rsidR="00FD2949">
        <w:rPr>
          <w:rFonts w:ascii="Arial" w:hAnsi="Arial" w:cs="Arial"/>
        </w:rPr>
        <w:t>eliminating</w:t>
      </w:r>
      <w:r w:rsidRPr="008B5A0C">
        <w:rPr>
          <w:rFonts w:ascii="Arial" w:hAnsi="Arial" w:cs="Arial"/>
        </w:rPr>
        <w:t xml:space="preserve"> non-core business segments.</w:t>
      </w:r>
      <w:r w:rsidR="00FD2949">
        <w:rPr>
          <w:rFonts w:ascii="Arial" w:hAnsi="Arial" w:cs="Arial"/>
        </w:rPr>
        <w:t xml:space="preserve"> </w:t>
      </w:r>
      <w:r w:rsidRPr="008B5A0C">
        <w:rPr>
          <w:rFonts w:ascii="Arial" w:hAnsi="Arial" w:cs="Arial"/>
        </w:rPr>
        <w:t xml:space="preserve">According to </w:t>
      </w:r>
      <w:proofErr w:type="spellStart"/>
      <w:r w:rsidRPr="008B5A0C">
        <w:rPr>
          <w:rFonts w:ascii="Arial" w:hAnsi="Arial" w:cs="Arial"/>
        </w:rPr>
        <w:t>Sharmaa</w:t>
      </w:r>
      <w:proofErr w:type="spellEnd"/>
      <w:r w:rsidRPr="008B5A0C">
        <w:rPr>
          <w:rFonts w:ascii="Arial" w:hAnsi="Arial" w:cs="Arial"/>
        </w:rPr>
        <w:t xml:space="preserve">, Jain, and </w:t>
      </w:r>
      <w:proofErr w:type="spellStart"/>
      <w:r w:rsidRPr="008B5A0C">
        <w:rPr>
          <w:rFonts w:ascii="Arial" w:hAnsi="Arial" w:cs="Arial"/>
        </w:rPr>
        <w:t>Pajni</w:t>
      </w:r>
      <w:proofErr w:type="spellEnd"/>
      <w:r w:rsidRPr="008B5A0C">
        <w:rPr>
          <w:rFonts w:ascii="Arial" w:hAnsi="Arial" w:cs="Arial"/>
        </w:rPr>
        <w:t xml:space="preserve"> (2022), retailers that streamlined operations and mitigated exposure to volatile segments were more </w:t>
      </w:r>
      <w:r w:rsidR="00FD2949">
        <w:rPr>
          <w:rFonts w:ascii="Arial" w:hAnsi="Arial" w:cs="Arial"/>
        </w:rPr>
        <w:t>flexible</w:t>
      </w:r>
      <w:r w:rsidRPr="008B5A0C">
        <w:rPr>
          <w:rFonts w:ascii="Arial" w:hAnsi="Arial" w:cs="Arial"/>
        </w:rPr>
        <w:t xml:space="preserve"> in navigating economic uncertainty. During the pandemic, Tesco also focused on digital innovation, capitali</w:t>
      </w:r>
      <w:r w:rsidR="00FD2949">
        <w:rPr>
          <w:rFonts w:ascii="Arial" w:hAnsi="Arial" w:cs="Arial"/>
        </w:rPr>
        <w:t>si</w:t>
      </w:r>
      <w:r w:rsidRPr="008B5A0C">
        <w:rPr>
          <w:rFonts w:ascii="Arial" w:hAnsi="Arial" w:cs="Arial"/>
        </w:rPr>
        <w:t>ng on the expansion of online services, enhanced personali</w:t>
      </w:r>
      <w:r w:rsidR="00FD2949">
        <w:rPr>
          <w:rFonts w:ascii="Arial" w:hAnsi="Arial" w:cs="Arial"/>
        </w:rPr>
        <w:t>s</w:t>
      </w:r>
      <w:r w:rsidRPr="008B5A0C">
        <w:rPr>
          <w:rFonts w:ascii="Arial" w:hAnsi="Arial" w:cs="Arial"/>
        </w:rPr>
        <w:t xml:space="preserve">ation via Clubcard, and leveraging existing dunnhumby-created campaigns to respond quickly to changing consumer preferences. </w:t>
      </w:r>
    </w:p>
    <w:p w14:paraId="03079C43" w14:textId="77777777" w:rsidR="00B32EC3" w:rsidRDefault="00E247BD" w:rsidP="008B5A0C">
      <w:pPr>
        <w:spacing w:line="480" w:lineRule="auto"/>
        <w:rPr>
          <w:rFonts w:ascii="Arial" w:hAnsi="Arial" w:cs="Arial"/>
        </w:rPr>
      </w:pPr>
      <w:r w:rsidRPr="008B5A0C">
        <w:rPr>
          <w:rFonts w:ascii="Arial" w:hAnsi="Arial" w:cs="Arial"/>
        </w:rPr>
        <w:t xml:space="preserve">Tesco introduced new product features, including digital coupons that could be tailored to individuals, and it also extended its rapid delivery service, Whoosh, to over 1,000 locations (Tesco PLC, 2024). The digital communication enhanced customer retention and top line performance. From a customer perspective, Tesco was able to clearly deliver value via reduced product pricing and convenience. The retailer permanently lowered prices on over 4,000 distinct products across key grocery categories, which together with loyalty-driven promotions like Clubcard Prices, allowed Tesco to maintain Clubcard penetration above 80% in the UK and over 75% in Central Europe (Smith, 2023). </w:t>
      </w:r>
    </w:p>
    <w:p w14:paraId="2A186FED" w14:textId="12AEE4B3" w:rsidR="00B32EC3" w:rsidRDefault="00E247BD" w:rsidP="008B5A0C">
      <w:pPr>
        <w:spacing w:line="480" w:lineRule="auto"/>
        <w:rPr>
          <w:rFonts w:ascii="Arial" w:hAnsi="Arial" w:cs="Arial"/>
        </w:rPr>
      </w:pPr>
      <w:r w:rsidRPr="008B5A0C">
        <w:rPr>
          <w:rFonts w:ascii="Arial" w:hAnsi="Arial" w:cs="Arial"/>
        </w:rPr>
        <w:t xml:space="preserve">Clubcard promoted direct interaction with </w:t>
      </w:r>
      <w:r w:rsidR="00B32EC3" w:rsidRPr="008B5A0C">
        <w:rPr>
          <w:rFonts w:ascii="Arial" w:hAnsi="Arial" w:cs="Arial"/>
        </w:rPr>
        <w:t>customers and</w:t>
      </w:r>
      <w:r w:rsidRPr="008B5A0C">
        <w:rPr>
          <w:rFonts w:ascii="Arial" w:hAnsi="Arial" w:cs="Arial"/>
        </w:rPr>
        <w:t xml:space="preserve"> provided Tesco with the same ability to collect and </w:t>
      </w:r>
      <w:r w:rsidR="00B32EC3" w:rsidRPr="008B5A0C">
        <w:rPr>
          <w:rFonts w:ascii="Arial" w:hAnsi="Arial" w:cs="Arial"/>
        </w:rPr>
        <w:t>analyse</w:t>
      </w:r>
      <w:r w:rsidRPr="008B5A0C">
        <w:rPr>
          <w:rFonts w:ascii="Arial" w:hAnsi="Arial" w:cs="Arial"/>
        </w:rPr>
        <w:t xml:space="preserve"> customer transactional data at scale, enabling Tesco to personali</w:t>
      </w:r>
      <w:r w:rsidR="00B32EC3">
        <w:rPr>
          <w:rFonts w:ascii="Arial" w:hAnsi="Arial" w:cs="Arial"/>
        </w:rPr>
        <w:t>s</w:t>
      </w:r>
      <w:r w:rsidRPr="008B5A0C">
        <w:rPr>
          <w:rFonts w:ascii="Arial" w:hAnsi="Arial" w:cs="Arial"/>
        </w:rPr>
        <w:t xml:space="preserve">e its marketing </w:t>
      </w:r>
      <w:r w:rsidR="00B32EC3" w:rsidRPr="008B5A0C">
        <w:rPr>
          <w:rFonts w:ascii="Arial" w:hAnsi="Arial" w:cs="Arial"/>
        </w:rPr>
        <w:t>strategies. Moreover</w:t>
      </w:r>
      <w:r w:rsidRPr="008B5A0C">
        <w:rPr>
          <w:rFonts w:ascii="Arial" w:hAnsi="Arial" w:cs="Arial"/>
        </w:rPr>
        <w:t xml:space="preserve">, Tesco’s connections with suppliers continued to offer a competitive advantage. In the Advantage Group survey, suppliers rated Tesco the number one UK grocer for the eighth consecutive year, and suppliers commented on the collaborative engagement and pricing </w:t>
      </w:r>
      <w:r w:rsidRPr="008B5A0C">
        <w:rPr>
          <w:rFonts w:ascii="Arial" w:hAnsi="Arial" w:cs="Arial"/>
        </w:rPr>
        <w:lastRenderedPageBreak/>
        <w:t xml:space="preserve">transparency they experienced with Tesco. Tesco’s £27.5 million support for the UK egg sector is one example of how the company stood in solidarity with suppliers during inflationary times associated with rising input </w:t>
      </w:r>
      <w:r w:rsidR="00B32EC3">
        <w:rPr>
          <w:rFonts w:ascii="Arial" w:hAnsi="Arial" w:cs="Arial"/>
        </w:rPr>
        <w:t>costs.</w:t>
      </w:r>
    </w:p>
    <w:p w14:paraId="39EDF720" w14:textId="77777777" w:rsidR="00B32EC3" w:rsidRDefault="00B32EC3" w:rsidP="008B5A0C">
      <w:pPr>
        <w:spacing w:line="480" w:lineRule="auto"/>
        <w:rPr>
          <w:rFonts w:ascii="Arial" w:hAnsi="Arial" w:cs="Arial"/>
        </w:rPr>
      </w:pPr>
      <w:r>
        <w:rPr>
          <w:rFonts w:ascii="Arial" w:hAnsi="Arial" w:cs="Arial"/>
        </w:rPr>
        <w:t>S</w:t>
      </w:r>
      <w:r w:rsidR="00E247BD" w:rsidRPr="008B5A0C">
        <w:rPr>
          <w:rFonts w:ascii="Arial" w:hAnsi="Arial" w:cs="Arial"/>
        </w:rPr>
        <w:t xml:space="preserve">upplier partnerships played a key role in the grocery retailer's successfully delivering shelf availability and price continuousness in times of global supply disruption. At the financial level, the company also displayed capital discipline. Net debt fell by 7% to under £10 billion, with the group suffering only a marginal decline from the prior year, maintaining significant liquidity to site free cash flow of over £2 billion. </w:t>
      </w:r>
    </w:p>
    <w:p w14:paraId="5F2D8E71" w14:textId="71BE6482" w:rsidR="00B32EC3" w:rsidRPr="00355A3C" w:rsidRDefault="00E247BD" w:rsidP="00B32EC3">
      <w:pPr>
        <w:pStyle w:val="ListParagraph"/>
        <w:numPr>
          <w:ilvl w:val="0"/>
          <w:numId w:val="1"/>
        </w:numPr>
        <w:spacing w:line="480" w:lineRule="auto"/>
        <w:rPr>
          <w:rFonts w:ascii="Arial" w:hAnsi="Arial" w:cs="Arial"/>
          <w:b/>
          <w:bCs/>
        </w:rPr>
      </w:pPr>
      <w:r w:rsidRPr="00355A3C">
        <w:rPr>
          <w:rFonts w:ascii="Arial" w:hAnsi="Arial" w:cs="Arial"/>
          <w:b/>
          <w:bCs/>
        </w:rPr>
        <w:t xml:space="preserve">Recommendations </w:t>
      </w:r>
    </w:p>
    <w:p w14:paraId="7A1E04A1" w14:textId="77777777" w:rsidR="00B32EC3" w:rsidRDefault="00E247BD" w:rsidP="00B32EC3">
      <w:pPr>
        <w:spacing w:line="480" w:lineRule="auto"/>
        <w:rPr>
          <w:rFonts w:ascii="Arial" w:hAnsi="Arial" w:cs="Arial"/>
        </w:rPr>
      </w:pPr>
      <w:r w:rsidRPr="00B32EC3">
        <w:rPr>
          <w:rFonts w:ascii="Arial" w:hAnsi="Arial" w:cs="Arial"/>
        </w:rPr>
        <w:t xml:space="preserve">The recommendations below although presented to improve Tesco's financial sustainability and its wider responsibilities around environmental sustainability, do also position Tesco as competitive in a global context. </w:t>
      </w:r>
    </w:p>
    <w:p w14:paraId="014198FF" w14:textId="32B917E9" w:rsidR="00B32EC3" w:rsidRPr="00355A3C" w:rsidRDefault="00E247BD" w:rsidP="00B32EC3">
      <w:pPr>
        <w:pStyle w:val="ListParagraph"/>
        <w:numPr>
          <w:ilvl w:val="0"/>
          <w:numId w:val="3"/>
        </w:numPr>
        <w:spacing w:line="480" w:lineRule="auto"/>
        <w:rPr>
          <w:rFonts w:ascii="Arial" w:hAnsi="Arial" w:cs="Arial"/>
          <w:b/>
          <w:bCs/>
        </w:rPr>
      </w:pPr>
      <w:r w:rsidRPr="00355A3C">
        <w:rPr>
          <w:rFonts w:ascii="Arial" w:hAnsi="Arial" w:cs="Arial"/>
          <w:b/>
          <w:bCs/>
        </w:rPr>
        <w:t>Further Invest in Digital Supply Chains</w:t>
      </w:r>
    </w:p>
    <w:p w14:paraId="20C1496A" w14:textId="322A2EB1" w:rsidR="00B32EC3" w:rsidRDefault="00E247BD" w:rsidP="00B32EC3">
      <w:pPr>
        <w:spacing w:line="480" w:lineRule="auto"/>
        <w:rPr>
          <w:rFonts w:ascii="Arial" w:hAnsi="Arial" w:cs="Arial"/>
        </w:rPr>
      </w:pPr>
      <w:r w:rsidRPr="00B32EC3">
        <w:rPr>
          <w:rFonts w:ascii="Arial" w:hAnsi="Arial" w:cs="Arial"/>
        </w:rPr>
        <w:t>Tesco would benefit from further capitali</w:t>
      </w:r>
      <w:r w:rsidR="00B32EC3">
        <w:rPr>
          <w:rFonts w:ascii="Arial" w:hAnsi="Arial" w:cs="Arial"/>
        </w:rPr>
        <w:t>s</w:t>
      </w:r>
      <w:r w:rsidRPr="00B32EC3">
        <w:rPr>
          <w:rFonts w:ascii="Arial" w:hAnsi="Arial" w:cs="Arial"/>
        </w:rPr>
        <w:t xml:space="preserve">ing on the data science business, dunnhumby, capabilities in predictive inventory management systems and the use of real-time analytics to support decision making. Predictive inventory management demand forecasting with lower inventory carrying costs contribute to lower waste levels. Automation at distribution </w:t>
      </w:r>
      <w:r w:rsidR="00B32EC3" w:rsidRPr="00B32EC3">
        <w:rPr>
          <w:rFonts w:ascii="Arial" w:hAnsi="Arial" w:cs="Arial"/>
        </w:rPr>
        <w:t>centres</w:t>
      </w:r>
      <w:r w:rsidRPr="00B32EC3">
        <w:rPr>
          <w:rFonts w:ascii="Arial" w:hAnsi="Arial" w:cs="Arial"/>
        </w:rPr>
        <w:t xml:space="preserve"> could allow an improvement in time and effort, AI logistics planning is another avenue to gain a better total logistics operational margin (Smith, 2023). </w:t>
      </w:r>
    </w:p>
    <w:p w14:paraId="6AA0A71D" w14:textId="77777777" w:rsidR="00355A3C" w:rsidRDefault="00355A3C" w:rsidP="00B32EC3">
      <w:pPr>
        <w:spacing w:line="480" w:lineRule="auto"/>
        <w:rPr>
          <w:rFonts w:ascii="Arial" w:hAnsi="Arial" w:cs="Arial"/>
        </w:rPr>
      </w:pPr>
    </w:p>
    <w:p w14:paraId="6E6A6D0C" w14:textId="77777777" w:rsidR="00355A3C" w:rsidRDefault="00355A3C" w:rsidP="00B32EC3">
      <w:pPr>
        <w:spacing w:line="480" w:lineRule="auto"/>
        <w:rPr>
          <w:rFonts w:ascii="Arial" w:hAnsi="Arial" w:cs="Arial"/>
        </w:rPr>
      </w:pPr>
    </w:p>
    <w:p w14:paraId="272A91FB" w14:textId="27916EA9" w:rsidR="00B32EC3" w:rsidRPr="00A941BC" w:rsidRDefault="00E247BD" w:rsidP="00B32EC3">
      <w:pPr>
        <w:pStyle w:val="ListParagraph"/>
        <w:numPr>
          <w:ilvl w:val="0"/>
          <w:numId w:val="3"/>
        </w:numPr>
        <w:spacing w:line="480" w:lineRule="auto"/>
        <w:rPr>
          <w:rFonts w:ascii="Arial" w:hAnsi="Arial" w:cs="Arial"/>
          <w:b/>
          <w:bCs/>
        </w:rPr>
      </w:pPr>
      <w:r w:rsidRPr="00A941BC">
        <w:rPr>
          <w:rFonts w:ascii="Arial" w:hAnsi="Arial" w:cs="Arial"/>
          <w:b/>
          <w:bCs/>
        </w:rPr>
        <w:lastRenderedPageBreak/>
        <w:t>Support Green Infrastructure and Sustainab</w:t>
      </w:r>
      <w:r w:rsidR="00355A3C">
        <w:rPr>
          <w:rFonts w:ascii="Arial" w:hAnsi="Arial" w:cs="Arial"/>
          <w:b/>
          <w:bCs/>
        </w:rPr>
        <w:t>ility</w:t>
      </w:r>
    </w:p>
    <w:p w14:paraId="7DA9E7CE" w14:textId="77777777" w:rsidR="00B32EC3" w:rsidRDefault="00E247BD" w:rsidP="00B32EC3">
      <w:pPr>
        <w:spacing w:line="480" w:lineRule="auto"/>
        <w:rPr>
          <w:rFonts w:ascii="Arial" w:hAnsi="Arial" w:cs="Arial"/>
        </w:rPr>
      </w:pPr>
      <w:r w:rsidRPr="00B32EC3">
        <w:rPr>
          <w:rFonts w:ascii="Arial" w:hAnsi="Arial" w:cs="Arial"/>
        </w:rPr>
        <w:t xml:space="preserve">Tesco has made impressive strides toward its environmental aims including a 61% reduction in Scope 1 and 2 emissions since 2015 and the removal of over 2.3 billion plastic items from use (Tesco PLC, 2024). Tesco should do even more by investing in renewable energy development across stores and warehouses, expanding its electric vehicle fleet for home deliveries, and developing carbon offset programs. </w:t>
      </w:r>
      <w:r w:rsidR="00B32EC3" w:rsidRPr="00B32EC3">
        <w:rPr>
          <w:rFonts w:ascii="Arial" w:hAnsi="Arial" w:cs="Arial"/>
        </w:rPr>
        <w:t>All</w:t>
      </w:r>
      <w:r w:rsidRPr="00B32EC3">
        <w:rPr>
          <w:rFonts w:ascii="Arial" w:hAnsi="Arial" w:cs="Arial"/>
        </w:rPr>
        <w:t xml:space="preserve"> these initiatives clearly support Tesco's commitment to carbon neutrality by 2035 (</w:t>
      </w:r>
      <w:proofErr w:type="spellStart"/>
      <w:r w:rsidRPr="00B32EC3">
        <w:rPr>
          <w:rFonts w:ascii="Arial" w:hAnsi="Arial" w:cs="Arial"/>
        </w:rPr>
        <w:t>Faccia</w:t>
      </w:r>
      <w:proofErr w:type="spellEnd"/>
      <w:r w:rsidRPr="00B32EC3">
        <w:rPr>
          <w:rFonts w:ascii="Arial" w:hAnsi="Arial" w:cs="Arial"/>
        </w:rPr>
        <w:t xml:space="preserve">, McDonald, and George, 2023) and protect against regulatory risk in the future. </w:t>
      </w:r>
    </w:p>
    <w:p w14:paraId="289A2EEE" w14:textId="7863A674" w:rsidR="00B32EC3" w:rsidRPr="00A941BC" w:rsidRDefault="00E247BD" w:rsidP="00B32EC3">
      <w:pPr>
        <w:pStyle w:val="ListParagraph"/>
        <w:numPr>
          <w:ilvl w:val="0"/>
          <w:numId w:val="3"/>
        </w:numPr>
        <w:spacing w:line="480" w:lineRule="auto"/>
        <w:rPr>
          <w:rFonts w:ascii="Arial" w:hAnsi="Arial" w:cs="Arial"/>
          <w:b/>
          <w:bCs/>
        </w:rPr>
      </w:pPr>
      <w:r w:rsidRPr="00A941BC">
        <w:rPr>
          <w:rFonts w:ascii="Arial" w:hAnsi="Arial" w:cs="Arial"/>
          <w:b/>
          <w:bCs/>
        </w:rPr>
        <w:t>International Growth</w:t>
      </w:r>
    </w:p>
    <w:p w14:paraId="6C19A6DF" w14:textId="77777777" w:rsidR="00A941BC" w:rsidRDefault="00E247BD" w:rsidP="00B32EC3">
      <w:pPr>
        <w:spacing w:line="480" w:lineRule="auto"/>
        <w:rPr>
          <w:rFonts w:ascii="Arial" w:hAnsi="Arial" w:cs="Arial"/>
        </w:rPr>
      </w:pPr>
      <w:r w:rsidRPr="00B32EC3">
        <w:rPr>
          <w:rFonts w:ascii="Arial" w:hAnsi="Arial" w:cs="Arial"/>
        </w:rPr>
        <w:t xml:space="preserve">The UK market is, and will likely continue to be, Tesco's strategic strength. As for international growth, most of which is in Central Europe, has been a key feature of the company and should be addressed carefully going forward. Franchises or non-capital and asset-light strategies would seem to be the best course of action. Limiting capital exposure while gaining growth and a share of the market provides an opportunity and potential diversification for Tesco while achieving a return on investment (Kumar, Reddy, and Krishna, 2022). </w:t>
      </w:r>
    </w:p>
    <w:p w14:paraId="6713CD64" w14:textId="77777777" w:rsidR="00A941BC" w:rsidRDefault="00A941BC" w:rsidP="00B32EC3">
      <w:pPr>
        <w:spacing w:line="480" w:lineRule="auto"/>
        <w:rPr>
          <w:rFonts w:ascii="Arial" w:hAnsi="Arial" w:cs="Arial"/>
        </w:rPr>
      </w:pPr>
    </w:p>
    <w:p w14:paraId="16C1CBD2" w14:textId="77777777" w:rsidR="00A941BC" w:rsidRDefault="00A941BC" w:rsidP="00B32EC3">
      <w:pPr>
        <w:spacing w:line="480" w:lineRule="auto"/>
        <w:rPr>
          <w:rFonts w:ascii="Arial" w:hAnsi="Arial" w:cs="Arial"/>
        </w:rPr>
      </w:pPr>
    </w:p>
    <w:p w14:paraId="70489FBB" w14:textId="77777777" w:rsidR="00A941BC" w:rsidRDefault="00A941BC" w:rsidP="00B32EC3">
      <w:pPr>
        <w:spacing w:line="480" w:lineRule="auto"/>
        <w:rPr>
          <w:rFonts w:ascii="Arial" w:hAnsi="Arial" w:cs="Arial"/>
        </w:rPr>
      </w:pPr>
    </w:p>
    <w:p w14:paraId="77C94F82" w14:textId="77777777" w:rsidR="00A941BC" w:rsidRDefault="00A941BC" w:rsidP="00B32EC3">
      <w:pPr>
        <w:spacing w:line="480" w:lineRule="auto"/>
        <w:rPr>
          <w:rFonts w:ascii="Arial" w:hAnsi="Arial" w:cs="Arial"/>
        </w:rPr>
      </w:pPr>
    </w:p>
    <w:p w14:paraId="66DE5480" w14:textId="77777777" w:rsidR="00A941BC" w:rsidRDefault="00A941BC" w:rsidP="00B32EC3">
      <w:pPr>
        <w:spacing w:line="480" w:lineRule="auto"/>
        <w:rPr>
          <w:rFonts w:ascii="Arial" w:hAnsi="Arial" w:cs="Arial"/>
        </w:rPr>
      </w:pPr>
    </w:p>
    <w:p w14:paraId="4DEAC6F0" w14:textId="77777777" w:rsidR="00A941BC" w:rsidRDefault="00A941BC" w:rsidP="00B32EC3">
      <w:pPr>
        <w:spacing w:line="480" w:lineRule="auto"/>
        <w:rPr>
          <w:rFonts w:ascii="Arial" w:hAnsi="Arial" w:cs="Arial"/>
        </w:rPr>
      </w:pPr>
    </w:p>
    <w:p w14:paraId="06E4778F" w14:textId="2ABCA699" w:rsidR="00A941BC" w:rsidRPr="00A941BC" w:rsidRDefault="00E247BD" w:rsidP="00A941BC">
      <w:pPr>
        <w:pStyle w:val="ListParagraph"/>
        <w:numPr>
          <w:ilvl w:val="0"/>
          <w:numId w:val="1"/>
        </w:numPr>
        <w:spacing w:line="480" w:lineRule="auto"/>
        <w:rPr>
          <w:rFonts w:ascii="Arial" w:hAnsi="Arial" w:cs="Arial"/>
          <w:b/>
          <w:bCs/>
        </w:rPr>
      </w:pPr>
      <w:r w:rsidRPr="00A941BC">
        <w:rPr>
          <w:rFonts w:ascii="Arial" w:hAnsi="Arial" w:cs="Arial"/>
          <w:b/>
          <w:bCs/>
        </w:rPr>
        <w:lastRenderedPageBreak/>
        <w:t>Conclusion</w:t>
      </w:r>
    </w:p>
    <w:p w14:paraId="60D74E5E" w14:textId="0316424F" w:rsidR="00A941BC" w:rsidRDefault="00E247BD" w:rsidP="00B32EC3">
      <w:pPr>
        <w:spacing w:line="480" w:lineRule="auto"/>
        <w:rPr>
          <w:rFonts w:ascii="Arial" w:hAnsi="Arial" w:cs="Arial"/>
        </w:rPr>
      </w:pPr>
      <w:r w:rsidRPr="00B32EC3">
        <w:rPr>
          <w:rFonts w:ascii="Arial" w:hAnsi="Arial" w:cs="Arial"/>
        </w:rPr>
        <w:t>Tesco’s 2023 to 2024 performance shows how strategic clarity, operational efficiency, and customer focus lead to sustainable profit in an uncertain retail environment. Tesco has achieved major improvements in financial metrics and customer satisfaction with smart cost control, operational simplification, and targeted investments in technology and sustainability. Ratio analysis shows Tesco doubled its operating and then net profit margins with an EPS performance boosting from 143% appoints to free cash flow continuing strong performance patterns. Each of these characteristics characteri</w:t>
      </w:r>
      <w:r w:rsidR="00A941BC">
        <w:rPr>
          <w:rFonts w:ascii="Arial" w:hAnsi="Arial" w:cs="Arial"/>
        </w:rPr>
        <w:t>s</w:t>
      </w:r>
      <w:r w:rsidRPr="00B32EC3">
        <w:rPr>
          <w:rFonts w:ascii="Arial" w:hAnsi="Arial" w:cs="Arial"/>
        </w:rPr>
        <w:t xml:space="preserve">es a good business-sustainable, strong, and well managed. These outcomes justify Tesco's brand strategy of focusing on core retail and </w:t>
      </w:r>
      <w:r w:rsidR="00A941BC">
        <w:rPr>
          <w:rFonts w:ascii="Arial" w:hAnsi="Arial" w:cs="Arial"/>
        </w:rPr>
        <w:t>removing</w:t>
      </w:r>
      <w:r w:rsidRPr="00B32EC3">
        <w:rPr>
          <w:rFonts w:ascii="Arial" w:hAnsi="Arial" w:cs="Arial"/>
        </w:rPr>
        <w:t xml:space="preserve"> from adjunct banking financial services and still pursuing commitment to pricing leadership and re-investment in distinctive digital innovation strategy.</w:t>
      </w:r>
    </w:p>
    <w:p w14:paraId="563A6F9A" w14:textId="07FA8634" w:rsidR="00E247BD" w:rsidRDefault="00E247BD" w:rsidP="00B32EC3">
      <w:pPr>
        <w:spacing w:line="480" w:lineRule="auto"/>
        <w:rPr>
          <w:rFonts w:ascii="Arial" w:hAnsi="Arial" w:cs="Arial"/>
        </w:rPr>
      </w:pPr>
      <w:r w:rsidRPr="00B32EC3">
        <w:rPr>
          <w:rFonts w:ascii="Arial" w:hAnsi="Arial" w:cs="Arial"/>
        </w:rPr>
        <w:t>The technology investment in data as an infrastructure, renewable energy, and user engagement platforms for consumers and retailers will be key metrics of performativity and retention of UK retail market leadership and the rate of global development. In conclusion, Tesco is on a sound financial track, but success will relate to scale, innovation, sustainability, and developed international complexity. Tesco can and will protect its gains and ultimately pursue an ethical sustainable and inclusive customer, employee, and shareholder future wellbeing.</w:t>
      </w:r>
    </w:p>
    <w:p w14:paraId="75741D96" w14:textId="77777777" w:rsidR="00A941BC" w:rsidRDefault="00A941BC" w:rsidP="00B32EC3">
      <w:pPr>
        <w:spacing w:line="480" w:lineRule="auto"/>
        <w:rPr>
          <w:rFonts w:ascii="Arial" w:hAnsi="Arial" w:cs="Arial"/>
        </w:rPr>
      </w:pPr>
    </w:p>
    <w:p w14:paraId="4F029DB0" w14:textId="77777777" w:rsidR="00A941BC" w:rsidRDefault="00A941BC" w:rsidP="00B32EC3">
      <w:pPr>
        <w:spacing w:line="480" w:lineRule="auto"/>
        <w:rPr>
          <w:rFonts w:ascii="Arial" w:hAnsi="Arial" w:cs="Arial"/>
        </w:rPr>
      </w:pPr>
    </w:p>
    <w:p w14:paraId="6518D1FE" w14:textId="77777777" w:rsidR="00A941BC" w:rsidRDefault="00A941BC" w:rsidP="00B32EC3">
      <w:pPr>
        <w:spacing w:line="480" w:lineRule="auto"/>
        <w:rPr>
          <w:rFonts w:ascii="Arial" w:hAnsi="Arial" w:cs="Arial"/>
        </w:rPr>
      </w:pPr>
    </w:p>
    <w:p w14:paraId="43E40974" w14:textId="77777777" w:rsidR="00A941BC" w:rsidRDefault="00A941BC" w:rsidP="00B32EC3">
      <w:pPr>
        <w:spacing w:line="480" w:lineRule="auto"/>
        <w:rPr>
          <w:rFonts w:ascii="Arial" w:hAnsi="Arial" w:cs="Arial"/>
        </w:rPr>
      </w:pPr>
    </w:p>
    <w:p w14:paraId="53EA5479" w14:textId="1C609264" w:rsidR="00A941BC" w:rsidRPr="00A941BC" w:rsidRDefault="00A941BC" w:rsidP="00B32EC3">
      <w:pPr>
        <w:spacing w:line="480" w:lineRule="auto"/>
        <w:rPr>
          <w:rFonts w:ascii="Arial" w:hAnsi="Arial" w:cs="Arial"/>
          <w:b/>
          <w:bCs/>
        </w:rPr>
      </w:pPr>
      <w:r w:rsidRPr="00A941BC">
        <w:rPr>
          <w:rFonts w:ascii="Arial" w:hAnsi="Arial" w:cs="Arial"/>
          <w:b/>
          <w:bCs/>
        </w:rPr>
        <w:lastRenderedPageBreak/>
        <w:t xml:space="preserve">References </w:t>
      </w:r>
    </w:p>
    <w:p w14:paraId="27996695" w14:textId="77777777" w:rsidR="00A941BC" w:rsidRDefault="00A941BC" w:rsidP="00A941BC">
      <w:pPr>
        <w:spacing w:line="480" w:lineRule="auto"/>
        <w:rPr>
          <w:rFonts w:ascii="Arial" w:hAnsi="Arial" w:cs="Arial"/>
        </w:rPr>
      </w:pPr>
      <w:r w:rsidRPr="00A941BC">
        <w:rPr>
          <w:rFonts w:ascii="Arial" w:hAnsi="Arial" w:cs="Arial"/>
        </w:rPr>
        <w:t xml:space="preserve">Chen, J. J. (2022). </w:t>
      </w:r>
      <w:r w:rsidRPr="00A941BC">
        <w:rPr>
          <w:rFonts w:ascii="Arial" w:hAnsi="Arial" w:cs="Arial"/>
          <w:i/>
          <w:iCs/>
        </w:rPr>
        <w:t>Tesco Plc. In International Cases of Corporate Governance</w:t>
      </w:r>
      <w:r w:rsidRPr="00A941BC">
        <w:rPr>
          <w:rFonts w:ascii="Arial" w:hAnsi="Arial" w:cs="Arial"/>
        </w:rPr>
        <w:t xml:space="preserve"> (pp. 27–44). Springer Nature Singapore.</w:t>
      </w:r>
    </w:p>
    <w:p w14:paraId="3622D9EB" w14:textId="77777777" w:rsidR="00A941BC" w:rsidRDefault="00A941BC" w:rsidP="00A941BC">
      <w:pPr>
        <w:spacing w:line="480" w:lineRule="auto"/>
        <w:rPr>
          <w:rFonts w:ascii="Arial" w:hAnsi="Arial" w:cs="Arial"/>
        </w:rPr>
      </w:pPr>
      <w:r w:rsidRPr="00A941BC">
        <w:rPr>
          <w:rFonts w:ascii="Arial" w:hAnsi="Arial" w:cs="Arial"/>
        </w:rPr>
        <w:t xml:space="preserve">Chen, Y., </w:t>
      </w:r>
      <w:proofErr w:type="spellStart"/>
      <w:r w:rsidRPr="00A941BC">
        <w:rPr>
          <w:rFonts w:ascii="Arial" w:hAnsi="Arial" w:cs="Arial"/>
        </w:rPr>
        <w:t>Apibunyopas</w:t>
      </w:r>
      <w:proofErr w:type="spellEnd"/>
      <w:r w:rsidRPr="00A941BC">
        <w:rPr>
          <w:rFonts w:ascii="Arial" w:hAnsi="Arial" w:cs="Arial"/>
        </w:rPr>
        <w:t xml:space="preserve">, J., &amp; Batool, H. (2022). Research on cost control of logistics supply chain in e-commerce enterprises: Take </w:t>
      </w:r>
      <w:proofErr w:type="spellStart"/>
      <w:r w:rsidRPr="00A941BC">
        <w:rPr>
          <w:rFonts w:ascii="Arial" w:hAnsi="Arial" w:cs="Arial"/>
        </w:rPr>
        <w:t>Jingdong</w:t>
      </w:r>
      <w:proofErr w:type="spellEnd"/>
      <w:r w:rsidRPr="00A941BC">
        <w:rPr>
          <w:rFonts w:ascii="Arial" w:hAnsi="Arial" w:cs="Arial"/>
        </w:rPr>
        <w:t xml:space="preserve"> company as an example. </w:t>
      </w:r>
      <w:r w:rsidRPr="00A941BC">
        <w:rPr>
          <w:rFonts w:ascii="Arial" w:hAnsi="Arial" w:cs="Arial"/>
          <w:i/>
          <w:iCs/>
        </w:rPr>
        <w:t>Science, Technology, and Social Sciences Procedia, 2022</w:t>
      </w:r>
      <w:r w:rsidRPr="00A941BC">
        <w:rPr>
          <w:rFonts w:ascii="Arial" w:hAnsi="Arial" w:cs="Arial"/>
        </w:rPr>
        <w:t>(2), CiM06–CiM06.</w:t>
      </w:r>
    </w:p>
    <w:p w14:paraId="4188A9FC" w14:textId="73B9B35D" w:rsidR="00A941BC" w:rsidRPr="00A941BC" w:rsidRDefault="00A941BC" w:rsidP="00A941BC">
      <w:pPr>
        <w:spacing w:line="480" w:lineRule="auto"/>
        <w:rPr>
          <w:rFonts w:ascii="Arial" w:hAnsi="Arial" w:cs="Arial"/>
          <w:i/>
          <w:iCs/>
        </w:rPr>
      </w:pPr>
      <w:proofErr w:type="spellStart"/>
      <w:r w:rsidRPr="00A941BC">
        <w:rPr>
          <w:rFonts w:ascii="Arial" w:hAnsi="Arial" w:cs="Arial"/>
        </w:rPr>
        <w:t>Faccia</w:t>
      </w:r>
      <w:proofErr w:type="spellEnd"/>
      <w:r w:rsidRPr="00A941BC">
        <w:rPr>
          <w:rFonts w:ascii="Arial" w:hAnsi="Arial" w:cs="Arial"/>
        </w:rPr>
        <w:t xml:space="preserve">, A., McDonald, J., &amp; George, B. (2023). </w:t>
      </w:r>
      <w:r w:rsidRPr="00A941BC">
        <w:rPr>
          <w:rFonts w:ascii="Arial" w:hAnsi="Arial" w:cs="Arial"/>
          <w:i/>
          <w:iCs/>
        </w:rPr>
        <w:t>NLP sentiment analysis and accounting transparency.</w:t>
      </w:r>
    </w:p>
    <w:p w14:paraId="12F591E9" w14:textId="7039A38B" w:rsidR="00A941BC" w:rsidRDefault="00A941BC" w:rsidP="00A941BC">
      <w:pPr>
        <w:spacing w:line="480" w:lineRule="auto"/>
        <w:rPr>
          <w:rFonts w:ascii="Arial" w:hAnsi="Arial" w:cs="Arial"/>
        </w:rPr>
      </w:pPr>
      <w:r w:rsidRPr="00A941BC">
        <w:rPr>
          <w:rFonts w:ascii="Arial" w:hAnsi="Arial" w:cs="Arial"/>
        </w:rPr>
        <w:t xml:space="preserve">Guo, L., &amp; Wang, Z. (2019). Ratio analysis of J Sainsbury plc financial performance between 2015 and 2018 in comparison with Tesco and Morrisons. </w:t>
      </w:r>
      <w:r w:rsidRPr="00A941BC">
        <w:rPr>
          <w:rFonts w:ascii="Arial" w:hAnsi="Arial" w:cs="Arial"/>
          <w:i/>
          <w:iCs/>
        </w:rPr>
        <w:t>American Journal of Industrial and Business Management, 9(</w:t>
      </w:r>
      <w:r w:rsidRPr="00A941BC">
        <w:rPr>
          <w:rFonts w:ascii="Arial" w:hAnsi="Arial" w:cs="Arial"/>
        </w:rPr>
        <w:t xml:space="preserve">2), 325–341. </w:t>
      </w:r>
      <w:hyperlink r:id="rId8" w:history="1">
        <w:r w:rsidRPr="00932F96">
          <w:rPr>
            <w:rStyle w:val="Hyperlink"/>
            <w:rFonts w:ascii="Arial" w:hAnsi="Arial" w:cs="Arial"/>
          </w:rPr>
          <w:t>https://doi.org/10.4236/ajibm.2019.92022</w:t>
        </w:r>
      </w:hyperlink>
    </w:p>
    <w:p w14:paraId="5BDC37DD" w14:textId="3CAEA4D0" w:rsidR="00A941BC" w:rsidRPr="00A941BC" w:rsidRDefault="00A941BC" w:rsidP="00A941BC">
      <w:pPr>
        <w:spacing w:line="480" w:lineRule="auto"/>
        <w:rPr>
          <w:rFonts w:ascii="Arial" w:hAnsi="Arial" w:cs="Arial"/>
          <w:i/>
          <w:iCs/>
        </w:rPr>
      </w:pPr>
      <w:r w:rsidRPr="00A941BC">
        <w:rPr>
          <w:rFonts w:ascii="Arial" w:hAnsi="Arial" w:cs="Arial"/>
        </w:rPr>
        <w:t xml:space="preserve">Kumar, G. N., Reddy, P. S., &amp; Krishna, M. S. R. (n.d.). </w:t>
      </w:r>
      <w:r w:rsidRPr="00A941BC">
        <w:rPr>
          <w:rFonts w:ascii="Arial" w:hAnsi="Arial" w:cs="Arial"/>
          <w:i/>
          <w:iCs/>
        </w:rPr>
        <w:t>Performance analysis through financial modelling.</w:t>
      </w:r>
    </w:p>
    <w:p w14:paraId="0FBA0EE3" w14:textId="77777777" w:rsidR="00A941BC" w:rsidRPr="00A941BC" w:rsidRDefault="00A941BC" w:rsidP="00A941BC">
      <w:pPr>
        <w:spacing w:line="480" w:lineRule="auto"/>
        <w:rPr>
          <w:rFonts w:ascii="Arial" w:hAnsi="Arial" w:cs="Arial"/>
        </w:rPr>
      </w:pPr>
      <w:proofErr w:type="spellStart"/>
      <w:r w:rsidRPr="00A941BC">
        <w:rPr>
          <w:rFonts w:ascii="Arial" w:hAnsi="Arial" w:cs="Arial"/>
        </w:rPr>
        <w:t>Sharmaa</w:t>
      </w:r>
      <w:proofErr w:type="spellEnd"/>
      <w:r w:rsidRPr="00A941BC">
        <w:rPr>
          <w:rFonts w:ascii="Arial" w:hAnsi="Arial" w:cs="Arial"/>
        </w:rPr>
        <w:t xml:space="preserve">, A., Jain, R., &amp; </w:t>
      </w:r>
      <w:proofErr w:type="spellStart"/>
      <w:r w:rsidRPr="00A941BC">
        <w:rPr>
          <w:rFonts w:ascii="Arial" w:hAnsi="Arial" w:cs="Arial"/>
        </w:rPr>
        <w:t>Pajni</w:t>
      </w:r>
      <w:proofErr w:type="spellEnd"/>
      <w:r w:rsidRPr="00A941BC">
        <w:rPr>
          <w:rFonts w:ascii="Arial" w:hAnsi="Arial" w:cs="Arial"/>
        </w:rPr>
        <w:t xml:space="preserve">, N. S. (2022). Risk identification techniques in retail industry: A case study of Tesco plc. </w:t>
      </w:r>
      <w:r w:rsidRPr="00A941BC">
        <w:rPr>
          <w:rFonts w:ascii="Arial" w:hAnsi="Arial" w:cs="Arial"/>
          <w:i/>
          <w:iCs/>
        </w:rPr>
        <w:t>Journal of Corporate Governance, Insurance, and Risk Management, 9,</w:t>
      </w:r>
      <w:r w:rsidRPr="00A941BC">
        <w:rPr>
          <w:rFonts w:ascii="Arial" w:hAnsi="Arial" w:cs="Arial"/>
        </w:rPr>
        <w:t xml:space="preserve"> 201–214.</w:t>
      </w:r>
    </w:p>
    <w:p w14:paraId="15535EF8" w14:textId="77777777" w:rsidR="00A941BC" w:rsidRPr="00A941BC" w:rsidRDefault="00A941BC" w:rsidP="00A941BC">
      <w:pPr>
        <w:spacing w:line="480" w:lineRule="auto"/>
        <w:rPr>
          <w:rFonts w:ascii="Arial" w:hAnsi="Arial" w:cs="Arial"/>
        </w:rPr>
      </w:pPr>
      <w:r w:rsidRPr="00A941BC">
        <w:rPr>
          <w:rFonts w:ascii="Arial" w:hAnsi="Arial" w:cs="Arial"/>
        </w:rPr>
        <w:t>Smith, D. (2023</w:t>
      </w:r>
      <w:r w:rsidRPr="00A941BC">
        <w:rPr>
          <w:rFonts w:ascii="Arial" w:hAnsi="Arial" w:cs="Arial"/>
          <w:i/>
          <w:iCs/>
        </w:rPr>
        <w:t>). Logistics in Tesco: Past, present and future. In Logistics and Retail Management: Insights into current practice and trends from leading experts (pp. 154–183).</w:t>
      </w:r>
      <w:r w:rsidRPr="00A941BC">
        <w:rPr>
          <w:rFonts w:ascii="Arial" w:hAnsi="Arial" w:cs="Arial"/>
        </w:rPr>
        <w:t xml:space="preserve"> CRC Press.</w:t>
      </w:r>
    </w:p>
    <w:p w14:paraId="541059DC" w14:textId="7DA700F4" w:rsidR="00A941BC" w:rsidRPr="00A941BC" w:rsidRDefault="00A941BC" w:rsidP="00A941BC">
      <w:pPr>
        <w:spacing w:line="480" w:lineRule="auto"/>
        <w:rPr>
          <w:rFonts w:ascii="Arial" w:hAnsi="Arial" w:cs="Arial"/>
        </w:rPr>
      </w:pPr>
      <w:r w:rsidRPr="00A941BC">
        <w:rPr>
          <w:rFonts w:ascii="Arial" w:hAnsi="Arial" w:cs="Arial"/>
        </w:rPr>
        <w:t xml:space="preserve">Tesco PLC. (2023). </w:t>
      </w:r>
      <w:r w:rsidRPr="00A941BC">
        <w:rPr>
          <w:rFonts w:ascii="Arial" w:hAnsi="Arial" w:cs="Arial"/>
          <w:i/>
          <w:iCs/>
        </w:rPr>
        <w:t>Annual report and financial statements 2023.</w:t>
      </w:r>
      <w:r w:rsidRPr="00A941BC">
        <w:rPr>
          <w:rFonts w:ascii="Arial" w:hAnsi="Arial" w:cs="Arial"/>
        </w:rPr>
        <w:t xml:space="preserve"> </w:t>
      </w:r>
      <w:hyperlink r:id="rId9" w:history="1">
        <w:r w:rsidRPr="00932F96">
          <w:rPr>
            <w:rStyle w:val="Hyperlink"/>
            <w:rFonts w:ascii="Arial" w:hAnsi="Arial" w:cs="Arial"/>
          </w:rPr>
          <w:t>https://www.tescoplc.com/investors/reports-results-and-presentations/</w:t>
        </w:r>
      </w:hyperlink>
      <w:r>
        <w:rPr>
          <w:rFonts w:ascii="Arial" w:hAnsi="Arial" w:cs="Arial"/>
        </w:rPr>
        <w:t xml:space="preserve"> </w:t>
      </w:r>
    </w:p>
    <w:p w14:paraId="1254300E" w14:textId="77777777" w:rsidR="00A941BC" w:rsidRPr="00A941BC" w:rsidRDefault="00A941BC" w:rsidP="00A941BC">
      <w:pPr>
        <w:spacing w:line="480" w:lineRule="auto"/>
        <w:rPr>
          <w:rFonts w:ascii="Arial" w:hAnsi="Arial" w:cs="Arial"/>
        </w:rPr>
      </w:pPr>
    </w:p>
    <w:p w14:paraId="42C4487A" w14:textId="66F4CC5F" w:rsidR="00A941BC" w:rsidRPr="00A941BC" w:rsidRDefault="00A941BC" w:rsidP="00A941BC">
      <w:pPr>
        <w:spacing w:line="480" w:lineRule="auto"/>
        <w:rPr>
          <w:rFonts w:ascii="Arial" w:hAnsi="Arial" w:cs="Arial"/>
        </w:rPr>
      </w:pPr>
      <w:r w:rsidRPr="00A941BC">
        <w:rPr>
          <w:rFonts w:ascii="Arial" w:hAnsi="Arial" w:cs="Arial"/>
        </w:rPr>
        <w:lastRenderedPageBreak/>
        <w:t xml:space="preserve">Tesco PLC. (2024). </w:t>
      </w:r>
      <w:r w:rsidRPr="00A941BC">
        <w:rPr>
          <w:rFonts w:ascii="Arial" w:hAnsi="Arial" w:cs="Arial"/>
          <w:i/>
          <w:iCs/>
        </w:rPr>
        <w:t>Annual report and financial statements 2024.</w:t>
      </w:r>
      <w:r w:rsidRPr="00A941BC">
        <w:rPr>
          <w:rFonts w:ascii="Arial" w:hAnsi="Arial" w:cs="Arial"/>
        </w:rPr>
        <w:t xml:space="preserve"> </w:t>
      </w:r>
      <w:hyperlink r:id="rId10" w:history="1">
        <w:r w:rsidRPr="00932F96">
          <w:rPr>
            <w:rStyle w:val="Hyperlink"/>
            <w:rFonts w:ascii="Arial" w:hAnsi="Arial" w:cs="Arial"/>
          </w:rPr>
          <w:t>https://www.tescoplc.com/investors/reports-results-and-presentations/</w:t>
        </w:r>
      </w:hyperlink>
      <w:r>
        <w:rPr>
          <w:rFonts w:ascii="Arial" w:hAnsi="Arial" w:cs="Arial"/>
        </w:rPr>
        <w:t xml:space="preserve"> </w:t>
      </w:r>
    </w:p>
    <w:p w14:paraId="1FCA2E8E" w14:textId="77777777" w:rsidR="00A941BC" w:rsidRPr="00A941BC" w:rsidRDefault="00A941BC" w:rsidP="00A941BC">
      <w:pPr>
        <w:spacing w:line="480" w:lineRule="auto"/>
        <w:rPr>
          <w:rFonts w:ascii="Arial" w:hAnsi="Arial" w:cs="Arial"/>
        </w:rPr>
      </w:pPr>
      <w:proofErr w:type="spellStart"/>
      <w:r w:rsidRPr="00A941BC">
        <w:rPr>
          <w:rFonts w:ascii="Arial" w:hAnsi="Arial" w:cs="Arial"/>
        </w:rPr>
        <w:t>Vernimmen</w:t>
      </w:r>
      <w:proofErr w:type="spellEnd"/>
      <w:r w:rsidRPr="00A941BC">
        <w:rPr>
          <w:rFonts w:ascii="Arial" w:hAnsi="Arial" w:cs="Arial"/>
        </w:rPr>
        <w:t xml:space="preserve">, P., </w:t>
      </w:r>
      <w:proofErr w:type="spellStart"/>
      <w:r w:rsidRPr="00A941BC">
        <w:rPr>
          <w:rFonts w:ascii="Arial" w:hAnsi="Arial" w:cs="Arial"/>
        </w:rPr>
        <w:t>Quiry</w:t>
      </w:r>
      <w:proofErr w:type="spellEnd"/>
      <w:r w:rsidRPr="00A941BC">
        <w:rPr>
          <w:rFonts w:ascii="Arial" w:hAnsi="Arial" w:cs="Arial"/>
        </w:rPr>
        <w:t xml:space="preserve">, P., &amp; Le Fur, Y. (2022). </w:t>
      </w:r>
      <w:r w:rsidRPr="00A941BC">
        <w:rPr>
          <w:rFonts w:ascii="Arial" w:hAnsi="Arial" w:cs="Arial"/>
          <w:i/>
          <w:iCs/>
        </w:rPr>
        <w:t xml:space="preserve">Corporate finance: Theory and practice </w:t>
      </w:r>
      <w:r w:rsidRPr="00A941BC">
        <w:rPr>
          <w:rFonts w:ascii="Arial" w:hAnsi="Arial" w:cs="Arial"/>
        </w:rPr>
        <w:t>(6th ed.). John Wiley &amp; Sons.</w:t>
      </w:r>
    </w:p>
    <w:p w14:paraId="0ECD73EF" w14:textId="77777777" w:rsidR="00A941BC" w:rsidRPr="00A941BC" w:rsidRDefault="00A941BC" w:rsidP="00A941BC">
      <w:pPr>
        <w:spacing w:line="480" w:lineRule="auto"/>
        <w:rPr>
          <w:rFonts w:ascii="Arial" w:hAnsi="Arial" w:cs="Arial"/>
        </w:rPr>
      </w:pPr>
      <w:r w:rsidRPr="00A941BC">
        <w:rPr>
          <w:rFonts w:ascii="Arial" w:hAnsi="Arial" w:cs="Arial"/>
        </w:rPr>
        <w:t xml:space="preserve">Warner, S., &amp; Hussain, S. (2022). </w:t>
      </w:r>
      <w:r w:rsidRPr="00A941BC">
        <w:rPr>
          <w:rFonts w:ascii="Arial" w:hAnsi="Arial" w:cs="Arial"/>
          <w:i/>
          <w:iCs/>
        </w:rPr>
        <w:t>The finance book</w:t>
      </w:r>
      <w:r w:rsidRPr="00A941BC">
        <w:rPr>
          <w:rFonts w:ascii="Arial" w:hAnsi="Arial" w:cs="Arial"/>
        </w:rPr>
        <w:t>. Pearson UK.</w:t>
      </w:r>
    </w:p>
    <w:p w14:paraId="4AE54ADE" w14:textId="77777777" w:rsidR="00A941BC" w:rsidRDefault="00A941BC" w:rsidP="00A941BC">
      <w:pPr>
        <w:spacing w:line="480" w:lineRule="auto"/>
        <w:rPr>
          <w:rFonts w:ascii="Arial" w:hAnsi="Arial" w:cs="Arial"/>
        </w:rPr>
      </w:pPr>
      <w:r w:rsidRPr="00A941BC">
        <w:rPr>
          <w:rFonts w:ascii="Arial" w:hAnsi="Arial" w:cs="Arial"/>
        </w:rPr>
        <w:t xml:space="preserve">Welc, J. (2022). </w:t>
      </w:r>
      <w:r w:rsidRPr="00A941BC">
        <w:rPr>
          <w:rFonts w:ascii="Arial" w:hAnsi="Arial" w:cs="Arial"/>
          <w:i/>
          <w:iCs/>
        </w:rPr>
        <w:t>Primary financial statements as the source of information for company’s financial analysis.</w:t>
      </w:r>
      <w:r w:rsidRPr="00A941BC">
        <w:rPr>
          <w:rFonts w:ascii="Arial" w:hAnsi="Arial" w:cs="Arial"/>
        </w:rPr>
        <w:t xml:space="preserve"> In Evaluating Corporate Financial Performance: Tools and Applications (pp. 1–75). Springer International Publishing.</w:t>
      </w:r>
    </w:p>
    <w:p w14:paraId="6118A5E2" w14:textId="77777777" w:rsidR="00A941BC" w:rsidRDefault="00A941BC" w:rsidP="00A941BC">
      <w:pPr>
        <w:spacing w:line="480" w:lineRule="auto"/>
        <w:rPr>
          <w:rFonts w:ascii="Arial" w:hAnsi="Arial" w:cs="Arial"/>
        </w:rPr>
      </w:pPr>
    </w:p>
    <w:p w14:paraId="7521A457" w14:textId="77777777" w:rsidR="00A941BC" w:rsidRPr="00A941BC" w:rsidRDefault="00A941BC" w:rsidP="00A941BC">
      <w:pPr>
        <w:spacing w:line="480" w:lineRule="auto"/>
        <w:rPr>
          <w:rFonts w:ascii="Arial" w:hAnsi="Arial" w:cs="Arial"/>
        </w:rPr>
      </w:pPr>
    </w:p>
    <w:p w14:paraId="1609B4E2" w14:textId="4D645C56" w:rsidR="00A941BC" w:rsidRPr="00B32EC3" w:rsidRDefault="00A941BC" w:rsidP="00B32EC3">
      <w:pPr>
        <w:spacing w:line="480" w:lineRule="auto"/>
        <w:rPr>
          <w:rFonts w:ascii="Arial" w:hAnsi="Arial" w:cs="Arial"/>
        </w:rPr>
      </w:pPr>
      <w:r>
        <w:rPr>
          <w:rFonts w:ascii="Arial" w:hAnsi="Arial" w:cs="Arial"/>
        </w:rPr>
        <w:object w:dxaOrig="1504" w:dyaOrig="980" w14:anchorId="6A5BA8B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pt;height:49pt" o:ole="">
            <v:imagedata r:id="rId11" o:title=""/>
          </v:shape>
          <o:OLEObject Type="Embed" ProgID="Package" ShapeID="_x0000_i1025" DrawAspect="Icon" ObjectID="_1805823852" r:id="rId12"/>
        </w:object>
      </w:r>
      <w:r>
        <w:rPr>
          <w:rFonts w:ascii="Arial" w:hAnsi="Arial" w:cs="Arial"/>
        </w:rPr>
        <w:object w:dxaOrig="1504" w:dyaOrig="980" w14:anchorId="1E372BEE">
          <v:shape id="_x0000_i1026" type="#_x0000_t75" style="width:75pt;height:49pt" o:ole="">
            <v:imagedata r:id="rId13" o:title=""/>
          </v:shape>
          <o:OLEObject Type="Embed" ProgID="Package" ShapeID="_x0000_i1026" DrawAspect="Icon" ObjectID="_1805823853" r:id="rId14"/>
        </w:object>
      </w:r>
    </w:p>
    <w:sectPr w:rsidR="00A941BC" w:rsidRPr="00B32EC3" w:rsidSect="00355A3C">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C0A3F0" w14:textId="77777777" w:rsidR="00C07A66" w:rsidRDefault="00C07A66" w:rsidP="00355A3C">
      <w:pPr>
        <w:spacing w:after="0" w:line="240" w:lineRule="auto"/>
      </w:pPr>
      <w:r>
        <w:separator/>
      </w:r>
    </w:p>
  </w:endnote>
  <w:endnote w:type="continuationSeparator" w:id="0">
    <w:p w14:paraId="413AA33F" w14:textId="77777777" w:rsidR="00C07A66" w:rsidRDefault="00C07A66" w:rsidP="00355A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29363556"/>
      <w:docPartObj>
        <w:docPartGallery w:val="Page Numbers (Bottom of Page)"/>
        <w:docPartUnique/>
      </w:docPartObj>
    </w:sdtPr>
    <w:sdtEndPr>
      <w:rPr>
        <w:color w:val="7F7F7F" w:themeColor="background1" w:themeShade="7F"/>
        <w:spacing w:val="60"/>
      </w:rPr>
    </w:sdtEndPr>
    <w:sdtContent>
      <w:p w14:paraId="67EBE3FD" w14:textId="3B6F6B79" w:rsidR="00355A3C" w:rsidRDefault="00355A3C">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5AB428A" w14:textId="77777777" w:rsidR="00355A3C" w:rsidRDefault="00355A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C9FA9C" w14:textId="77777777" w:rsidR="00C07A66" w:rsidRDefault="00C07A66" w:rsidP="00355A3C">
      <w:pPr>
        <w:spacing w:after="0" w:line="240" w:lineRule="auto"/>
      </w:pPr>
      <w:r>
        <w:separator/>
      </w:r>
    </w:p>
  </w:footnote>
  <w:footnote w:type="continuationSeparator" w:id="0">
    <w:p w14:paraId="7A4035FC" w14:textId="77777777" w:rsidR="00C07A66" w:rsidRDefault="00C07A66" w:rsidP="00355A3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3B2595"/>
    <w:multiLevelType w:val="multilevel"/>
    <w:tmpl w:val="867E1E7C"/>
    <w:lvl w:ilvl="0">
      <w:start w:val="1"/>
      <w:numFmt w:val="decimal"/>
      <w:lvlText w:val="%1."/>
      <w:lvlJc w:val="left"/>
      <w:pPr>
        <w:ind w:left="1211" w:hanging="360"/>
      </w:pPr>
      <w:rPr>
        <w:rFonts w:hint="default"/>
      </w:rPr>
    </w:lvl>
    <w:lvl w:ilvl="1">
      <w:start w:val="2"/>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393A3535"/>
    <w:multiLevelType w:val="hybridMultilevel"/>
    <w:tmpl w:val="2654DD42"/>
    <w:lvl w:ilvl="0" w:tplc="090A2E9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21C1D03"/>
    <w:multiLevelType w:val="hybridMultilevel"/>
    <w:tmpl w:val="710A2928"/>
    <w:lvl w:ilvl="0" w:tplc="0B1C86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09038256">
    <w:abstractNumId w:val="0"/>
  </w:num>
  <w:num w:numId="2" w16cid:durableId="1268930909">
    <w:abstractNumId w:val="1"/>
  </w:num>
  <w:num w:numId="3" w16cid:durableId="9647742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47BD"/>
    <w:rsid w:val="00355A3C"/>
    <w:rsid w:val="00734EC2"/>
    <w:rsid w:val="008B5A0C"/>
    <w:rsid w:val="00A941BC"/>
    <w:rsid w:val="00B32EC3"/>
    <w:rsid w:val="00B34ECC"/>
    <w:rsid w:val="00C07A66"/>
    <w:rsid w:val="00E247BD"/>
    <w:rsid w:val="00FD29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7CD1EC"/>
  <w15:chartTrackingRefBased/>
  <w15:docId w15:val="{8D2F4207-3A0A-45F9-84E4-EE8F1B4FE7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47B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247B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247B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247B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247B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247B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247B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247B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247B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47B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247B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247B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247B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247B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247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47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47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47BD"/>
    <w:rPr>
      <w:rFonts w:eastAsiaTheme="majorEastAsia" w:cstheme="majorBidi"/>
      <w:color w:val="272727" w:themeColor="text1" w:themeTint="D8"/>
    </w:rPr>
  </w:style>
  <w:style w:type="paragraph" w:styleId="Title">
    <w:name w:val="Title"/>
    <w:basedOn w:val="Normal"/>
    <w:next w:val="Normal"/>
    <w:link w:val="TitleChar"/>
    <w:uiPriority w:val="10"/>
    <w:qFormat/>
    <w:rsid w:val="00E247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47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47B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47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47BD"/>
    <w:pPr>
      <w:spacing w:before="160"/>
      <w:jc w:val="center"/>
    </w:pPr>
    <w:rPr>
      <w:i/>
      <w:iCs/>
      <w:color w:val="404040" w:themeColor="text1" w:themeTint="BF"/>
    </w:rPr>
  </w:style>
  <w:style w:type="character" w:customStyle="1" w:styleId="QuoteChar">
    <w:name w:val="Quote Char"/>
    <w:basedOn w:val="DefaultParagraphFont"/>
    <w:link w:val="Quote"/>
    <w:uiPriority w:val="29"/>
    <w:rsid w:val="00E247BD"/>
    <w:rPr>
      <w:i/>
      <w:iCs/>
      <w:color w:val="404040" w:themeColor="text1" w:themeTint="BF"/>
    </w:rPr>
  </w:style>
  <w:style w:type="paragraph" w:styleId="ListParagraph">
    <w:name w:val="List Paragraph"/>
    <w:basedOn w:val="Normal"/>
    <w:uiPriority w:val="34"/>
    <w:qFormat/>
    <w:rsid w:val="00E247BD"/>
    <w:pPr>
      <w:ind w:left="720"/>
      <w:contextualSpacing/>
    </w:pPr>
  </w:style>
  <w:style w:type="character" w:styleId="IntenseEmphasis">
    <w:name w:val="Intense Emphasis"/>
    <w:basedOn w:val="DefaultParagraphFont"/>
    <w:uiPriority w:val="21"/>
    <w:qFormat/>
    <w:rsid w:val="00E247BD"/>
    <w:rPr>
      <w:i/>
      <w:iCs/>
      <w:color w:val="0F4761" w:themeColor="accent1" w:themeShade="BF"/>
    </w:rPr>
  </w:style>
  <w:style w:type="paragraph" w:styleId="IntenseQuote">
    <w:name w:val="Intense Quote"/>
    <w:basedOn w:val="Normal"/>
    <w:next w:val="Normal"/>
    <w:link w:val="IntenseQuoteChar"/>
    <w:uiPriority w:val="30"/>
    <w:qFormat/>
    <w:rsid w:val="00E247B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247BD"/>
    <w:rPr>
      <w:i/>
      <w:iCs/>
      <w:color w:val="0F4761" w:themeColor="accent1" w:themeShade="BF"/>
    </w:rPr>
  </w:style>
  <w:style w:type="character" w:styleId="IntenseReference">
    <w:name w:val="Intense Reference"/>
    <w:basedOn w:val="DefaultParagraphFont"/>
    <w:uiPriority w:val="32"/>
    <w:qFormat/>
    <w:rsid w:val="00E247BD"/>
    <w:rPr>
      <w:b/>
      <w:bCs/>
      <w:smallCaps/>
      <w:color w:val="0F4761" w:themeColor="accent1" w:themeShade="BF"/>
      <w:spacing w:val="5"/>
    </w:rPr>
  </w:style>
  <w:style w:type="character" w:styleId="Hyperlink">
    <w:name w:val="Hyperlink"/>
    <w:basedOn w:val="DefaultParagraphFont"/>
    <w:uiPriority w:val="99"/>
    <w:unhideWhenUsed/>
    <w:rsid w:val="00A941BC"/>
    <w:rPr>
      <w:color w:val="467886" w:themeColor="hyperlink"/>
      <w:u w:val="single"/>
    </w:rPr>
  </w:style>
  <w:style w:type="character" w:styleId="UnresolvedMention">
    <w:name w:val="Unresolved Mention"/>
    <w:basedOn w:val="DefaultParagraphFont"/>
    <w:uiPriority w:val="99"/>
    <w:semiHidden/>
    <w:unhideWhenUsed/>
    <w:rsid w:val="00A941BC"/>
    <w:rPr>
      <w:color w:val="605E5C"/>
      <w:shd w:val="clear" w:color="auto" w:fill="E1DFDD"/>
    </w:rPr>
  </w:style>
  <w:style w:type="paragraph" w:styleId="Header">
    <w:name w:val="header"/>
    <w:basedOn w:val="Normal"/>
    <w:link w:val="HeaderChar"/>
    <w:uiPriority w:val="99"/>
    <w:unhideWhenUsed/>
    <w:rsid w:val="00355A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5A3C"/>
  </w:style>
  <w:style w:type="paragraph" w:styleId="Footer">
    <w:name w:val="footer"/>
    <w:basedOn w:val="Normal"/>
    <w:link w:val="FooterChar"/>
    <w:uiPriority w:val="99"/>
    <w:unhideWhenUsed/>
    <w:rsid w:val="00355A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5A3C"/>
  </w:style>
  <w:style w:type="paragraph" w:styleId="NoSpacing">
    <w:name w:val="No Spacing"/>
    <w:link w:val="NoSpacingChar"/>
    <w:uiPriority w:val="1"/>
    <w:qFormat/>
    <w:rsid w:val="00355A3C"/>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355A3C"/>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42665507">
      <w:bodyDiv w:val="1"/>
      <w:marLeft w:val="0"/>
      <w:marRight w:val="0"/>
      <w:marTop w:val="0"/>
      <w:marBottom w:val="0"/>
      <w:divBdr>
        <w:top w:val="none" w:sz="0" w:space="0" w:color="auto"/>
        <w:left w:val="none" w:sz="0" w:space="0" w:color="auto"/>
        <w:bottom w:val="none" w:sz="0" w:space="0" w:color="auto"/>
        <w:right w:val="none" w:sz="0" w:space="0" w:color="auto"/>
      </w:divBdr>
    </w:div>
    <w:div w:id="9038305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4236/ajibm.2019.92022" TargetMode="External"/><Relationship Id="rId13" Type="http://schemas.openxmlformats.org/officeDocument/2006/relationships/image" Target="media/image3.emf"/><Relationship Id="rId3" Type="http://schemas.openxmlformats.org/officeDocument/2006/relationships/settings" Target="settings.xml"/><Relationship Id="rId7" Type="http://schemas.openxmlformats.org/officeDocument/2006/relationships/image" Target="media/image1.gif"/><Relationship Id="rId12" Type="http://schemas.openxmlformats.org/officeDocument/2006/relationships/oleObject" Target="embeddings/oleObject1.bin"/><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emf"/><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tescoplc.com/investors/reports-results-and-presentations/" TargetMode="External"/><Relationship Id="rId4" Type="http://schemas.openxmlformats.org/officeDocument/2006/relationships/webSettings" Target="webSettings.xml"/><Relationship Id="rId9" Type="http://schemas.openxmlformats.org/officeDocument/2006/relationships/hyperlink" Target="https://www.tescoplc.com/investors/reports-results-and-presentations/" TargetMode="External"/><Relationship Id="rId14" Type="http://schemas.openxmlformats.org/officeDocument/2006/relationships/oleObject" Target="embeddings/oleObject2.bin"/></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119</TotalTime>
  <Pages>11</Pages>
  <Words>1977</Words>
  <Characters>11275</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Tesco Financial Analysis for the Years 2023 and 2024</dc:title>
  <dc:subject/>
  <dc:creator>Mirabela Voican (1907947)</dc:creator>
  <cp:keywords/>
  <dc:description/>
  <cp:lastModifiedBy>Mirabela Voican (1907947)</cp:lastModifiedBy>
  <cp:revision>1</cp:revision>
  <dcterms:created xsi:type="dcterms:W3CDTF">2025-04-10T17:56:00Z</dcterms:created>
  <dcterms:modified xsi:type="dcterms:W3CDTF">2025-04-10T19:56:00Z</dcterms:modified>
</cp:coreProperties>
</file>