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16D46A"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 xml:space="preserve"> </w:t>
      </w:r>
    </w:p>
    <w:p w14:paraId="11DF8BFA" w14:textId="77777777" w:rsidR="00722E2D" w:rsidRDefault="00722E2D">
      <w:pPr>
        <w:pBdr>
          <w:top w:val="nil"/>
          <w:left w:val="nil"/>
          <w:bottom w:val="nil"/>
          <w:right w:val="nil"/>
          <w:between w:val="nil"/>
        </w:pBdr>
        <w:spacing w:after="0"/>
        <w:jc w:val="center"/>
        <w:rPr>
          <w:rFonts w:ascii="Arial" w:eastAsia="Arial" w:hAnsi="Arial" w:cs="Arial"/>
          <w:b/>
          <w:bCs/>
          <w:color w:val="000000"/>
          <w:sz w:val="32"/>
          <w:szCs w:val="32"/>
        </w:rPr>
      </w:pPr>
    </w:p>
    <w:p w14:paraId="4809A267" w14:textId="77777777" w:rsidR="00722E2D" w:rsidRDefault="00722E2D">
      <w:pPr>
        <w:pBdr>
          <w:top w:val="nil"/>
          <w:left w:val="nil"/>
          <w:bottom w:val="nil"/>
          <w:right w:val="nil"/>
          <w:between w:val="nil"/>
        </w:pBdr>
        <w:spacing w:after="0"/>
        <w:jc w:val="center"/>
        <w:rPr>
          <w:rFonts w:ascii="Arial" w:eastAsia="Arial" w:hAnsi="Arial" w:cs="Arial"/>
          <w:b/>
          <w:bCs/>
          <w:color w:val="000000"/>
          <w:sz w:val="32"/>
          <w:szCs w:val="32"/>
        </w:rPr>
      </w:pPr>
    </w:p>
    <w:p w14:paraId="34A8262E" w14:textId="77777777" w:rsidR="00722E2D" w:rsidRDefault="00722E2D">
      <w:pPr>
        <w:pBdr>
          <w:top w:val="nil"/>
          <w:left w:val="nil"/>
          <w:bottom w:val="nil"/>
          <w:right w:val="nil"/>
          <w:between w:val="nil"/>
        </w:pBdr>
        <w:spacing w:after="0"/>
        <w:jc w:val="center"/>
        <w:rPr>
          <w:rFonts w:ascii="Arial" w:eastAsia="Arial" w:hAnsi="Arial" w:cs="Arial"/>
          <w:b/>
          <w:bCs/>
          <w:color w:val="000000"/>
          <w:sz w:val="32"/>
          <w:szCs w:val="32"/>
        </w:rPr>
      </w:pPr>
    </w:p>
    <w:p w14:paraId="31CD879B" w14:textId="77777777" w:rsidR="00722E2D" w:rsidRDefault="00722E2D">
      <w:pPr>
        <w:pBdr>
          <w:top w:val="nil"/>
          <w:left w:val="nil"/>
          <w:bottom w:val="nil"/>
          <w:right w:val="nil"/>
          <w:between w:val="nil"/>
        </w:pBdr>
        <w:spacing w:after="0"/>
        <w:jc w:val="center"/>
        <w:rPr>
          <w:rFonts w:ascii="Arial" w:eastAsia="Arial" w:hAnsi="Arial" w:cs="Arial"/>
          <w:b/>
          <w:bCs/>
          <w:color w:val="000000"/>
          <w:sz w:val="32"/>
          <w:szCs w:val="32"/>
        </w:rPr>
      </w:pPr>
    </w:p>
    <w:p w14:paraId="34D8176E"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PROGRAMME: MASTER OF BUSINESS ADMINISTRATION</w:t>
      </w:r>
    </w:p>
    <w:p w14:paraId="6107B3CC"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MODULE: MARKETING MANAGEMENT</w:t>
      </w:r>
    </w:p>
    <w:p w14:paraId="7F8974F8"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MODULE CODE: LCMB7024</w:t>
      </w:r>
    </w:p>
    <w:p w14:paraId="57594275"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ASSIGNMENT TITLE: MARKETING ENVIRONMENT ANALYSIS</w:t>
      </w:r>
    </w:p>
    <w:p w14:paraId="16575FCB"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 xml:space="preserve">LECTURER’S NAME: Laila </w:t>
      </w:r>
      <w:proofErr w:type="spellStart"/>
      <w:r>
        <w:rPr>
          <w:rFonts w:ascii="Arial" w:eastAsia="Arial" w:hAnsi="Arial" w:cs="Arial"/>
          <w:b/>
          <w:bCs/>
          <w:color w:val="000000"/>
          <w:sz w:val="32"/>
          <w:szCs w:val="32"/>
        </w:rPr>
        <w:t>Maazouz</w:t>
      </w:r>
      <w:proofErr w:type="spellEnd"/>
    </w:p>
    <w:p w14:paraId="3102A7B1" w14:textId="77777777"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 xml:space="preserve">Taonga Kaonga </w:t>
      </w:r>
      <w:proofErr w:type="spellStart"/>
      <w:r>
        <w:rPr>
          <w:rFonts w:ascii="Arial" w:eastAsia="Arial" w:hAnsi="Arial" w:cs="Arial"/>
          <w:b/>
          <w:bCs/>
          <w:color w:val="000000"/>
          <w:sz w:val="32"/>
          <w:szCs w:val="32"/>
        </w:rPr>
        <w:t>Sobere</w:t>
      </w:r>
      <w:proofErr w:type="spellEnd"/>
      <w:r>
        <w:rPr>
          <w:rFonts w:ascii="Arial" w:eastAsia="Arial" w:hAnsi="Arial" w:cs="Arial"/>
          <w:b/>
          <w:bCs/>
          <w:color w:val="000000"/>
          <w:sz w:val="32"/>
          <w:szCs w:val="32"/>
        </w:rPr>
        <w:t xml:space="preserve"> </w:t>
      </w:r>
      <w:proofErr w:type="spellStart"/>
      <w:r>
        <w:rPr>
          <w:rFonts w:ascii="Arial" w:eastAsia="Arial" w:hAnsi="Arial" w:cs="Arial"/>
          <w:b/>
          <w:bCs/>
          <w:color w:val="000000"/>
          <w:sz w:val="32"/>
          <w:szCs w:val="32"/>
        </w:rPr>
        <w:t>Snithers</w:t>
      </w:r>
      <w:proofErr w:type="spellEnd"/>
    </w:p>
    <w:p w14:paraId="4DE80CF0" w14:textId="65FC92E0"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STUDENT NAME:</w:t>
      </w:r>
      <w:r w:rsidR="00075254">
        <w:rPr>
          <w:rFonts w:ascii="Arial" w:eastAsia="Arial" w:hAnsi="Arial" w:cs="Arial"/>
          <w:b/>
          <w:bCs/>
          <w:color w:val="000000"/>
          <w:sz w:val="32"/>
          <w:szCs w:val="32"/>
        </w:rPr>
        <w:t xml:space="preserve"> </w:t>
      </w:r>
      <w:r w:rsidR="00075254" w:rsidRPr="00075254">
        <w:rPr>
          <w:rFonts w:ascii="Arial" w:eastAsia="Arial" w:hAnsi="Arial" w:cs="Arial"/>
          <w:b/>
          <w:bCs/>
          <w:color w:val="000000"/>
          <w:sz w:val="32"/>
          <w:szCs w:val="32"/>
        </w:rPr>
        <w:t xml:space="preserve">Karankumar </w:t>
      </w:r>
      <w:r w:rsidR="009766AF">
        <w:rPr>
          <w:rFonts w:ascii="Arial" w:eastAsia="Arial" w:hAnsi="Arial" w:cs="Arial"/>
          <w:b/>
          <w:bCs/>
          <w:color w:val="000000"/>
          <w:sz w:val="32"/>
          <w:szCs w:val="32"/>
        </w:rPr>
        <w:t>Rameshbhai Chaudhary</w:t>
      </w:r>
    </w:p>
    <w:p w14:paraId="5A4532A5" w14:textId="03BA0A31" w:rsidR="00722E2D" w:rsidRDefault="00000000">
      <w:pPr>
        <w:pBdr>
          <w:top w:val="nil"/>
          <w:left w:val="nil"/>
          <w:bottom w:val="nil"/>
          <w:right w:val="nil"/>
          <w:between w:val="nil"/>
        </w:pBdr>
        <w:spacing w:after="0"/>
        <w:jc w:val="center"/>
        <w:rPr>
          <w:rFonts w:ascii="Arial" w:eastAsia="Arial" w:hAnsi="Arial" w:cs="Arial"/>
          <w:b/>
          <w:bCs/>
          <w:color w:val="000000"/>
          <w:sz w:val="32"/>
          <w:szCs w:val="32"/>
        </w:rPr>
      </w:pPr>
      <w:r>
        <w:rPr>
          <w:rFonts w:ascii="Arial" w:eastAsia="Arial" w:hAnsi="Arial" w:cs="Arial"/>
          <w:b/>
          <w:bCs/>
          <w:color w:val="000000"/>
          <w:sz w:val="32"/>
          <w:szCs w:val="32"/>
        </w:rPr>
        <w:t>STUDENT ID:</w:t>
      </w:r>
      <w:r w:rsidR="00075254">
        <w:rPr>
          <w:rFonts w:ascii="Arial" w:eastAsia="Arial" w:hAnsi="Arial" w:cs="Arial"/>
          <w:b/>
          <w:bCs/>
          <w:color w:val="000000"/>
          <w:sz w:val="32"/>
          <w:szCs w:val="32"/>
        </w:rPr>
        <w:t xml:space="preserve"> </w:t>
      </w:r>
      <w:r w:rsidR="00075254" w:rsidRPr="00075254">
        <w:rPr>
          <w:rFonts w:ascii="Arial" w:eastAsia="Arial" w:hAnsi="Arial" w:cs="Arial"/>
          <w:b/>
          <w:bCs/>
          <w:color w:val="000000"/>
          <w:sz w:val="32"/>
          <w:szCs w:val="32"/>
        </w:rPr>
        <w:t>2538332</w:t>
      </w:r>
    </w:p>
    <w:p w14:paraId="256D05E0" w14:textId="77777777" w:rsidR="00075254" w:rsidRDefault="00075254">
      <w:pPr>
        <w:pBdr>
          <w:top w:val="nil"/>
          <w:left w:val="nil"/>
          <w:bottom w:val="nil"/>
          <w:right w:val="nil"/>
          <w:between w:val="nil"/>
        </w:pBdr>
        <w:spacing w:after="0"/>
        <w:jc w:val="center"/>
        <w:rPr>
          <w:rFonts w:ascii="Arial" w:eastAsia="Arial" w:hAnsi="Arial" w:cs="Arial"/>
          <w:b/>
          <w:bCs/>
          <w:color w:val="000000"/>
          <w:sz w:val="32"/>
          <w:szCs w:val="32"/>
        </w:rPr>
      </w:pPr>
    </w:p>
    <w:p w14:paraId="523D182B"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sz w:val="32"/>
          <w:szCs w:val="32"/>
        </w:rPr>
        <w:t>SUBMISSION DATE: Friday 24th July 2026 by 2 PM</w:t>
      </w:r>
      <w:r>
        <w:rPr>
          <w:rFonts w:ascii="Arial" w:eastAsia="Arial" w:hAnsi="Arial" w:cs="Arial"/>
          <w:b/>
          <w:bCs/>
          <w:color w:val="000000"/>
        </w:rPr>
        <w:t xml:space="preserve"> </w:t>
      </w:r>
      <w:r>
        <w:br w:type="page"/>
      </w:r>
    </w:p>
    <w:p w14:paraId="0CD513F3"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Table of Contents</w:t>
      </w:r>
    </w:p>
    <w:sdt>
      <w:sdtPr>
        <w:id w:val="-41671427"/>
        <w:docPartObj>
          <w:docPartGallery w:val="Table of Contents"/>
          <w:docPartUnique/>
        </w:docPartObj>
      </w:sdtPr>
      <w:sdtContent>
        <w:p w14:paraId="57ECDBB6" w14:textId="54ECC976" w:rsidR="00507DF8" w:rsidRDefault="00000000">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34522882" w:history="1">
            <w:r w:rsidR="00507DF8" w:rsidRPr="00EA6264">
              <w:rPr>
                <w:rStyle w:val="Hyperlink"/>
                <w:noProof/>
              </w:rPr>
              <w:t>Task 1: Marketing Environment Analysis</w:t>
            </w:r>
            <w:r w:rsidR="00507DF8">
              <w:rPr>
                <w:noProof/>
                <w:webHidden/>
              </w:rPr>
              <w:tab/>
            </w:r>
            <w:r w:rsidR="00507DF8">
              <w:rPr>
                <w:noProof/>
                <w:webHidden/>
              </w:rPr>
              <w:fldChar w:fldCharType="begin"/>
            </w:r>
            <w:r w:rsidR="00507DF8">
              <w:rPr>
                <w:noProof/>
                <w:webHidden/>
              </w:rPr>
              <w:instrText xml:space="preserve"> PAGEREF _Toc234522882 \h </w:instrText>
            </w:r>
            <w:r w:rsidR="00507DF8">
              <w:rPr>
                <w:noProof/>
                <w:webHidden/>
              </w:rPr>
            </w:r>
            <w:r w:rsidR="00507DF8">
              <w:rPr>
                <w:noProof/>
                <w:webHidden/>
              </w:rPr>
              <w:fldChar w:fldCharType="separate"/>
            </w:r>
            <w:r w:rsidR="001F32E5">
              <w:rPr>
                <w:noProof/>
                <w:webHidden/>
              </w:rPr>
              <w:t>3</w:t>
            </w:r>
            <w:r w:rsidR="00507DF8">
              <w:rPr>
                <w:noProof/>
                <w:webHidden/>
              </w:rPr>
              <w:fldChar w:fldCharType="end"/>
            </w:r>
          </w:hyperlink>
        </w:p>
        <w:p w14:paraId="34B5A7B0" w14:textId="4C737204" w:rsidR="00507DF8" w:rsidRDefault="00507DF8">
          <w:pPr>
            <w:pStyle w:val="TOC2"/>
            <w:tabs>
              <w:tab w:val="right" w:leader="dot" w:pos="9350"/>
            </w:tabs>
            <w:rPr>
              <w:noProof/>
            </w:rPr>
          </w:pPr>
          <w:hyperlink w:anchor="_Toc234522883" w:history="1">
            <w:r w:rsidRPr="00EA6264">
              <w:rPr>
                <w:rStyle w:val="Hyperlink"/>
                <w:noProof/>
              </w:rPr>
              <w:t>1.1 Analysis of Two External Marketing Environment Actors</w:t>
            </w:r>
            <w:r>
              <w:rPr>
                <w:noProof/>
                <w:webHidden/>
              </w:rPr>
              <w:tab/>
            </w:r>
            <w:r>
              <w:rPr>
                <w:noProof/>
                <w:webHidden/>
              </w:rPr>
              <w:fldChar w:fldCharType="begin"/>
            </w:r>
            <w:r>
              <w:rPr>
                <w:noProof/>
                <w:webHidden/>
              </w:rPr>
              <w:instrText xml:space="preserve"> PAGEREF _Toc234522883 \h </w:instrText>
            </w:r>
            <w:r>
              <w:rPr>
                <w:noProof/>
                <w:webHidden/>
              </w:rPr>
            </w:r>
            <w:r>
              <w:rPr>
                <w:noProof/>
                <w:webHidden/>
              </w:rPr>
              <w:fldChar w:fldCharType="separate"/>
            </w:r>
            <w:r w:rsidR="001F32E5">
              <w:rPr>
                <w:noProof/>
                <w:webHidden/>
              </w:rPr>
              <w:t>3</w:t>
            </w:r>
            <w:r>
              <w:rPr>
                <w:noProof/>
                <w:webHidden/>
              </w:rPr>
              <w:fldChar w:fldCharType="end"/>
            </w:r>
          </w:hyperlink>
        </w:p>
        <w:p w14:paraId="37EEEB39" w14:textId="2B8E5FA2" w:rsidR="00507DF8" w:rsidRDefault="00507DF8">
          <w:pPr>
            <w:pStyle w:val="TOC3"/>
            <w:tabs>
              <w:tab w:val="right" w:leader="dot" w:pos="9350"/>
            </w:tabs>
            <w:rPr>
              <w:noProof/>
            </w:rPr>
          </w:pPr>
          <w:hyperlink w:anchor="_Toc234522884" w:history="1">
            <w:r w:rsidRPr="00EA6264">
              <w:rPr>
                <w:rStyle w:val="Hyperlink"/>
                <w:noProof/>
              </w:rPr>
              <w:t>1.1.1 Environmental actors</w:t>
            </w:r>
            <w:r>
              <w:rPr>
                <w:noProof/>
                <w:webHidden/>
              </w:rPr>
              <w:tab/>
            </w:r>
            <w:r>
              <w:rPr>
                <w:noProof/>
                <w:webHidden/>
              </w:rPr>
              <w:fldChar w:fldCharType="begin"/>
            </w:r>
            <w:r>
              <w:rPr>
                <w:noProof/>
                <w:webHidden/>
              </w:rPr>
              <w:instrText xml:space="preserve"> PAGEREF _Toc234522884 \h </w:instrText>
            </w:r>
            <w:r>
              <w:rPr>
                <w:noProof/>
                <w:webHidden/>
              </w:rPr>
            </w:r>
            <w:r>
              <w:rPr>
                <w:noProof/>
                <w:webHidden/>
              </w:rPr>
              <w:fldChar w:fldCharType="separate"/>
            </w:r>
            <w:r w:rsidR="001F32E5">
              <w:rPr>
                <w:noProof/>
                <w:webHidden/>
              </w:rPr>
              <w:t>3</w:t>
            </w:r>
            <w:r>
              <w:rPr>
                <w:noProof/>
                <w:webHidden/>
              </w:rPr>
              <w:fldChar w:fldCharType="end"/>
            </w:r>
          </w:hyperlink>
        </w:p>
        <w:p w14:paraId="63C2ACD7" w14:textId="1EC34300" w:rsidR="00507DF8" w:rsidRDefault="00507DF8">
          <w:pPr>
            <w:pStyle w:val="TOC3"/>
            <w:tabs>
              <w:tab w:val="right" w:leader="dot" w:pos="9350"/>
            </w:tabs>
            <w:rPr>
              <w:noProof/>
            </w:rPr>
          </w:pPr>
          <w:hyperlink w:anchor="_Toc234522885" w:history="1">
            <w:r w:rsidRPr="00EA6264">
              <w:rPr>
                <w:rStyle w:val="Hyperlink"/>
                <w:noProof/>
              </w:rPr>
              <w:t>1.1.2 Political and regulatory environment actors</w:t>
            </w:r>
            <w:r>
              <w:rPr>
                <w:noProof/>
                <w:webHidden/>
              </w:rPr>
              <w:tab/>
            </w:r>
            <w:r>
              <w:rPr>
                <w:noProof/>
                <w:webHidden/>
              </w:rPr>
              <w:fldChar w:fldCharType="begin"/>
            </w:r>
            <w:r>
              <w:rPr>
                <w:noProof/>
                <w:webHidden/>
              </w:rPr>
              <w:instrText xml:space="preserve"> PAGEREF _Toc234522885 \h </w:instrText>
            </w:r>
            <w:r>
              <w:rPr>
                <w:noProof/>
                <w:webHidden/>
              </w:rPr>
            </w:r>
            <w:r>
              <w:rPr>
                <w:noProof/>
                <w:webHidden/>
              </w:rPr>
              <w:fldChar w:fldCharType="separate"/>
            </w:r>
            <w:r w:rsidR="001F32E5">
              <w:rPr>
                <w:noProof/>
                <w:webHidden/>
              </w:rPr>
              <w:t>6</w:t>
            </w:r>
            <w:r>
              <w:rPr>
                <w:noProof/>
                <w:webHidden/>
              </w:rPr>
              <w:fldChar w:fldCharType="end"/>
            </w:r>
          </w:hyperlink>
        </w:p>
        <w:p w14:paraId="3E6DAAB8" w14:textId="3682BB28" w:rsidR="00507DF8" w:rsidRDefault="00507DF8">
          <w:pPr>
            <w:pStyle w:val="TOC1"/>
            <w:tabs>
              <w:tab w:val="right" w:leader="dot" w:pos="9350"/>
            </w:tabs>
            <w:rPr>
              <w:noProof/>
            </w:rPr>
          </w:pPr>
          <w:hyperlink w:anchor="_Toc234522886" w:history="1">
            <w:r w:rsidRPr="00EA6264">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_Toc234522886 \h </w:instrText>
            </w:r>
            <w:r>
              <w:rPr>
                <w:noProof/>
                <w:webHidden/>
              </w:rPr>
            </w:r>
            <w:r>
              <w:rPr>
                <w:noProof/>
                <w:webHidden/>
              </w:rPr>
              <w:fldChar w:fldCharType="separate"/>
            </w:r>
            <w:r w:rsidR="001F32E5">
              <w:rPr>
                <w:noProof/>
                <w:webHidden/>
              </w:rPr>
              <w:t>9</w:t>
            </w:r>
            <w:r>
              <w:rPr>
                <w:noProof/>
                <w:webHidden/>
              </w:rPr>
              <w:fldChar w:fldCharType="end"/>
            </w:r>
          </w:hyperlink>
        </w:p>
        <w:p w14:paraId="103B1CEE" w14:textId="72E7331B" w:rsidR="00507DF8" w:rsidRDefault="00507DF8">
          <w:pPr>
            <w:pStyle w:val="TOC2"/>
            <w:tabs>
              <w:tab w:val="right" w:leader="dot" w:pos="9350"/>
            </w:tabs>
            <w:rPr>
              <w:noProof/>
            </w:rPr>
          </w:pPr>
          <w:hyperlink w:anchor="_Toc234522887" w:history="1">
            <w:r w:rsidRPr="00EA6264">
              <w:rPr>
                <w:rStyle w:val="Hyperlink"/>
                <w:noProof/>
              </w:rPr>
              <w:t>2.1 Recommendation of a Strategic Growth Approach</w:t>
            </w:r>
            <w:r>
              <w:rPr>
                <w:noProof/>
                <w:webHidden/>
              </w:rPr>
              <w:tab/>
            </w:r>
            <w:r>
              <w:rPr>
                <w:noProof/>
                <w:webHidden/>
              </w:rPr>
              <w:fldChar w:fldCharType="begin"/>
            </w:r>
            <w:r>
              <w:rPr>
                <w:noProof/>
                <w:webHidden/>
              </w:rPr>
              <w:instrText xml:space="preserve"> PAGEREF _Toc234522887 \h </w:instrText>
            </w:r>
            <w:r>
              <w:rPr>
                <w:noProof/>
                <w:webHidden/>
              </w:rPr>
            </w:r>
            <w:r>
              <w:rPr>
                <w:noProof/>
                <w:webHidden/>
              </w:rPr>
              <w:fldChar w:fldCharType="separate"/>
            </w:r>
            <w:r w:rsidR="001F32E5">
              <w:rPr>
                <w:noProof/>
                <w:webHidden/>
              </w:rPr>
              <w:t>9</w:t>
            </w:r>
            <w:r>
              <w:rPr>
                <w:noProof/>
                <w:webHidden/>
              </w:rPr>
              <w:fldChar w:fldCharType="end"/>
            </w:r>
          </w:hyperlink>
        </w:p>
        <w:p w14:paraId="46D17FE5" w14:textId="0A163F64" w:rsidR="00507DF8" w:rsidRDefault="00507DF8">
          <w:pPr>
            <w:pStyle w:val="TOC3"/>
            <w:tabs>
              <w:tab w:val="right" w:leader="dot" w:pos="9350"/>
            </w:tabs>
            <w:rPr>
              <w:noProof/>
            </w:rPr>
          </w:pPr>
          <w:hyperlink w:anchor="_Toc234522888" w:history="1">
            <w:r w:rsidRPr="00EA6264">
              <w:rPr>
                <w:rStyle w:val="Hyperlink"/>
                <w:noProof/>
              </w:rPr>
              <w:t>2.1.1 Application of the Ansoff Matrix</w:t>
            </w:r>
            <w:r>
              <w:rPr>
                <w:noProof/>
                <w:webHidden/>
              </w:rPr>
              <w:tab/>
            </w:r>
            <w:r>
              <w:rPr>
                <w:noProof/>
                <w:webHidden/>
              </w:rPr>
              <w:fldChar w:fldCharType="begin"/>
            </w:r>
            <w:r>
              <w:rPr>
                <w:noProof/>
                <w:webHidden/>
              </w:rPr>
              <w:instrText xml:space="preserve"> PAGEREF _Toc234522888 \h </w:instrText>
            </w:r>
            <w:r>
              <w:rPr>
                <w:noProof/>
                <w:webHidden/>
              </w:rPr>
            </w:r>
            <w:r>
              <w:rPr>
                <w:noProof/>
                <w:webHidden/>
              </w:rPr>
              <w:fldChar w:fldCharType="separate"/>
            </w:r>
            <w:r w:rsidR="001F32E5">
              <w:rPr>
                <w:noProof/>
                <w:webHidden/>
              </w:rPr>
              <w:t>9</w:t>
            </w:r>
            <w:r>
              <w:rPr>
                <w:noProof/>
                <w:webHidden/>
              </w:rPr>
              <w:fldChar w:fldCharType="end"/>
            </w:r>
          </w:hyperlink>
        </w:p>
        <w:p w14:paraId="6E245F30" w14:textId="78EA5EBA" w:rsidR="00507DF8" w:rsidRDefault="00507DF8">
          <w:pPr>
            <w:pStyle w:val="TOC3"/>
            <w:tabs>
              <w:tab w:val="right" w:leader="dot" w:pos="9350"/>
            </w:tabs>
            <w:rPr>
              <w:noProof/>
            </w:rPr>
          </w:pPr>
          <w:hyperlink w:anchor="_Toc234522889" w:history="1">
            <w:r w:rsidRPr="00EA6264">
              <w:rPr>
                <w:rStyle w:val="Hyperlink"/>
                <w:noProof/>
              </w:rPr>
              <w:t>2.1.2 Justification for Product Development Strategy</w:t>
            </w:r>
            <w:r>
              <w:rPr>
                <w:noProof/>
                <w:webHidden/>
              </w:rPr>
              <w:tab/>
            </w:r>
            <w:r>
              <w:rPr>
                <w:noProof/>
                <w:webHidden/>
              </w:rPr>
              <w:fldChar w:fldCharType="begin"/>
            </w:r>
            <w:r>
              <w:rPr>
                <w:noProof/>
                <w:webHidden/>
              </w:rPr>
              <w:instrText xml:space="preserve"> PAGEREF _Toc234522889 \h </w:instrText>
            </w:r>
            <w:r>
              <w:rPr>
                <w:noProof/>
                <w:webHidden/>
              </w:rPr>
            </w:r>
            <w:r>
              <w:rPr>
                <w:noProof/>
                <w:webHidden/>
              </w:rPr>
              <w:fldChar w:fldCharType="separate"/>
            </w:r>
            <w:r w:rsidR="001F32E5">
              <w:rPr>
                <w:noProof/>
                <w:webHidden/>
              </w:rPr>
              <w:t>12</w:t>
            </w:r>
            <w:r>
              <w:rPr>
                <w:noProof/>
                <w:webHidden/>
              </w:rPr>
              <w:fldChar w:fldCharType="end"/>
            </w:r>
          </w:hyperlink>
        </w:p>
        <w:p w14:paraId="04649CF7" w14:textId="0C5D3B04" w:rsidR="00507DF8" w:rsidRDefault="00507DF8">
          <w:pPr>
            <w:pStyle w:val="TOC3"/>
            <w:tabs>
              <w:tab w:val="right" w:leader="dot" w:pos="9350"/>
            </w:tabs>
            <w:rPr>
              <w:noProof/>
            </w:rPr>
          </w:pPr>
          <w:hyperlink w:anchor="_Toc234522890" w:history="1">
            <w:r w:rsidRPr="00EA6264">
              <w:rPr>
                <w:rStyle w:val="Hyperlink"/>
                <w:noProof/>
              </w:rPr>
              <w:t>2.1.3 Growth Opportunities in the Green Steel Market</w:t>
            </w:r>
            <w:r>
              <w:rPr>
                <w:noProof/>
                <w:webHidden/>
              </w:rPr>
              <w:tab/>
            </w:r>
            <w:r>
              <w:rPr>
                <w:noProof/>
                <w:webHidden/>
              </w:rPr>
              <w:fldChar w:fldCharType="begin"/>
            </w:r>
            <w:r>
              <w:rPr>
                <w:noProof/>
                <w:webHidden/>
              </w:rPr>
              <w:instrText xml:space="preserve"> PAGEREF _Toc234522890 \h </w:instrText>
            </w:r>
            <w:r>
              <w:rPr>
                <w:noProof/>
                <w:webHidden/>
              </w:rPr>
            </w:r>
            <w:r>
              <w:rPr>
                <w:noProof/>
                <w:webHidden/>
              </w:rPr>
              <w:fldChar w:fldCharType="separate"/>
            </w:r>
            <w:r w:rsidR="001F32E5">
              <w:rPr>
                <w:noProof/>
                <w:webHidden/>
              </w:rPr>
              <w:t>13</w:t>
            </w:r>
            <w:r>
              <w:rPr>
                <w:noProof/>
                <w:webHidden/>
              </w:rPr>
              <w:fldChar w:fldCharType="end"/>
            </w:r>
          </w:hyperlink>
        </w:p>
        <w:p w14:paraId="22E67232" w14:textId="504F26C5" w:rsidR="00507DF8" w:rsidRDefault="00507DF8">
          <w:pPr>
            <w:pStyle w:val="TOC2"/>
            <w:tabs>
              <w:tab w:val="right" w:leader="dot" w:pos="9350"/>
            </w:tabs>
            <w:rPr>
              <w:noProof/>
            </w:rPr>
          </w:pPr>
          <w:hyperlink w:anchor="_Toc234522891" w:history="1">
            <w:r w:rsidRPr="00EA6264">
              <w:rPr>
                <w:rStyle w:val="Hyperlink"/>
                <w:noProof/>
              </w:rPr>
              <w:t>2.2 Achieving the Competitive Edge through the Lower-Carbon Business Model</w:t>
            </w:r>
            <w:r>
              <w:rPr>
                <w:noProof/>
                <w:webHidden/>
              </w:rPr>
              <w:tab/>
            </w:r>
            <w:r>
              <w:rPr>
                <w:noProof/>
                <w:webHidden/>
              </w:rPr>
              <w:fldChar w:fldCharType="begin"/>
            </w:r>
            <w:r>
              <w:rPr>
                <w:noProof/>
                <w:webHidden/>
              </w:rPr>
              <w:instrText xml:space="preserve"> PAGEREF _Toc234522891 \h </w:instrText>
            </w:r>
            <w:r>
              <w:rPr>
                <w:noProof/>
                <w:webHidden/>
              </w:rPr>
            </w:r>
            <w:r>
              <w:rPr>
                <w:noProof/>
                <w:webHidden/>
              </w:rPr>
              <w:fldChar w:fldCharType="separate"/>
            </w:r>
            <w:r w:rsidR="001F32E5">
              <w:rPr>
                <w:noProof/>
                <w:webHidden/>
              </w:rPr>
              <w:t>13</w:t>
            </w:r>
            <w:r>
              <w:rPr>
                <w:noProof/>
                <w:webHidden/>
              </w:rPr>
              <w:fldChar w:fldCharType="end"/>
            </w:r>
          </w:hyperlink>
        </w:p>
        <w:p w14:paraId="7DB7A00F" w14:textId="5B704182" w:rsidR="00507DF8" w:rsidRDefault="00507DF8">
          <w:pPr>
            <w:pStyle w:val="TOC3"/>
            <w:tabs>
              <w:tab w:val="right" w:leader="dot" w:pos="9350"/>
            </w:tabs>
            <w:rPr>
              <w:noProof/>
            </w:rPr>
          </w:pPr>
          <w:hyperlink w:anchor="_Toc234522892" w:history="1">
            <w:r w:rsidRPr="00EA6264">
              <w:rPr>
                <w:rStyle w:val="Hyperlink"/>
                <w:noProof/>
              </w:rPr>
              <w:t>2.2.1 Porter’s Generic Model for Competitive Advantage Perspective</w:t>
            </w:r>
            <w:r>
              <w:rPr>
                <w:noProof/>
                <w:webHidden/>
              </w:rPr>
              <w:tab/>
            </w:r>
            <w:r>
              <w:rPr>
                <w:noProof/>
                <w:webHidden/>
              </w:rPr>
              <w:fldChar w:fldCharType="begin"/>
            </w:r>
            <w:r>
              <w:rPr>
                <w:noProof/>
                <w:webHidden/>
              </w:rPr>
              <w:instrText xml:space="preserve"> PAGEREF _Toc234522892 \h </w:instrText>
            </w:r>
            <w:r>
              <w:rPr>
                <w:noProof/>
                <w:webHidden/>
              </w:rPr>
            </w:r>
            <w:r>
              <w:rPr>
                <w:noProof/>
                <w:webHidden/>
              </w:rPr>
              <w:fldChar w:fldCharType="separate"/>
            </w:r>
            <w:r w:rsidR="001F32E5">
              <w:rPr>
                <w:noProof/>
                <w:webHidden/>
              </w:rPr>
              <w:t>13</w:t>
            </w:r>
            <w:r>
              <w:rPr>
                <w:noProof/>
                <w:webHidden/>
              </w:rPr>
              <w:fldChar w:fldCharType="end"/>
            </w:r>
          </w:hyperlink>
        </w:p>
        <w:p w14:paraId="08844CA0" w14:textId="723FED86" w:rsidR="00507DF8" w:rsidRDefault="00507DF8">
          <w:pPr>
            <w:pStyle w:val="TOC3"/>
            <w:tabs>
              <w:tab w:val="right" w:leader="dot" w:pos="9350"/>
            </w:tabs>
            <w:rPr>
              <w:noProof/>
            </w:rPr>
          </w:pPr>
          <w:hyperlink w:anchor="_Toc234522893" w:history="1">
            <w:r w:rsidRPr="00EA6264">
              <w:rPr>
                <w:rStyle w:val="Hyperlink"/>
                <w:noProof/>
              </w:rPr>
              <w:t>2.2.2 Sustainability as a Source of Differentiation</w:t>
            </w:r>
            <w:r>
              <w:rPr>
                <w:noProof/>
                <w:webHidden/>
              </w:rPr>
              <w:tab/>
            </w:r>
            <w:r>
              <w:rPr>
                <w:noProof/>
                <w:webHidden/>
              </w:rPr>
              <w:fldChar w:fldCharType="begin"/>
            </w:r>
            <w:r>
              <w:rPr>
                <w:noProof/>
                <w:webHidden/>
              </w:rPr>
              <w:instrText xml:space="preserve"> PAGEREF _Toc234522893 \h </w:instrText>
            </w:r>
            <w:r>
              <w:rPr>
                <w:noProof/>
                <w:webHidden/>
              </w:rPr>
            </w:r>
            <w:r>
              <w:rPr>
                <w:noProof/>
                <w:webHidden/>
              </w:rPr>
              <w:fldChar w:fldCharType="separate"/>
            </w:r>
            <w:r w:rsidR="001F32E5">
              <w:rPr>
                <w:noProof/>
                <w:webHidden/>
              </w:rPr>
              <w:t>14</w:t>
            </w:r>
            <w:r>
              <w:rPr>
                <w:noProof/>
                <w:webHidden/>
              </w:rPr>
              <w:fldChar w:fldCharType="end"/>
            </w:r>
          </w:hyperlink>
        </w:p>
        <w:p w14:paraId="567C3C43" w14:textId="1FDC6EEB" w:rsidR="00507DF8" w:rsidRDefault="00507DF8">
          <w:pPr>
            <w:pStyle w:val="TOC3"/>
            <w:tabs>
              <w:tab w:val="right" w:leader="dot" w:pos="9350"/>
            </w:tabs>
            <w:rPr>
              <w:noProof/>
            </w:rPr>
          </w:pPr>
          <w:hyperlink w:anchor="_Toc234522894" w:history="1">
            <w:r w:rsidRPr="00EA6264">
              <w:rPr>
                <w:rStyle w:val="Hyperlink"/>
                <w:noProof/>
              </w:rPr>
              <w:t>2.2.3 Long-Term Competitive Positioning of Tata Steel</w:t>
            </w:r>
            <w:r>
              <w:rPr>
                <w:noProof/>
                <w:webHidden/>
              </w:rPr>
              <w:tab/>
            </w:r>
            <w:r>
              <w:rPr>
                <w:noProof/>
                <w:webHidden/>
              </w:rPr>
              <w:fldChar w:fldCharType="begin"/>
            </w:r>
            <w:r>
              <w:rPr>
                <w:noProof/>
                <w:webHidden/>
              </w:rPr>
              <w:instrText xml:space="preserve"> PAGEREF _Toc234522894 \h </w:instrText>
            </w:r>
            <w:r>
              <w:rPr>
                <w:noProof/>
                <w:webHidden/>
              </w:rPr>
            </w:r>
            <w:r>
              <w:rPr>
                <w:noProof/>
                <w:webHidden/>
              </w:rPr>
              <w:fldChar w:fldCharType="separate"/>
            </w:r>
            <w:r w:rsidR="001F32E5">
              <w:rPr>
                <w:noProof/>
                <w:webHidden/>
              </w:rPr>
              <w:t>15</w:t>
            </w:r>
            <w:r>
              <w:rPr>
                <w:noProof/>
                <w:webHidden/>
              </w:rPr>
              <w:fldChar w:fldCharType="end"/>
            </w:r>
          </w:hyperlink>
        </w:p>
        <w:p w14:paraId="7720C1A2" w14:textId="10A798A3" w:rsidR="00507DF8" w:rsidRDefault="00507DF8">
          <w:pPr>
            <w:pStyle w:val="TOC1"/>
            <w:tabs>
              <w:tab w:val="right" w:leader="dot" w:pos="9350"/>
            </w:tabs>
            <w:rPr>
              <w:noProof/>
            </w:rPr>
          </w:pPr>
          <w:hyperlink w:anchor="_Toc234522895" w:history="1">
            <w:r w:rsidRPr="00EA6264">
              <w:rPr>
                <w:rStyle w:val="Hyperlink"/>
                <w:noProof/>
              </w:rPr>
              <w:t>Task 3: Critical Reflection on AI Usage</w:t>
            </w:r>
            <w:r>
              <w:rPr>
                <w:noProof/>
                <w:webHidden/>
              </w:rPr>
              <w:tab/>
            </w:r>
            <w:r>
              <w:rPr>
                <w:noProof/>
                <w:webHidden/>
              </w:rPr>
              <w:fldChar w:fldCharType="begin"/>
            </w:r>
            <w:r>
              <w:rPr>
                <w:noProof/>
                <w:webHidden/>
              </w:rPr>
              <w:instrText xml:space="preserve"> PAGEREF _Toc234522895 \h </w:instrText>
            </w:r>
            <w:r>
              <w:rPr>
                <w:noProof/>
                <w:webHidden/>
              </w:rPr>
            </w:r>
            <w:r>
              <w:rPr>
                <w:noProof/>
                <w:webHidden/>
              </w:rPr>
              <w:fldChar w:fldCharType="separate"/>
            </w:r>
            <w:r w:rsidR="001F32E5">
              <w:rPr>
                <w:noProof/>
                <w:webHidden/>
              </w:rPr>
              <w:t>17</w:t>
            </w:r>
            <w:r>
              <w:rPr>
                <w:noProof/>
                <w:webHidden/>
              </w:rPr>
              <w:fldChar w:fldCharType="end"/>
            </w:r>
          </w:hyperlink>
        </w:p>
        <w:p w14:paraId="3EB16840" w14:textId="12660591" w:rsidR="00507DF8" w:rsidRDefault="00507DF8">
          <w:pPr>
            <w:pStyle w:val="TOC2"/>
            <w:tabs>
              <w:tab w:val="right" w:leader="dot" w:pos="9350"/>
            </w:tabs>
            <w:rPr>
              <w:noProof/>
            </w:rPr>
          </w:pPr>
          <w:hyperlink w:anchor="_Toc234522896" w:history="1">
            <w:r w:rsidRPr="00EA6264">
              <w:rPr>
                <w:rStyle w:val="Hyperlink"/>
                <w:noProof/>
              </w:rPr>
              <w:t>3.1 Tool Disclosure</w:t>
            </w:r>
            <w:r>
              <w:rPr>
                <w:noProof/>
                <w:webHidden/>
              </w:rPr>
              <w:tab/>
            </w:r>
            <w:r>
              <w:rPr>
                <w:noProof/>
                <w:webHidden/>
              </w:rPr>
              <w:fldChar w:fldCharType="begin"/>
            </w:r>
            <w:r>
              <w:rPr>
                <w:noProof/>
                <w:webHidden/>
              </w:rPr>
              <w:instrText xml:space="preserve"> PAGEREF _Toc234522896 \h </w:instrText>
            </w:r>
            <w:r>
              <w:rPr>
                <w:noProof/>
                <w:webHidden/>
              </w:rPr>
            </w:r>
            <w:r>
              <w:rPr>
                <w:noProof/>
                <w:webHidden/>
              </w:rPr>
              <w:fldChar w:fldCharType="separate"/>
            </w:r>
            <w:r w:rsidR="001F32E5">
              <w:rPr>
                <w:noProof/>
                <w:webHidden/>
              </w:rPr>
              <w:t>17</w:t>
            </w:r>
            <w:r>
              <w:rPr>
                <w:noProof/>
                <w:webHidden/>
              </w:rPr>
              <w:fldChar w:fldCharType="end"/>
            </w:r>
          </w:hyperlink>
        </w:p>
        <w:p w14:paraId="36F93797" w14:textId="0007ED44" w:rsidR="00507DF8" w:rsidRDefault="00507DF8">
          <w:pPr>
            <w:pStyle w:val="TOC2"/>
            <w:tabs>
              <w:tab w:val="right" w:leader="dot" w:pos="9350"/>
            </w:tabs>
            <w:rPr>
              <w:noProof/>
            </w:rPr>
          </w:pPr>
          <w:hyperlink w:anchor="_Toc234522897" w:history="1">
            <w:r w:rsidRPr="00EA6264">
              <w:rPr>
                <w:rStyle w:val="Hyperlink"/>
                <w:noProof/>
              </w:rPr>
              <w:t>3.2 Critical Evaluation of AI Output</w:t>
            </w:r>
            <w:r>
              <w:rPr>
                <w:noProof/>
                <w:webHidden/>
              </w:rPr>
              <w:tab/>
            </w:r>
            <w:r>
              <w:rPr>
                <w:noProof/>
                <w:webHidden/>
              </w:rPr>
              <w:fldChar w:fldCharType="begin"/>
            </w:r>
            <w:r>
              <w:rPr>
                <w:noProof/>
                <w:webHidden/>
              </w:rPr>
              <w:instrText xml:space="preserve"> PAGEREF _Toc234522897 \h </w:instrText>
            </w:r>
            <w:r>
              <w:rPr>
                <w:noProof/>
                <w:webHidden/>
              </w:rPr>
            </w:r>
            <w:r>
              <w:rPr>
                <w:noProof/>
                <w:webHidden/>
              </w:rPr>
              <w:fldChar w:fldCharType="separate"/>
            </w:r>
            <w:r w:rsidR="001F32E5">
              <w:rPr>
                <w:noProof/>
                <w:webHidden/>
              </w:rPr>
              <w:t>19</w:t>
            </w:r>
            <w:r>
              <w:rPr>
                <w:noProof/>
                <w:webHidden/>
              </w:rPr>
              <w:fldChar w:fldCharType="end"/>
            </w:r>
          </w:hyperlink>
        </w:p>
        <w:p w14:paraId="11D67B9E" w14:textId="42FA2585" w:rsidR="00507DF8" w:rsidRDefault="00507DF8">
          <w:pPr>
            <w:pStyle w:val="TOC2"/>
            <w:tabs>
              <w:tab w:val="right" w:leader="dot" w:pos="9350"/>
            </w:tabs>
            <w:rPr>
              <w:noProof/>
            </w:rPr>
          </w:pPr>
          <w:hyperlink w:anchor="_Toc234522898" w:history="1">
            <w:r w:rsidRPr="00EA6264">
              <w:rPr>
                <w:rStyle w:val="Hyperlink"/>
                <w:noProof/>
              </w:rPr>
              <w:t>3.3 Contribution Analysis</w:t>
            </w:r>
            <w:r>
              <w:rPr>
                <w:noProof/>
                <w:webHidden/>
              </w:rPr>
              <w:tab/>
            </w:r>
            <w:r>
              <w:rPr>
                <w:noProof/>
                <w:webHidden/>
              </w:rPr>
              <w:fldChar w:fldCharType="begin"/>
            </w:r>
            <w:r>
              <w:rPr>
                <w:noProof/>
                <w:webHidden/>
              </w:rPr>
              <w:instrText xml:space="preserve"> PAGEREF _Toc234522898 \h </w:instrText>
            </w:r>
            <w:r>
              <w:rPr>
                <w:noProof/>
                <w:webHidden/>
              </w:rPr>
            </w:r>
            <w:r>
              <w:rPr>
                <w:noProof/>
                <w:webHidden/>
              </w:rPr>
              <w:fldChar w:fldCharType="separate"/>
            </w:r>
            <w:r w:rsidR="001F32E5">
              <w:rPr>
                <w:noProof/>
                <w:webHidden/>
              </w:rPr>
              <w:t>19</w:t>
            </w:r>
            <w:r>
              <w:rPr>
                <w:noProof/>
                <w:webHidden/>
              </w:rPr>
              <w:fldChar w:fldCharType="end"/>
            </w:r>
          </w:hyperlink>
        </w:p>
        <w:p w14:paraId="6C51151E" w14:textId="4116A175" w:rsidR="00507DF8" w:rsidRDefault="00507DF8">
          <w:pPr>
            <w:pStyle w:val="TOC2"/>
            <w:tabs>
              <w:tab w:val="right" w:leader="dot" w:pos="9350"/>
            </w:tabs>
            <w:rPr>
              <w:noProof/>
            </w:rPr>
          </w:pPr>
          <w:hyperlink w:anchor="_Toc234522899" w:history="1">
            <w:r w:rsidRPr="00EA6264">
              <w:rPr>
                <w:rStyle w:val="Hyperlink"/>
                <w:noProof/>
              </w:rPr>
              <w:t>3.4 Ethical &amp; Professional Reflection</w:t>
            </w:r>
            <w:r>
              <w:rPr>
                <w:noProof/>
                <w:webHidden/>
              </w:rPr>
              <w:tab/>
            </w:r>
            <w:r>
              <w:rPr>
                <w:noProof/>
                <w:webHidden/>
              </w:rPr>
              <w:fldChar w:fldCharType="begin"/>
            </w:r>
            <w:r>
              <w:rPr>
                <w:noProof/>
                <w:webHidden/>
              </w:rPr>
              <w:instrText xml:space="preserve"> PAGEREF _Toc234522899 \h </w:instrText>
            </w:r>
            <w:r>
              <w:rPr>
                <w:noProof/>
                <w:webHidden/>
              </w:rPr>
            </w:r>
            <w:r>
              <w:rPr>
                <w:noProof/>
                <w:webHidden/>
              </w:rPr>
              <w:fldChar w:fldCharType="separate"/>
            </w:r>
            <w:r w:rsidR="001F32E5">
              <w:rPr>
                <w:noProof/>
                <w:webHidden/>
              </w:rPr>
              <w:t>19</w:t>
            </w:r>
            <w:r>
              <w:rPr>
                <w:noProof/>
                <w:webHidden/>
              </w:rPr>
              <w:fldChar w:fldCharType="end"/>
            </w:r>
          </w:hyperlink>
        </w:p>
        <w:p w14:paraId="7DA40CFE" w14:textId="1FB480C3" w:rsidR="00507DF8" w:rsidRDefault="00507DF8">
          <w:pPr>
            <w:pStyle w:val="TOC1"/>
            <w:tabs>
              <w:tab w:val="right" w:leader="dot" w:pos="9350"/>
            </w:tabs>
            <w:rPr>
              <w:noProof/>
            </w:rPr>
          </w:pPr>
          <w:hyperlink w:anchor="_Toc234522900" w:history="1">
            <w:r w:rsidRPr="00EA6264">
              <w:rPr>
                <w:rStyle w:val="Hyperlink"/>
                <w:noProof/>
              </w:rPr>
              <w:t>Reference list</w:t>
            </w:r>
            <w:r>
              <w:rPr>
                <w:noProof/>
                <w:webHidden/>
              </w:rPr>
              <w:tab/>
            </w:r>
            <w:r>
              <w:rPr>
                <w:noProof/>
                <w:webHidden/>
              </w:rPr>
              <w:fldChar w:fldCharType="begin"/>
            </w:r>
            <w:r>
              <w:rPr>
                <w:noProof/>
                <w:webHidden/>
              </w:rPr>
              <w:instrText xml:space="preserve"> PAGEREF _Toc234522900 \h </w:instrText>
            </w:r>
            <w:r>
              <w:rPr>
                <w:noProof/>
                <w:webHidden/>
              </w:rPr>
            </w:r>
            <w:r>
              <w:rPr>
                <w:noProof/>
                <w:webHidden/>
              </w:rPr>
              <w:fldChar w:fldCharType="separate"/>
            </w:r>
            <w:r w:rsidR="001F32E5">
              <w:rPr>
                <w:noProof/>
                <w:webHidden/>
              </w:rPr>
              <w:t>21</w:t>
            </w:r>
            <w:r>
              <w:rPr>
                <w:noProof/>
                <w:webHidden/>
              </w:rPr>
              <w:fldChar w:fldCharType="end"/>
            </w:r>
          </w:hyperlink>
        </w:p>
        <w:p w14:paraId="29B382FF" w14:textId="19935819" w:rsidR="00722E2D" w:rsidRDefault="00000000">
          <w:pPr>
            <w:widowControl w:val="0"/>
            <w:pBdr>
              <w:top w:val="nil"/>
              <w:left w:val="nil"/>
              <w:bottom w:val="nil"/>
              <w:right w:val="nil"/>
              <w:between w:val="nil"/>
            </w:pBdr>
            <w:tabs>
              <w:tab w:val="right" w:pos="9360"/>
            </w:tabs>
            <w:spacing w:before="60" w:after="0"/>
            <w:rPr>
              <w:rFonts w:ascii="Arial" w:eastAsia="Arial" w:hAnsi="Arial" w:cs="Arial"/>
              <w:color w:val="000000"/>
            </w:rPr>
          </w:pPr>
          <w:r>
            <w:fldChar w:fldCharType="end"/>
          </w:r>
        </w:p>
      </w:sdtContent>
    </w:sdt>
    <w:p w14:paraId="66B54B13" w14:textId="77777777" w:rsidR="00722E2D" w:rsidRDefault="00000000">
      <w:pPr>
        <w:pBdr>
          <w:top w:val="nil"/>
          <w:left w:val="nil"/>
          <w:bottom w:val="nil"/>
          <w:right w:val="nil"/>
          <w:between w:val="nil"/>
        </w:pBdr>
        <w:rPr>
          <w:rFonts w:ascii="Arial" w:eastAsia="Arial" w:hAnsi="Arial" w:cs="Arial"/>
          <w:b/>
          <w:bCs/>
          <w:color w:val="000000"/>
        </w:rPr>
      </w:pPr>
      <w:r>
        <w:br w:type="page"/>
      </w:r>
    </w:p>
    <w:p w14:paraId="540DFAF5" w14:textId="77777777" w:rsidR="00722E2D" w:rsidRDefault="00000000">
      <w:pPr>
        <w:pStyle w:val="Heading1"/>
      </w:pPr>
      <w:bookmarkStart w:id="0" w:name="_Toc234522882"/>
      <w:r>
        <w:lastRenderedPageBreak/>
        <w:t>Task 1: Marketing Environment Analysis</w:t>
      </w:r>
      <w:bookmarkEnd w:id="0"/>
      <w:r>
        <w:t xml:space="preserve"> </w:t>
      </w:r>
    </w:p>
    <w:p w14:paraId="376167CA" w14:textId="77777777" w:rsidR="00722E2D" w:rsidRDefault="00000000">
      <w:pPr>
        <w:pStyle w:val="Heading2"/>
      </w:pPr>
      <w:bookmarkStart w:id="1" w:name="_Toc234522883"/>
      <w:r>
        <w:t>1.1 Analysis of Two External Marketing Environment Actors</w:t>
      </w:r>
      <w:bookmarkEnd w:id="1"/>
      <w:r>
        <w:t xml:space="preserve"> </w:t>
      </w:r>
    </w:p>
    <w:p w14:paraId="2ED7819B" w14:textId="77777777" w:rsidR="00722E2D" w:rsidRDefault="00000000">
      <w:pPr>
        <w:pStyle w:val="Heading3"/>
      </w:pPr>
      <w:bookmarkStart w:id="2" w:name="_Toc234522884"/>
      <w:r>
        <w:t>1.1.1 Environmental actors</w:t>
      </w:r>
      <w:bookmarkEnd w:id="2"/>
      <w:r>
        <w:t xml:space="preserve"> </w:t>
      </w:r>
    </w:p>
    <w:p w14:paraId="1C93ED41" w14:textId="77777777" w:rsidR="00722E2D"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 xml:space="preserve">Climate change and </w:t>
      </w:r>
      <w:proofErr w:type="spellStart"/>
      <w:r>
        <w:rPr>
          <w:rFonts w:ascii="Arial" w:eastAsia="Arial" w:hAnsi="Arial" w:cs="Arial"/>
          <w:b/>
          <w:bCs/>
          <w:color w:val="000000"/>
        </w:rPr>
        <w:t>decarbonisation</w:t>
      </w:r>
      <w:proofErr w:type="spellEnd"/>
      <w:r>
        <w:rPr>
          <w:rFonts w:ascii="Arial" w:eastAsia="Arial" w:hAnsi="Arial" w:cs="Arial"/>
          <w:b/>
          <w:bCs/>
          <w:color w:val="000000"/>
        </w:rPr>
        <w:t xml:space="preserve"> pressures</w:t>
      </w:r>
    </w:p>
    <w:p w14:paraId="72019733" w14:textId="77777777" w:rsidR="00722E2D" w:rsidRDefault="00000000">
      <w:pPr>
        <w:pBdr>
          <w:top w:val="nil"/>
          <w:left w:val="nil"/>
          <w:bottom w:val="nil"/>
          <w:right w:val="nil"/>
          <w:between w:val="nil"/>
        </w:pBdr>
        <w:rPr>
          <w:rFonts w:ascii="Arial" w:eastAsia="Arial" w:hAnsi="Arial" w:cs="Arial"/>
        </w:rPr>
      </w:pPr>
      <w:r>
        <w:rPr>
          <w:rFonts w:ascii="Arial" w:eastAsia="Arial" w:hAnsi="Arial" w:cs="Arial"/>
          <w:color w:val="000000"/>
        </w:rPr>
        <w:t xml:space="preserve">External environmental forces, including pressure from </w:t>
      </w:r>
      <w:proofErr w:type="spellStart"/>
      <w:r>
        <w:rPr>
          <w:rFonts w:ascii="Arial" w:eastAsia="Arial" w:hAnsi="Arial" w:cs="Arial"/>
          <w:color w:val="000000"/>
        </w:rPr>
        <w:t>decarbonisation</w:t>
      </w:r>
      <w:proofErr w:type="spellEnd"/>
      <w:r>
        <w:rPr>
          <w:rFonts w:ascii="Arial" w:eastAsia="Arial" w:hAnsi="Arial" w:cs="Arial"/>
          <w:color w:val="000000"/>
        </w:rPr>
        <w:t xml:space="preserve"> policies and climate change, influenced the internal and external business operations of Tata Steel in India. The Indian steel sector accounts for 10-12% of the country's greenhouse gas emissions, making it a major carbon-intensive sector.</w:t>
      </w:r>
    </w:p>
    <w:p w14:paraId="42126F65"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Additionally, the global average range of emissions around 2.0 tCO2/t has been crossed by the Indian steel sector as it contributes 2.55-2.65 </w:t>
      </w:r>
      <w:proofErr w:type="spellStart"/>
      <w:r>
        <w:rPr>
          <w:rFonts w:ascii="Arial" w:eastAsia="Arial" w:hAnsi="Arial" w:cs="Arial"/>
          <w:color w:val="000000"/>
        </w:rPr>
        <w:t>tonnes</w:t>
      </w:r>
      <w:proofErr w:type="spellEnd"/>
      <w:r>
        <w:rPr>
          <w:rFonts w:ascii="Arial" w:eastAsia="Arial" w:hAnsi="Arial" w:cs="Arial"/>
          <w:color w:val="000000"/>
        </w:rPr>
        <w:t xml:space="preserve"> of CO₂ per </w:t>
      </w:r>
      <w:proofErr w:type="spellStart"/>
      <w:r>
        <w:rPr>
          <w:rFonts w:ascii="Arial" w:eastAsia="Arial" w:hAnsi="Arial" w:cs="Arial"/>
          <w:color w:val="000000"/>
        </w:rPr>
        <w:t>tonne</w:t>
      </w:r>
      <w:proofErr w:type="spellEnd"/>
      <w:r>
        <w:rPr>
          <w:rFonts w:ascii="Arial" w:eastAsia="Arial" w:hAnsi="Arial" w:cs="Arial"/>
          <w:color w:val="000000"/>
        </w:rPr>
        <w:t xml:space="preserve"> of steel (</w:t>
      </w:r>
      <w:proofErr w:type="spellStart"/>
      <w:r>
        <w:rPr>
          <w:rFonts w:ascii="Arial" w:eastAsia="Arial" w:hAnsi="Arial" w:cs="Arial"/>
          <w:color w:val="000000"/>
        </w:rPr>
        <w:t>Myllyvirta</w:t>
      </w:r>
      <w:proofErr w:type="spellEnd"/>
      <w:r>
        <w:rPr>
          <w:rFonts w:ascii="Arial" w:eastAsia="Arial" w:hAnsi="Arial" w:cs="Arial"/>
          <w:color w:val="000000"/>
        </w:rPr>
        <w:t xml:space="preserve"> and Aggarwal, 2026). Following sustainability standards, the Indian government aims to increase production capacity to 400 million </w:t>
      </w:r>
      <w:proofErr w:type="spellStart"/>
      <w:r>
        <w:rPr>
          <w:rFonts w:ascii="Arial" w:eastAsia="Arial" w:hAnsi="Arial" w:cs="Arial"/>
          <w:color w:val="000000"/>
        </w:rPr>
        <w:t>tonnes</w:t>
      </w:r>
      <w:proofErr w:type="spellEnd"/>
      <w:r>
        <w:rPr>
          <w:rFonts w:ascii="Arial" w:eastAsia="Arial" w:hAnsi="Arial" w:cs="Arial"/>
          <w:color w:val="000000"/>
        </w:rPr>
        <w:t xml:space="preserve"> with an emission reduction by 25% by 2035. </w:t>
      </w:r>
    </w:p>
    <w:p w14:paraId="584856DF"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257005E9" wp14:editId="559F83A6">
            <wp:extent cx="5943600" cy="363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632200"/>
                    </a:xfrm>
                    <a:prstGeom prst="rect">
                      <a:avLst/>
                    </a:prstGeom>
                    <a:ln/>
                  </pic:spPr>
                </pic:pic>
              </a:graphicData>
            </a:graphic>
          </wp:inline>
        </w:drawing>
      </w:r>
    </w:p>
    <w:p w14:paraId="6A399967"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Figure 1: Carbon emission in India through the years</w:t>
      </w:r>
    </w:p>
    <w:p w14:paraId="3EBEEFF1"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w:t>
      </w:r>
      <w:proofErr w:type="spellStart"/>
      <w:r>
        <w:rPr>
          <w:rFonts w:ascii="Arial" w:eastAsia="Arial" w:hAnsi="Arial" w:cs="Arial"/>
          <w:color w:val="000000"/>
        </w:rPr>
        <w:t>Myllyvirta</w:t>
      </w:r>
      <w:proofErr w:type="spellEnd"/>
      <w:r>
        <w:rPr>
          <w:rFonts w:ascii="Arial" w:eastAsia="Arial" w:hAnsi="Arial" w:cs="Arial"/>
          <w:color w:val="000000"/>
        </w:rPr>
        <w:t xml:space="preserve"> and Aggarwal, 2026)</w:t>
      </w:r>
    </w:p>
    <w:p w14:paraId="3E07BD21"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Henceforth, Tata Steel is also operating to accelerate its </w:t>
      </w:r>
      <w:proofErr w:type="spellStart"/>
      <w:r>
        <w:rPr>
          <w:rFonts w:ascii="Arial" w:eastAsia="Arial" w:hAnsi="Arial" w:cs="Arial"/>
          <w:color w:val="000000"/>
        </w:rPr>
        <w:t>decarbonisation</w:t>
      </w:r>
      <w:proofErr w:type="spellEnd"/>
      <w:r>
        <w:rPr>
          <w:rFonts w:ascii="Arial" w:eastAsia="Arial" w:hAnsi="Arial" w:cs="Arial"/>
          <w:color w:val="000000"/>
        </w:rPr>
        <w:t xml:space="preserve"> strategy and strive to comply with regulatory expectations as well as market demands. In 2025, Tata Steel reported 2.22 </w:t>
      </w:r>
      <w:proofErr w:type="spellStart"/>
      <w:r>
        <w:rPr>
          <w:rFonts w:ascii="Arial" w:eastAsia="Arial" w:hAnsi="Arial" w:cs="Arial"/>
          <w:color w:val="000000"/>
        </w:rPr>
        <w:t>tCO</w:t>
      </w:r>
      <w:proofErr w:type="spellEnd"/>
      <w:r>
        <w:rPr>
          <w:rFonts w:ascii="Arial" w:eastAsia="Arial" w:hAnsi="Arial" w:cs="Arial"/>
          <w:color w:val="000000"/>
        </w:rPr>
        <w:t xml:space="preserve">₂ per </w:t>
      </w:r>
      <w:proofErr w:type="spellStart"/>
      <w:r>
        <w:rPr>
          <w:rFonts w:ascii="Arial" w:eastAsia="Arial" w:hAnsi="Arial" w:cs="Arial"/>
          <w:color w:val="000000"/>
        </w:rPr>
        <w:t>tonne</w:t>
      </w:r>
      <w:proofErr w:type="spellEnd"/>
      <w:r>
        <w:rPr>
          <w:rFonts w:ascii="Arial" w:eastAsia="Arial" w:hAnsi="Arial" w:cs="Arial"/>
          <w:color w:val="000000"/>
        </w:rPr>
        <w:t xml:space="preserve"> of crude steel emission and targeted to reduce it to &lt;2.0 </w:t>
      </w:r>
      <w:proofErr w:type="spellStart"/>
      <w:r>
        <w:rPr>
          <w:rFonts w:ascii="Arial" w:eastAsia="Arial" w:hAnsi="Arial" w:cs="Arial"/>
          <w:color w:val="000000"/>
        </w:rPr>
        <w:t>tCO</w:t>
      </w:r>
      <w:proofErr w:type="spellEnd"/>
      <w:r>
        <w:rPr>
          <w:rFonts w:ascii="Arial" w:eastAsia="Arial" w:hAnsi="Arial" w:cs="Arial"/>
          <w:color w:val="000000"/>
        </w:rPr>
        <w:t xml:space="preserve">₂/t by 2045 while achieving net-zero emissions (Tata Steel, 2026). Likewise, the investment priorities, production and technological adoption are also transforming in the Indian market. </w:t>
      </w:r>
    </w:p>
    <w:p w14:paraId="49EF66E4"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638A667F" wp14:editId="4F8B0541">
            <wp:extent cx="5943600" cy="2895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895600"/>
                    </a:xfrm>
                    <a:prstGeom prst="rect">
                      <a:avLst/>
                    </a:prstGeom>
                    <a:ln/>
                  </pic:spPr>
                </pic:pic>
              </a:graphicData>
            </a:graphic>
          </wp:inline>
        </w:drawing>
      </w:r>
    </w:p>
    <w:p w14:paraId="004B12BF"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Figure 2: CO2 emission trend of Tata Steel</w:t>
      </w:r>
    </w:p>
    <w:p w14:paraId="5B1ADBAA"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(Source: Tata Steel, 2026)</w:t>
      </w:r>
    </w:p>
    <w:p w14:paraId="3069DE07" w14:textId="77777777" w:rsidR="00722E2D"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Environmental regulations and carbon policies</w:t>
      </w:r>
    </w:p>
    <w:p w14:paraId="68778F87"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Environmental regulations and government policies regarding </w:t>
      </w:r>
      <w:proofErr w:type="spellStart"/>
      <w:r>
        <w:rPr>
          <w:rFonts w:ascii="Arial" w:eastAsia="Arial" w:hAnsi="Arial" w:cs="Arial"/>
          <w:color w:val="000000"/>
        </w:rPr>
        <w:t>decarbonisation</w:t>
      </w:r>
      <w:proofErr w:type="spellEnd"/>
      <w:r>
        <w:rPr>
          <w:rFonts w:ascii="Arial" w:eastAsia="Arial" w:hAnsi="Arial" w:cs="Arial"/>
          <w:color w:val="000000"/>
        </w:rPr>
        <w:t xml:space="preserve"> have influenced Tata Steel's operational transition to lower-carbon production in India. A budget of INR 19,744 crore (US$2.3 billion) has been considered by the National Green Hydrogen Mission to induce hydrogen-based steelmaking and accelerate low-carbon technologies (India Science and Technology, 2026; PIB Delhi, 2025). </w:t>
      </w:r>
    </w:p>
    <w:p w14:paraId="4DCA17D7"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235576C4" wp14:editId="20BA031D">
            <wp:extent cx="5943600" cy="3568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5D017F3A"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 xml:space="preserve">Figure 3: Steel </w:t>
      </w:r>
      <w:proofErr w:type="spellStart"/>
      <w:r>
        <w:rPr>
          <w:rFonts w:ascii="Arial" w:eastAsia="Arial" w:hAnsi="Arial" w:cs="Arial"/>
          <w:b/>
          <w:bCs/>
          <w:color w:val="000000"/>
        </w:rPr>
        <w:t>decarbonisation</w:t>
      </w:r>
      <w:proofErr w:type="spellEnd"/>
      <w:r>
        <w:rPr>
          <w:rFonts w:ascii="Arial" w:eastAsia="Arial" w:hAnsi="Arial" w:cs="Arial"/>
          <w:b/>
          <w:bCs/>
          <w:color w:val="000000"/>
        </w:rPr>
        <w:t xml:space="preserve"> in India</w:t>
      </w:r>
    </w:p>
    <w:p w14:paraId="1D7AB208"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Garg </w:t>
      </w:r>
      <w:r>
        <w:rPr>
          <w:rFonts w:ascii="Arial" w:eastAsia="Arial" w:hAnsi="Arial" w:cs="Arial"/>
          <w:i/>
          <w:iCs/>
          <w:color w:val="000000"/>
        </w:rPr>
        <w:t xml:space="preserve">et al., </w:t>
      </w:r>
      <w:r>
        <w:rPr>
          <w:rFonts w:ascii="Arial" w:eastAsia="Arial" w:hAnsi="Arial" w:cs="Arial"/>
          <w:color w:val="000000"/>
        </w:rPr>
        <w:t>2023)</w:t>
      </w:r>
    </w:p>
    <w:p w14:paraId="070CAE35"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Moreover, the Taxonomy of Green Steel in 2024 framework by the Ministry of Steel enabled strategy integration for </w:t>
      </w:r>
      <w:proofErr w:type="spellStart"/>
      <w:r>
        <w:rPr>
          <w:rFonts w:ascii="Arial" w:eastAsia="Arial" w:hAnsi="Arial" w:cs="Arial"/>
          <w:color w:val="000000"/>
        </w:rPr>
        <w:t>categorising</w:t>
      </w:r>
      <w:proofErr w:type="spellEnd"/>
      <w:r>
        <w:rPr>
          <w:rFonts w:ascii="Arial" w:eastAsia="Arial" w:hAnsi="Arial" w:cs="Arial"/>
          <w:color w:val="000000"/>
        </w:rPr>
        <w:t xml:space="preserve"> steel by emission level and within the threshold of &lt; 2.2 </w:t>
      </w:r>
      <w:proofErr w:type="spellStart"/>
      <w:r>
        <w:rPr>
          <w:rFonts w:ascii="Arial" w:eastAsia="Arial" w:hAnsi="Arial" w:cs="Arial"/>
          <w:color w:val="000000"/>
        </w:rPr>
        <w:t>tCO₂e</w:t>
      </w:r>
      <w:proofErr w:type="spellEnd"/>
      <w:r>
        <w:rPr>
          <w:rFonts w:ascii="Arial" w:eastAsia="Arial" w:hAnsi="Arial" w:cs="Arial"/>
          <w:color w:val="000000"/>
        </w:rPr>
        <w:t xml:space="preserve"> per </w:t>
      </w:r>
      <w:proofErr w:type="spellStart"/>
      <w:r>
        <w:rPr>
          <w:rFonts w:ascii="Arial" w:eastAsia="Arial" w:hAnsi="Arial" w:cs="Arial"/>
          <w:color w:val="000000"/>
        </w:rPr>
        <w:t>tonne</w:t>
      </w:r>
      <w:proofErr w:type="spellEnd"/>
      <w:r>
        <w:rPr>
          <w:rFonts w:ascii="Arial" w:eastAsia="Arial" w:hAnsi="Arial" w:cs="Arial"/>
          <w:color w:val="000000"/>
        </w:rPr>
        <w:t xml:space="preserve"> of finished steel for green steel certification (PIB Delhi, 2024). </w:t>
      </w:r>
    </w:p>
    <w:p w14:paraId="0C83DDCE"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Operational transparency has been encouraged with the Business Responsibility and Sustainability Reporting (BRSR) framework, which guided Tata Steel to invest in efficient and sustainable technologies with higher credentials and an improved position in the emerging green steel markets. </w:t>
      </w:r>
    </w:p>
    <w:p w14:paraId="39E0E44E" w14:textId="77777777" w:rsidR="00722E2D"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Tata Steel's sustainability initiatives</w:t>
      </w:r>
    </w:p>
    <w:p w14:paraId="03A34E38"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sustainability initiative undertaken by Tata Steel has focused on </w:t>
      </w:r>
      <w:proofErr w:type="spellStart"/>
      <w:r>
        <w:rPr>
          <w:rFonts w:ascii="Arial" w:eastAsia="Arial" w:hAnsi="Arial" w:cs="Arial"/>
          <w:color w:val="000000"/>
        </w:rPr>
        <w:t>decarbonisation</w:t>
      </w:r>
      <w:proofErr w:type="spellEnd"/>
      <w:r>
        <w:rPr>
          <w:rFonts w:ascii="Arial" w:eastAsia="Arial" w:hAnsi="Arial" w:cs="Arial"/>
          <w:color w:val="000000"/>
        </w:rPr>
        <w:t xml:space="preserve"> practices to strengthen its corporate branding as a responsible steel producer. Commissioning 15MW of green hydrogen capacity at Jamshedpur, Tata Steel has increased steel scrap </w:t>
      </w:r>
      <w:proofErr w:type="spellStart"/>
      <w:r>
        <w:rPr>
          <w:rFonts w:ascii="Arial" w:eastAsia="Arial" w:hAnsi="Arial" w:cs="Arial"/>
          <w:color w:val="000000"/>
        </w:rPr>
        <w:t>utilisation</w:t>
      </w:r>
      <w:proofErr w:type="spellEnd"/>
      <w:r>
        <w:rPr>
          <w:rFonts w:ascii="Arial" w:eastAsia="Arial" w:hAnsi="Arial" w:cs="Arial"/>
          <w:color w:val="000000"/>
        </w:rPr>
        <w:t xml:space="preserve"> by 18%, with 22% of electricity consumption highlighting renewable source usage in 2025 (Tata Steel, 2026). The planned investment in </w:t>
      </w:r>
      <w:proofErr w:type="spellStart"/>
      <w:r>
        <w:rPr>
          <w:rFonts w:ascii="Arial" w:eastAsia="Arial" w:hAnsi="Arial" w:cs="Arial"/>
          <w:color w:val="000000"/>
        </w:rPr>
        <w:lastRenderedPageBreak/>
        <w:t>decarbonisation</w:t>
      </w:r>
      <w:proofErr w:type="spellEnd"/>
      <w:r>
        <w:rPr>
          <w:rFonts w:ascii="Arial" w:eastAsia="Arial" w:hAnsi="Arial" w:cs="Arial"/>
          <w:color w:val="000000"/>
        </w:rPr>
        <w:t xml:space="preserve"> initiatives of &gt; US$1 billion by 2030 also supported its net-zero target for 2045 (Force for Good, 2026). </w:t>
      </w:r>
    </w:p>
    <w:p w14:paraId="2AFC7191"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Considering the corporate branding aspects, sustainability initiatives and prospective investments have increased its environmental credibility, ESG attractiveness and stakeholder confidence and presented it as a stable corporation in the emerging green steel market. On the other hand, Tata Steel competitors such as JSW Steel have aimed to obtain 1.95 </w:t>
      </w:r>
      <w:proofErr w:type="spellStart"/>
      <w:r>
        <w:rPr>
          <w:rFonts w:ascii="Arial" w:eastAsia="Arial" w:hAnsi="Arial" w:cs="Arial"/>
          <w:color w:val="000000"/>
        </w:rPr>
        <w:t>tCO</w:t>
      </w:r>
      <w:proofErr w:type="spellEnd"/>
      <w:r>
        <w:rPr>
          <w:rFonts w:ascii="Arial" w:eastAsia="Arial" w:hAnsi="Arial" w:cs="Arial"/>
          <w:color w:val="000000"/>
        </w:rPr>
        <w:t>₂/</w:t>
      </w:r>
      <w:proofErr w:type="spellStart"/>
      <w:r>
        <w:rPr>
          <w:rFonts w:ascii="Arial" w:eastAsia="Arial" w:hAnsi="Arial" w:cs="Arial"/>
          <w:color w:val="000000"/>
        </w:rPr>
        <w:t>tcs</w:t>
      </w:r>
      <w:proofErr w:type="spellEnd"/>
      <w:r>
        <w:rPr>
          <w:rFonts w:ascii="Arial" w:eastAsia="Arial" w:hAnsi="Arial" w:cs="Arial"/>
          <w:color w:val="000000"/>
        </w:rPr>
        <w:t xml:space="preserve"> by 2030 and SAIL showed &gt; 2.5 </w:t>
      </w:r>
      <w:proofErr w:type="spellStart"/>
      <w:r>
        <w:rPr>
          <w:rFonts w:ascii="Arial" w:eastAsia="Arial" w:hAnsi="Arial" w:cs="Arial"/>
          <w:color w:val="000000"/>
        </w:rPr>
        <w:t>tCO</w:t>
      </w:r>
      <w:proofErr w:type="spellEnd"/>
      <w:r>
        <w:rPr>
          <w:rFonts w:ascii="Arial" w:eastAsia="Arial" w:hAnsi="Arial" w:cs="Arial"/>
          <w:color w:val="000000"/>
        </w:rPr>
        <w:t>₂/</w:t>
      </w:r>
      <w:proofErr w:type="spellStart"/>
      <w:r>
        <w:rPr>
          <w:rFonts w:ascii="Arial" w:eastAsia="Arial" w:hAnsi="Arial" w:cs="Arial"/>
          <w:color w:val="000000"/>
        </w:rPr>
        <w:t>tcs</w:t>
      </w:r>
      <w:proofErr w:type="spellEnd"/>
      <w:r>
        <w:rPr>
          <w:rFonts w:ascii="Arial" w:eastAsia="Arial" w:hAnsi="Arial" w:cs="Arial"/>
          <w:color w:val="000000"/>
        </w:rPr>
        <w:t xml:space="preserve"> record in carbon emissions (JSW, 2026; SAIL, 2026). </w:t>
      </w:r>
    </w:p>
    <w:p w14:paraId="319D9C7F"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Henceforth, Tata Steel has an opportunistic position with sustainability investments and showed potential in improved environmental performance, gaining innovative brand positioning in the long-term market environment. </w:t>
      </w:r>
    </w:p>
    <w:p w14:paraId="06897F4B" w14:textId="77777777" w:rsidR="00722E2D"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Opportunities and challenges arising from the environmental actors</w:t>
      </w:r>
    </w:p>
    <w:p w14:paraId="63E51AD7" w14:textId="77777777" w:rsidR="00722E2D" w:rsidRDefault="00000000">
      <w:pPr>
        <w:pBdr>
          <w:top w:val="nil"/>
          <w:left w:val="nil"/>
          <w:bottom w:val="nil"/>
          <w:right w:val="nil"/>
          <w:between w:val="nil"/>
        </w:pBdr>
        <w:rPr>
          <w:rFonts w:ascii="Arial" w:eastAsia="Arial" w:hAnsi="Arial" w:cs="Arial"/>
          <w:b/>
          <w:bCs/>
          <w:i/>
          <w:iCs/>
          <w:color w:val="000000"/>
        </w:rPr>
      </w:pPr>
      <w:r>
        <w:rPr>
          <w:rFonts w:ascii="Arial" w:eastAsia="Arial" w:hAnsi="Arial" w:cs="Arial"/>
          <w:b/>
          <w:bCs/>
          <w:i/>
          <w:iCs/>
          <w:color w:val="000000"/>
        </w:rPr>
        <w:t>Opportunities</w:t>
      </w:r>
    </w:p>
    <w:p w14:paraId="67438597" w14:textId="77777777" w:rsidR="00722E2D" w:rsidRDefault="00000000">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Extensive allocation by the National Green Hydrogen Mission has helped create opportunities for green steel production with low-carbon industrial technologies. </w:t>
      </w:r>
    </w:p>
    <w:p w14:paraId="2468E9BE" w14:textId="77777777" w:rsidR="00722E2D" w:rsidRDefault="00000000">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Increased investment in ESG initiatives aligned with rising demand for sustainable materials has improved corporate brand perception of Tata Steel, with increased access in premium markets. </w:t>
      </w:r>
    </w:p>
    <w:p w14:paraId="67DBE979" w14:textId="77777777" w:rsidR="00722E2D" w:rsidRDefault="00000000">
      <w:pPr>
        <w:pBdr>
          <w:top w:val="nil"/>
          <w:left w:val="nil"/>
          <w:bottom w:val="nil"/>
          <w:right w:val="nil"/>
          <w:between w:val="nil"/>
        </w:pBdr>
        <w:rPr>
          <w:rFonts w:ascii="Arial" w:eastAsia="Arial" w:hAnsi="Arial" w:cs="Arial"/>
          <w:b/>
          <w:bCs/>
          <w:i/>
          <w:iCs/>
          <w:color w:val="000000"/>
        </w:rPr>
      </w:pPr>
      <w:r>
        <w:rPr>
          <w:rFonts w:ascii="Arial" w:eastAsia="Arial" w:hAnsi="Arial" w:cs="Arial"/>
          <w:b/>
          <w:bCs/>
          <w:i/>
          <w:iCs/>
          <w:color w:val="000000"/>
        </w:rPr>
        <w:t xml:space="preserve">Challenges </w:t>
      </w:r>
    </w:p>
    <w:p w14:paraId="7A98C3C9" w14:textId="77777777" w:rsidR="00722E2D" w:rsidRDefault="00000000">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Planned investment of &gt; US$1 billion in </w:t>
      </w:r>
      <w:proofErr w:type="spellStart"/>
      <w:r>
        <w:rPr>
          <w:rFonts w:ascii="Arial" w:eastAsia="Arial" w:hAnsi="Arial" w:cs="Arial"/>
          <w:color w:val="000000"/>
        </w:rPr>
        <w:t>decarbonisation</w:t>
      </w:r>
      <w:proofErr w:type="spellEnd"/>
      <w:r>
        <w:rPr>
          <w:rFonts w:ascii="Arial" w:eastAsia="Arial" w:hAnsi="Arial" w:cs="Arial"/>
          <w:color w:val="000000"/>
        </w:rPr>
        <w:t xml:space="preserve"> initiatives showed commitment to sustainable operations. </w:t>
      </w:r>
    </w:p>
    <w:p w14:paraId="519BE763" w14:textId="77777777" w:rsidR="00722E2D" w:rsidRDefault="00000000">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Increased compliance costs with 100% implementation of the EU Carbon Border Adjustment Mechanism (CBAM) in 2026 can increase technological uncertainties with fluctuations in large-scale production of hydrogen-based steel. </w:t>
      </w:r>
    </w:p>
    <w:p w14:paraId="6508940F" w14:textId="77777777" w:rsidR="00722E2D" w:rsidRDefault="00000000">
      <w:pPr>
        <w:pStyle w:val="Heading3"/>
      </w:pPr>
      <w:bookmarkStart w:id="3" w:name="_Toc234522885"/>
      <w:r>
        <w:t>1.1.2 Political and regulatory environment actors</w:t>
      </w:r>
      <w:bookmarkEnd w:id="3"/>
      <w:r>
        <w:t xml:space="preserve"> </w:t>
      </w:r>
    </w:p>
    <w:p w14:paraId="1524EE26"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b/>
          <w:bCs/>
          <w:i/>
          <w:iCs/>
          <w:color w:val="000000"/>
        </w:rPr>
        <w:t>Investor and ESG expectations</w:t>
      </w:r>
      <w:r>
        <w:rPr>
          <w:rFonts w:ascii="Arial" w:eastAsia="Arial" w:hAnsi="Arial" w:cs="Arial"/>
          <w:color w:val="000000"/>
        </w:rPr>
        <w:t xml:space="preserve"> are critical factors as political and regulatory actors that influence </w:t>
      </w:r>
      <w:proofErr w:type="spellStart"/>
      <w:r>
        <w:rPr>
          <w:rFonts w:ascii="Arial" w:eastAsia="Arial" w:hAnsi="Arial" w:cs="Arial"/>
          <w:color w:val="000000"/>
        </w:rPr>
        <w:t>organisational</w:t>
      </w:r>
      <w:proofErr w:type="spellEnd"/>
      <w:r>
        <w:rPr>
          <w:rFonts w:ascii="Arial" w:eastAsia="Arial" w:hAnsi="Arial" w:cs="Arial"/>
          <w:color w:val="000000"/>
        </w:rPr>
        <w:t xml:space="preserve"> transition into a low-</w:t>
      </w:r>
      <w:proofErr w:type="spellStart"/>
      <w:r>
        <w:rPr>
          <w:rFonts w:ascii="Arial" w:eastAsia="Arial" w:hAnsi="Arial" w:cs="Arial"/>
          <w:color w:val="000000"/>
        </w:rPr>
        <w:t>carb</w:t>
      </w:r>
      <w:proofErr w:type="spellEnd"/>
      <w:r>
        <w:rPr>
          <w:rFonts w:ascii="Arial" w:eastAsia="Arial" w:hAnsi="Arial" w:cs="Arial"/>
          <w:color w:val="000000"/>
        </w:rPr>
        <w:t xml:space="preserve"> production facility for Tata Steel in the Indian market. On the other hand, policy interventions, sustainability mandates and investor trust are affecting the sustainability initiatives of the company. </w:t>
      </w:r>
    </w:p>
    <w:p w14:paraId="44D0F475"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Government initiatives, including mandatory Business Responsibility and Sustainability Reporting (BRSR) and Carbon Credit Trading Scheme (CCTS), have increased the regulatory standards for environment-oriented performance (PIB Delhi, 2026). Moreover, ESG criteria are increasingly supported by institutional investors, while global interest has resulted in a hike of US$1.6 trillion in investment for the same. Hence, climate commitments and sustainability disclosures are encouraged (UNCTAD, 2026). </w:t>
      </w:r>
    </w:p>
    <w:p w14:paraId="1F3EFF60"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1B163512" wp14:editId="3DFEBC98">
            <wp:extent cx="5943600" cy="36322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632200"/>
                    </a:xfrm>
                    <a:prstGeom prst="rect">
                      <a:avLst/>
                    </a:prstGeom>
                    <a:ln/>
                  </pic:spPr>
                </pic:pic>
              </a:graphicData>
            </a:graphic>
          </wp:inline>
        </w:drawing>
      </w:r>
    </w:p>
    <w:p w14:paraId="4ED7DBAB" w14:textId="77777777" w:rsidR="00722E2D"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Figure 4: Investment and asset pattern for sustainability</w:t>
      </w:r>
    </w:p>
    <w:p w14:paraId="4A130823" w14:textId="77777777" w:rsidR="00722E2D"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(Source: Morgan Stanley, 2025)</w:t>
      </w:r>
    </w:p>
    <w:p w14:paraId="572BF876"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Demand for low-carbon steel products is predicted to increase by 10-15% in the global market. Therefore, the sectoring operations have perceived a transformational need considering automotive, infrastructure and renewable energy sectors with </w:t>
      </w:r>
      <w:proofErr w:type="spellStart"/>
      <w:r>
        <w:rPr>
          <w:rFonts w:ascii="Arial" w:eastAsia="Arial" w:hAnsi="Arial" w:cs="Arial"/>
          <w:color w:val="000000"/>
        </w:rPr>
        <w:t>decarbonisation</w:t>
      </w:r>
      <w:proofErr w:type="spellEnd"/>
      <w:r>
        <w:rPr>
          <w:rFonts w:ascii="Arial" w:eastAsia="Arial" w:hAnsi="Arial" w:cs="Arial"/>
          <w:color w:val="000000"/>
        </w:rPr>
        <w:t xml:space="preserve"> targets. The automotive sector is projected to achieve 40% green steel production, addressing increasing consumption demand in Eurasia by 2035 (Transport Environment, 2025). </w:t>
      </w:r>
    </w:p>
    <w:p w14:paraId="4CE7A739"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Therefore, the low-carbon steel portfolio is also integrated in Tata Steel’s agenda. The Tricomponent Attitude Model has highlighted this </w:t>
      </w:r>
      <w:proofErr w:type="spellStart"/>
      <w:r>
        <w:rPr>
          <w:rFonts w:ascii="Arial" w:eastAsia="Arial" w:hAnsi="Arial" w:cs="Arial"/>
          <w:color w:val="000000"/>
        </w:rPr>
        <w:t>behavioural</w:t>
      </w:r>
      <w:proofErr w:type="spellEnd"/>
      <w:r>
        <w:rPr>
          <w:rFonts w:ascii="Arial" w:eastAsia="Arial" w:hAnsi="Arial" w:cs="Arial"/>
          <w:color w:val="000000"/>
        </w:rPr>
        <w:t xml:space="preserve"> shift and demonstrated the </w:t>
      </w:r>
      <w:r>
        <w:rPr>
          <w:rFonts w:ascii="Arial" w:eastAsia="Arial" w:hAnsi="Arial" w:cs="Arial"/>
          <w:color w:val="000000"/>
        </w:rPr>
        <w:lastRenderedPageBreak/>
        <w:t xml:space="preserve">role of stakeholders to develop cognitive awareness leading to </w:t>
      </w:r>
      <w:proofErr w:type="spellStart"/>
      <w:r>
        <w:rPr>
          <w:rFonts w:ascii="Arial" w:eastAsia="Arial" w:hAnsi="Arial" w:cs="Arial"/>
          <w:color w:val="000000"/>
        </w:rPr>
        <w:t>organisational</w:t>
      </w:r>
      <w:proofErr w:type="spellEnd"/>
      <w:r>
        <w:rPr>
          <w:rFonts w:ascii="Arial" w:eastAsia="Arial" w:hAnsi="Arial" w:cs="Arial"/>
          <w:color w:val="000000"/>
        </w:rPr>
        <w:t xml:space="preserve"> transformation as seen in the sustainability initiatives by Tata Steel. Nonetheless, the affective perceptions are reflective of the sustainable procurement decisions, while stimulated cognitive intentions result in beneficial supplier partnerships with ESG-oriented operations in the low-carbon steel market. </w:t>
      </w:r>
    </w:p>
    <w:p w14:paraId="6E07262C"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b/>
          <w:bCs/>
          <w:i/>
          <w:iCs/>
          <w:color w:val="000000"/>
        </w:rPr>
        <w:t>Influence on brand positioning and market competitiveness</w:t>
      </w:r>
    </w:p>
    <w:p w14:paraId="2350587A"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Applying the Tricomponent Attitude Model to assess the influence of sustainability initiatives on market competitiveness and brand position of Tata (Lecture 4, p. 19). </w:t>
      </w:r>
    </w:p>
    <w:p w14:paraId="5C5F08C6" w14:textId="77777777"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t>Cognitive</w:t>
      </w:r>
    </w:p>
    <w:p w14:paraId="44E08692"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Generally, the global steel sector is responsible for 7-9% of global GHG emissions (Idrissov, 2025). </w:t>
      </w:r>
      <w:proofErr w:type="spellStart"/>
      <w:r>
        <w:rPr>
          <w:rFonts w:ascii="Arial" w:eastAsia="Arial" w:hAnsi="Arial" w:cs="Arial"/>
          <w:color w:val="000000"/>
        </w:rPr>
        <w:t>Utilising</w:t>
      </w:r>
      <w:proofErr w:type="spellEnd"/>
      <w:r>
        <w:rPr>
          <w:rFonts w:ascii="Arial" w:eastAsia="Arial" w:hAnsi="Arial" w:cs="Arial"/>
          <w:color w:val="000000"/>
        </w:rPr>
        <w:t xml:space="preserve"> Tata Steel Carbon Bank, the company can produce verifiable proof of GHG emission reduction. With the credibility of sustainability initiatives, Tata Steel can convince its clients that its green solutions </w:t>
      </w:r>
      <w:proofErr w:type="gramStart"/>
      <w:r>
        <w:rPr>
          <w:rFonts w:ascii="Arial" w:eastAsia="Arial" w:hAnsi="Arial" w:cs="Arial"/>
          <w:color w:val="000000"/>
        </w:rPr>
        <w:t>are capable of reducing</w:t>
      </w:r>
      <w:proofErr w:type="gramEnd"/>
      <w:r>
        <w:rPr>
          <w:rFonts w:ascii="Arial" w:eastAsia="Arial" w:hAnsi="Arial" w:cs="Arial"/>
          <w:color w:val="000000"/>
        </w:rPr>
        <w:t xml:space="preserve"> GHG emissions, satisfying cognitive beliefs. </w:t>
      </w:r>
    </w:p>
    <w:p w14:paraId="7497656E" w14:textId="77777777"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t>Affect</w:t>
      </w:r>
    </w:p>
    <w:p w14:paraId="6F1B175B"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The leading position of Tata Steel in the global steel sector offers reputational security to the B2B clients, which helps to attain long-term B2B partnerships. </w:t>
      </w:r>
    </w:p>
    <w:p w14:paraId="7D5BFB8F" w14:textId="77777777"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t>Conation</w:t>
      </w:r>
    </w:p>
    <w:p w14:paraId="4CCEA6BE"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As Tata Steel is entering the renewable energy sector, Tata Steel needs to ensure that its sustainable solutions </w:t>
      </w:r>
      <w:proofErr w:type="gramStart"/>
      <w:r>
        <w:rPr>
          <w:rFonts w:ascii="Arial" w:eastAsia="Arial" w:hAnsi="Arial" w:cs="Arial"/>
          <w:color w:val="000000"/>
        </w:rPr>
        <w:t>are able to</w:t>
      </w:r>
      <w:proofErr w:type="gramEnd"/>
      <w:r>
        <w:rPr>
          <w:rFonts w:ascii="Arial" w:eastAsia="Arial" w:hAnsi="Arial" w:cs="Arial"/>
          <w:color w:val="000000"/>
        </w:rPr>
        <w:t xml:space="preserve"> satisfy the logical requirements of B2B clients at a rapid pace to ensure Tata Steel aims to achieve a leading position in the eco-labelled steel sector (Agarwal, 2026). </w:t>
      </w:r>
    </w:p>
    <w:p w14:paraId="2EDFA25D" w14:textId="77777777" w:rsidR="00722E2D" w:rsidRDefault="00000000">
      <w:pPr>
        <w:rPr>
          <w:rFonts w:ascii="Arial" w:eastAsia="Arial" w:hAnsi="Arial" w:cs="Arial"/>
          <w:b/>
          <w:bCs/>
        </w:rPr>
      </w:pPr>
      <w:r>
        <w:br w:type="page"/>
      </w:r>
    </w:p>
    <w:p w14:paraId="54648D5F" w14:textId="77777777" w:rsidR="00722E2D" w:rsidRDefault="00000000">
      <w:pPr>
        <w:pStyle w:val="Heading1"/>
      </w:pPr>
      <w:bookmarkStart w:id="4" w:name="_Toc234522886"/>
      <w:r>
        <w:lastRenderedPageBreak/>
        <w:t>Task 2: Strategic Growth and Competitive Positioning</w:t>
      </w:r>
      <w:bookmarkEnd w:id="4"/>
      <w:r>
        <w:t xml:space="preserve"> </w:t>
      </w:r>
    </w:p>
    <w:p w14:paraId="30904935" w14:textId="77777777" w:rsidR="00722E2D" w:rsidRDefault="00000000">
      <w:pPr>
        <w:pStyle w:val="Heading2"/>
      </w:pPr>
      <w:bookmarkStart w:id="5" w:name="_Toc234522887"/>
      <w:r>
        <w:t>2.1 Recommendation of a Strategic Growth Approach</w:t>
      </w:r>
      <w:bookmarkEnd w:id="5"/>
      <w:r>
        <w:t xml:space="preserve"> </w:t>
      </w:r>
    </w:p>
    <w:p w14:paraId="2A554BF9" w14:textId="77777777" w:rsidR="00722E2D" w:rsidRDefault="00000000">
      <w:pPr>
        <w:pStyle w:val="Heading3"/>
      </w:pPr>
      <w:bookmarkStart w:id="6" w:name="_Toc234522888"/>
      <w:r>
        <w:t>2.1.1 Application of the Ansoff Matrix</w:t>
      </w:r>
      <w:bookmarkEnd w:id="6"/>
      <w:r>
        <w:t xml:space="preserve"> </w:t>
      </w:r>
    </w:p>
    <w:p w14:paraId="25506181"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Evaluating the environmental and political factors, Tata Steel’s pivot toward sustainable practices while ensuring parallel growth should be rooted in product diversification (Lecture 2, p. 14). The execution of this transition may be initiated with eco-friendly technology, as the global green mining sector is growing at a CAGR of 3.55% from 2025 to 2034 (Fortune Business Insights, 2026). </w:t>
      </w:r>
    </w:p>
    <w:p w14:paraId="17B967BC"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7095F0E0" wp14:editId="4346C387">
            <wp:extent cx="5731200" cy="28575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2857500"/>
                    </a:xfrm>
                    <a:prstGeom prst="rect">
                      <a:avLst/>
                    </a:prstGeom>
                    <a:ln w="12700">
                      <a:solidFill>
                        <a:srgbClr val="000000"/>
                      </a:solidFill>
                      <a:prstDash val="solid"/>
                    </a:ln>
                  </pic:spPr>
                </pic:pic>
              </a:graphicData>
            </a:graphic>
          </wp:inline>
        </w:drawing>
      </w:r>
    </w:p>
    <w:p w14:paraId="3ECD50EB"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Figure 5: Growth of global green mining technologies</w:t>
      </w:r>
    </w:p>
    <w:p w14:paraId="65A614FF"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Fortune Business Insights, 2026)</w:t>
      </w:r>
    </w:p>
    <w:p w14:paraId="2F805B5F" w14:textId="77777777"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t>Renewable electricity and green hydrogen as eco-friendly solutions</w:t>
      </w:r>
    </w:p>
    <w:p w14:paraId="6A3E1218"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To diversify, Tata Steel is replacing traditional coal-based furnaces with renewable electricity and green hydrogen, applying Direct Reduced Iron, which is exhibited in a low-carbon steel-making process applied by the company in the UK’s largest low-carbon electric arc furnace project at Port Talbot, which is expected to reduce site-wide GHG emissions by 90% (Verma, 2026). Tata Steel has initiated to restructure its production </w:t>
      </w:r>
      <w:r>
        <w:rPr>
          <w:rFonts w:ascii="Arial" w:eastAsia="Arial" w:hAnsi="Arial" w:cs="Arial"/>
          <w:color w:val="000000"/>
        </w:rPr>
        <w:lastRenderedPageBreak/>
        <w:t>process leveraging hydrogen, aiming to reduce GHG emissions by 35-40% by 2030 and produce 100% CO</w:t>
      </w:r>
      <w:r>
        <w:rPr>
          <w:rFonts w:ascii="Arial" w:eastAsia="Arial" w:hAnsi="Arial" w:cs="Arial"/>
          <w:color w:val="000000"/>
          <w:vertAlign w:val="subscript"/>
        </w:rPr>
        <w:t>2</w:t>
      </w:r>
      <w:r>
        <w:rPr>
          <w:rFonts w:ascii="Arial" w:eastAsia="Arial" w:hAnsi="Arial" w:cs="Arial"/>
          <w:color w:val="000000"/>
        </w:rPr>
        <w:t xml:space="preserve">-neutral steel by 2045 (Tata Steel, 2026). </w:t>
      </w:r>
    </w:p>
    <w:p w14:paraId="6A49009A" w14:textId="77777777"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t>Recycling and circular economy</w:t>
      </w:r>
    </w:p>
    <w:p w14:paraId="0DA904A4" w14:textId="77777777" w:rsidR="00722E2D" w:rsidRDefault="00000000">
      <w:pPr>
        <w:pBdr>
          <w:top w:val="nil"/>
          <w:left w:val="nil"/>
          <w:bottom w:val="nil"/>
          <w:right w:val="nil"/>
          <w:between w:val="nil"/>
        </w:pBdr>
        <w:spacing w:before="240" w:after="240"/>
        <w:rPr>
          <w:rFonts w:ascii="Arial" w:eastAsia="Arial" w:hAnsi="Arial" w:cs="Arial"/>
          <w:color w:val="000000"/>
        </w:rPr>
      </w:pPr>
      <w:proofErr w:type="spellStart"/>
      <w:r>
        <w:rPr>
          <w:rFonts w:ascii="Arial" w:eastAsia="Arial" w:hAnsi="Arial" w:cs="Arial"/>
          <w:color w:val="000000"/>
        </w:rPr>
        <w:t>Prioritising</w:t>
      </w:r>
      <w:proofErr w:type="spellEnd"/>
      <w:r>
        <w:rPr>
          <w:rFonts w:ascii="Arial" w:eastAsia="Arial" w:hAnsi="Arial" w:cs="Arial"/>
          <w:color w:val="000000"/>
        </w:rPr>
        <w:t xml:space="preserve"> a diversification strategy is evident from Tata Steel’s recycling initiative to reduce reliance on virgin iron ore and reduce waste. Tata Steel recycles 99.9% of its by-products and by 2030 aims to recycle 100% of its by-products (Tata Steel, 2026; Agarwal, 2026). Overall, Tata’s diversification strategy is rooted in circular economy philosophy, which encourages slag and industrial waste to be reprocessed into raw materials. </w:t>
      </w:r>
    </w:p>
    <w:p w14:paraId="2823C240"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0CC7D927" wp14:editId="69E26F1A">
            <wp:extent cx="2608264" cy="6759336"/>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t="26941"/>
                    <a:stretch>
                      <a:fillRect/>
                    </a:stretch>
                  </pic:blipFill>
                  <pic:spPr>
                    <a:xfrm>
                      <a:off x="0" y="0"/>
                      <a:ext cx="2608264" cy="6759336"/>
                    </a:xfrm>
                    <a:prstGeom prst="rect">
                      <a:avLst/>
                    </a:prstGeom>
                    <a:ln w="12700">
                      <a:solidFill>
                        <a:srgbClr val="000000"/>
                      </a:solidFill>
                      <a:prstDash val="solid"/>
                    </a:ln>
                  </pic:spPr>
                </pic:pic>
              </a:graphicData>
            </a:graphic>
          </wp:inline>
        </w:drawing>
      </w:r>
    </w:p>
    <w:p w14:paraId="7EDFCD57"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Figure 6: Tata Steel’s recycling strategy</w:t>
      </w:r>
    </w:p>
    <w:p w14:paraId="6AD5765E"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Agarwal, 2026)</w:t>
      </w:r>
    </w:p>
    <w:p w14:paraId="5D38F30E" w14:textId="77777777" w:rsidR="00406B7B" w:rsidRDefault="00406B7B">
      <w:pPr>
        <w:rPr>
          <w:rFonts w:ascii="Arial" w:eastAsia="Arial" w:hAnsi="Arial" w:cs="Arial"/>
          <w:b/>
          <w:bCs/>
          <w:i/>
          <w:iCs/>
          <w:color w:val="000000"/>
          <w:u w:val="single"/>
        </w:rPr>
      </w:pPr>
      <w:r>
        <w:rPr>
          <w:rFonts w:ascii="Arial" w:eastAsia="Arial" w:hAnsi="Arial" w:cs="Arial"/>
          <w:b/>
          <w:bCs/>
          <w:i/>
          <w:iCs/>
          <w:color w:val="000000"/>
          <w:u w:val="single"/>
        </w:rPr>
        <w:br w:type="page"/>
      </w:r>
    </w:p>
    <w:p w14:paraId="1A2AE66B" w14:textId="27615CFC" w:rsidR="00722E2D" w:rsidRDefault="00000000">
      <w:pPr>
        <w:pBdr>
          <w:top w:val="nil"/>
          <w:left w:val="nil"/>
          <w:bottom w:val="nil"/>
          <w:right w:val="nil"/>
          <w:between w:val="nil"/>
        </w:pBdr>
        <w:spacing w:before="240" w:after="240"/>
        <w:rPr>
          <w:rFonts w:ascii="Arial" w:eastAsia="Arial" w:hAnsi="Arial" w:cs="Arial"/>
          <w:b/>
          <w:bCs/>
          <w:i/>
          <w:iCs/>
          <w:color w:val="000000"/>
          <w:u w:val="single"/>
        </w:rPr>
      </w:pPr>
      <w:r>
        <w:rPr>
          <w:rFonts w:ascii="Arial" w:eastAsia="Arial" w:hAnsi="Arial" w:cs="Arial"/>
          <w:b/>
          <w:bCs/>
          <w:i/>
          <w:iCs/>
          <w:color w:val="000000"/>
          <w:u w:val="single"/>
        </w:rPr>
        <w:lastRenderedPageBreak/>
        <w:t>Eco-labelled steel</w:t>
      </w:r>
    </w:p>
    <w:p w14:paraId="7AD64A7E"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Tata is diversifying its operations in the renewable energy sector, such as hydrogen and nuclear power plants, by supplying eco-labelled steel, which is growing at a CAGR of 60.4% to meet </w:t>
      </w:r>
      <w:proofErr w:type="spellStart"/>
      <w:r>
        <w:rPr>
          <w:rFonts w:ascii="Arial" w:eastAsia="Arial" w:hAnsi="Arial" w:cs="Arial"/>
          <w:color w:val="000000"/>
        </w:rPr>
        <w:t>decarbonisation</w:t>
      </w:r>
      <w:proofErr w:type="spellEnd"/>
      <w:r>
        <w:rPr>
          <w:rFonts w:ascii="Arial" w:eastAsia="Arial" w:hAnsi="Arial" w:cs="Arial"/>
          <w:color w:val="000000"/>
        </w:rPr>
        <w:t xml:space="preserve"> goals (Tata Steel, 2026; Yahoo Finance, 2026). </w:t>
      </w:r>
    </w:p>
    <w:p w14:paraId="09F4C9C0"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Tata Steel’s diversification strategy involves backward vertical integration and related diversification as the company chooses to upgrade and refine its traditional manufacturing process (Lecture 2, p. 17</w:t>
      </w:r>
      <w:proofErr w:type="gramStart"/>
      <w:r>
        <w:rPr>
          <w:rFonts w:ascii="Arial" w:eastAsia="Arial" w:hAnsi="Arial" w:cs="Arial"/>
          <w:color w:val="000000"/>
        </w:rPr>
        <w:t>), but</w:t>
      </w:r>
      <w:proofErr w:type="gramEnd"/>
      <w:r>
        <w:rPr>
          <w:rFonts w:ascii="Arial" w:eastAsia="Arial" w:hAnsi="Arial" w:cs="Arial"/>
          <w:color w:val="000000"/>
        </w:rPr>
        <w:t xml:space="preserve"> involves risks of high capital investment and market uncertainty, which may narrow its profit margins. </w:t>
      </w:r>
    </w:p>
    <w:p w14:paraId="0EEC758A" w14:textId="77777777" w:rsidR="00722E2D" w:rsidRDefault="00000000">
      <w:pPr>
        <w:pStyle w:val="Heading3"/>
      </w:pPr>
      <w:bookmarkStart w:id="7" w:name="_Toc234522889"/>
      <w:r>
        <w:t>2.1.2 Justification for Product Development Strategy</w:t>
      </w:r>
      <w:bookmarkEnd w:id="7"/>
      <w:r>
        <w:t xml:space="preserve"> </w:t>
      </w:r>
    </w:p>
    <w:p w14:paraId="2065D7BF" w14:textId="77777777" w:rsidR="00722E2D" w:rsidRDefault="00000000">
      <w:pPr>
        <w:pBdr>
          <w:top w:val="nil"/>
          <w:left w:val="nil"/>
          <w:bottom w:val="nil"/>
          <w:right w:val="nil"/>
          <w:between w:val="nil"/>
        </w:pBdr>
        <w:spacing w:before="240" w:after="240"/>
        <w:rPr>
          <w:rFonts w:ascii="Arial" w:eastAsia="Arial" w:hAnsi="Arial" w:cs="Arial"/>
          <w:b/>
          <w:bCs/>
          <w:color w:val="000000"/>
        </w:rPr>
      </w:pPr>
      <w:r>
        <w:rPr>
          <w:rFonts w:ascii="Arial" w:eastAsia="Arial" w:hAnsi="Arial" w:cs="Arial"/>
          <w:color w:val="000000"/>
        </w:rPr>
        <w:t>Using the Kano model of customer satisfaction, Tata’s product diversification strategy can be explained.</w:t>
      </w:r>
    </w:p>
    <w:tbl>
      <w:tblPr>
        <w:tblStyle w:val="a"/>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7065"/>
      </w:tblGrid>
      <w:tr w:rsidR="00722E2D" w14:paraId="498F1B3F" w14:textId="77777777">
        <w:trPr>
          <w:jc w:val="center"/>
        </w:trPr>
        <w:tc>
          <w:tcPr>
            <w:tcW w:w="1935" w:type="dxa"/>
            <w:tcMar>
              <w:top w:w="100" w:type="dxa"/>
              <w:left w:w="100" w:type="dxa"/>
              <w:bottom w:w="100" w:type="dxa"/>
              <w:right w:w="100" w:type="dxa"/>
            </w:tcMar>
          </w:tcPr>
          <w:p w14:paraId="7E127F18" w14:textId="77777777" w:rsidR="00722E2D" w:rsidRDefault="00000000">
            <w:pPr>
              <w:widowControl w:val="0"/>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Category</w:t>
            </w:r>
          </w:p>
        </w:tc>
        <w:tc>
          <w:tcPr>
            <w:tcW w:w="7065" w:type="dxa"/>
            <w:tcMar>
              <w:top w:w="100" w:type="dxa"/>
              <w:left w:w="100" w:type="dxa"/>
              <w:bottom w:w="100" w:type="dxa"/>
              <w:right w:w="100" w:type="dxa"/>
            </w:tcMar>
          </w:tcPr>
          <w:p w14:paraId="26A2AB37" w14:textId="77777777" w:rsidR="00722E2D" w:rsidRDefault="00000000">
            <w:pPr>
              <w:widowControl w:val="0"/>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Implications</w:t>
            </w:r>
          </w:p>
        </w:tc>
      </w:tr>
      <w:tr w:rsidR="00722E2D" w14:paraId="72301315" w14:textId="77777777">
        <w:trPr>
          <w:jc w:val="center"/>
        </w:trPr>
        <w:tc>
          <w:tcPr>
            <w:tcW w:w="1935" w:type="dxa"/>
            <w:tcMar>
              <w:top w:w="100" w:type="dxa"/>
              <w:left w:w="100" w:type="dxa"/>
              <w:bottom w:w="100" w:type="dxa"/>
              <w:right w:w="100" w:type="dxa"/>
            </w:tcMar>
          </w:tcPr>
          <w:p w14:paraId="1215178E"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Dissatisfiers or basic needs</w:t>
            </w:r>
          </w:p>
        </w:tc>
        <w:tc>
          <w:tcPr>
            <w:tcW w:w="7065" w:type="dxa"/>
            <w:tcMar>
              <w:top w:w="100" w:type="dxa"/>
              <w:left w:w="100" w:type="dxa"/>
              <w:bottom w:w="100" w:type="dxa"/>
              <w:right w:w="100" w:type="dxa"/>
            </w:tcMar>
          </w:tcPr>
          <w:p w14:paraId="4E3569FE"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According to Europe’s Carbon Border Adjustment Mechanism (CBAM), GHG emission standards </w:t>
            </w:r>
            <w:proofErr w:type="gramStart"/>
            <w:r>
              <w:rPr>
                <w:rFonts w:ascii="Arial" w:eastAsia="Arial" w:hAnsi="Arial" w:cs="Arial"/>
                <w:color w:val="000000"/>
              </w:rPr>
              <w:t>have to</w:t>
            </w:r>
            <w:proofErr w:type="gramEnd"/>
            <w:r>
              <w:rPr>
                <w:rFonts w:ascii="Arial" w:eastAsia="Arial" w:hAnsi="Arial" w:cs="Arial"/>
                <w:color w:val="000000"/>
              </w:rPr>
              <w:t xml:space="preserve"> be adhered to operate in the EU market.  </w:t>
            </w:r>
          </w:p>
        </w:tc>
      </w:tr>
      <w:tr w:rsidR="00722E2D" w14:paraId="1CA2A9C9" w14:textId="77777777">
        <w:trPr>
          <w:jc w:val="center"/>
        </w:trPr>
        <w:tc>
          <w:tcPr>
            <w:tcW w:w="1935" w:type="dxa"/>
            <w:tcMar>
              <w:top w:w="100" w:type="dxa"/>
              <w:left w:w="100" w:type="dxa"/>
              <w:bottom w:w="100" w:type="dxa"/>
              <w:right w:w="100" w:type="dxa"/>
            </w:tcMar>
          </w:tcPr>
          <w:p w14:paraId="3958F65A"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Satisfiers or performance needs</w:t>
            </w:r>
          </w:p>
        </w:tc>
        <w:tc>
          <w:tcPr>
            <w:tcW w:w="7065" w:type="dxa"/>
            <w:tcMar>
              <w:top w:w="100" w:type="dxa"/>
              <w:left w:w="100" w:type="dxa"/>
              <w:bottom w:w="100" w:type="dxa"/>
              <w:right w:w="100" w:type="dxa"/>
            </w:tcMar>
          </w:tcPr>
          <w:p w14:paraId="24EFBFED"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Accelerating backward vertical integration to reduce GHG emissions to satisfy B2B clients</w:t>
            </w:r>
          </w:p>
        </w:tc>
      </w:tr>
      <w:tr w:rsidR="00722E2D" w14:paraId="56C9B1A2" w14:textId="77777777">
        <w:trPr>
          <w:jc w:val="center"/>
        </w:trPr>
        <w:tc>
          <w:tcPr>
            <w:tcW w:w="1935" w:type="dxa"/>
            <w:tcMar>
              <w:top w:w="100" w:type="dxa"/>
              <w:left w:w="100" w:type="dxa"/>
              <w:bottom w:w="100" w:type="dxa"/>
              <w:right w:w="100" w:type="dxa"/>
            </w:tcMar>
          </w:tcPr>
          <w:p w14:paraId="275850D3"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Delighters or </w:t>
            </w:r>
            <w:proofErr w:type="gramStart"/>
            <w:r>
              <w:rPr>
                <w:rFonts w:ascii="Arial" w:eastAsia="Arial" w:hAnsi="Arial" w:cs="Arial"/>
                <w:color w:val="000000"/>
              </w:rPr>
              <w:t>excitement  needs</w:t>
            </w:r>
            <w:proofErr w:type="gramEnd"/>
          </w:p>
        </w:tc>
        <w:tc>
          <w:tcPr>
            <w:tcW w:w="7065" w:type="dxa"/>
            <w:tcMar>
              <w:top w:w="100" w:type="dxa"/>
              <w:left w:w="100" w:type="dxa"/>
              <w:bottom w:w="100" w:type="dxa"/>
              <w:right w:w="100" w:type="dxa"/>
            </w:tcMar>
          </w:tcPr>
          <w:p w14:paraId="0221691A"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Incorporation of eco-labelled steel, renewable energy sources, and green hydrogen solutions excited sustainability-focused clients, allowing Tata Steel to differentiate itself from competitors and achieve 6% YoY growth despite the global steel sector’s 2% decline in 2025. </w:t>
            </w:r>
          </w:p>
        </w:tc>
      </w:tr>
    </w:tbl>
    <w:p w14:paraId="12B06D9F"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Table 1: Green diversification strategy through the Kano model</w:t>
      </w:r>
    </w:p>
    <w:p w14:paraId="156A281C"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lastRenderedPageBreak/>
        <w:t>(Source: Lecture 10, Deccan Chronicle, 2026; Carbon Market Watch, 2025)</w:t>
      </w:r>
    </w:p>
    <w:p w14:paraId="24916841" w14:textId="77777777" w:rsidR="00722E2D" w:rsidRDefault="00000000">
      <w:pPr>
        <w:pStyle w:val="Heading3"/>
      </w:pPr>
      <w:bookmarkStart w:id="8" w:name="_Toc234522890"/>
      <w:r>
        <w:t>2.1.3 Growth Opportunities in the Green Steel Market</w:t>
      </w:r>
      <w:bookmarkEnd w:id="8"/>
      <w:r>
        <w:t xml:space="preserve"> </w:t>
      </w:r>
    </w:p>
    <w:p w14:paraId="79595449"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Applying the Product Life Cycle (PLC) model, the growth opportunities for Tata’s diversification strategy have been </w:t>
      </w:r>
      <w:proofErr w:type="spellStart"/>
      <w:r>
        <w:rPr>
          <w:rFonts w:ascii="Arial" w:eastAsia="Arial" w:hAnsi="Arial" w:cs="Arial"/>
          <w:color w:val="000000"/>
        </w:rPr>
        <w:t>analysed</w:t>
      </w:r>
      <w:proofErr w:type="spellEnd"/>
      <w:r>
        <w:rPr>
          <w:rFonts w:ascii="Arial" w:eastAsia="Arial" w:hAnsi="Arial" w:cs="Arial"/>
          <w:color w:val="000000"/>
        </w:rPr>
        <w:t xml:space="preserve"> below.</w:t>
      </w:r>
    </w:p>
    <w:tbl>
      <w:tblPr>
        <w:tblStyle w:val="a0"/>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6765"/>
      </w:tblGrid>
      <w:tr w:rsidR="00722E2D" w14:paraId="38B2EA9A" w14:textId="77777777">
        <w:trPr>
          <w:jc w:val="center"/>
        </w:trPr>
        <w:tc>
          <w:tcPr>
            <w:tcW w:w="2235" w:type="dxa"/>
            <w:tcMar>
              <w:top w:w="100" w:type="dxa"/>
              <w:left w:w="100" w:type="dxa"/>
              <w:bottom w:w="100" w:type="dxa"/>
              <w:right w:w="100" w:type="dxa"/>
            </w:tcMar>
          </w:tcPr>
          <w:p w14:paraId="73036A14" w14:textId="77777777" w:rsidR="00722E2D" w:rsidRDefault="00000000">
            <w:pPr>
              <w:widowControl w:val="0"/>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PLC stage</w:t>
            </w:r>
          </w:p>
        </w:tc>
        <w:tc>
          <w:tcPr>
            <w:tcW w:w="6765" w:type="dxa"/>
            <w:tcMar>
              <w:top w:w="100" w:type="dxa"/>
              <w:left w:w="100" w:type="dxa"/>
              <w:bottom w:w="100" w:type="dxa"/>
              <w:right w:w="100" w:type="dxa"/>
            </w:tcMar>
          </w:tcPr>
          <w:p w14:paraId="65098151" w14:textId="77777777" w:rsidR="00722E2D" w:rsidRDefault="00000000">
            <w:pPr>
              <w:widowControl w:val="0"/>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 xml:space="preserve">Explanation </w:t>
            </w:r>
          </w:p>
        </w:tc>
      </w:tr>
      <w:tr w:rsidR="00722E2D" w14:paraId="1138EB22" w14:textId="77777777">
        <w:trPr>
          <w:jc w:val="center"/>
        </w:trPr>
        <w:tc>
          <w:tcPr>
            <w:tcW w:w="2235" w:type="dxa"/>
            <w:tcMar>
              <w:top w:w="100" w:type="dxa"/>
              <w:left w:w="100" w:type="dxa"/>
              <w:bottom w:w="100" w:type="dxa"/>
              <w:right w:w="100" w:type="dxa"/>
            </w:tcMar>
          </w:tcPr>
          <w:p w14:paraId="42DED82F"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Growth transition </w:t>
            </w:r>
          </w:p>
        </w:tc>
        <w:tc>
          <w:tcPr>
            <w:tcW w:w="6765" w:type="dxa"/>
            <w:tcMar>
              <w:top w:w="100" w:type="dxa"/>
              <w:left w:w="100" w:type="dxa"/>
              <w:bottom w:w="100" w:type="dxa"/>
              <w:right w:w="100" w:type="dxa"/>
            </w:tcMar>
          </w:tcPr>
          <w:p w14:paraId="7A184C6D"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Rising demand from automotive clients to reduce their own respective GHG emissions</w:t>
            </w:r>
          </w:p>
        </w:tc>
      </w:tr>
      <w:tr w:rsidR="00722E2D" w14:paraId="482E0E57" w14:textId="77777777">
        <w:trPr>
          <w:jc w:val="center"/>
        </w:trPr>
        <w:tc>
          <w:tcPr>
            <w:tcW w:w="2235" w:type="dxa"/>
            <w:tcMar>
              <w:top w:w="100" w:type="dxa"/>
              <w:left w:w="100" w:type="dxa"/>
              <w:bottom w:w="100" w:type="dxa"/>
              <w:right w:w="100" w:type="dxa"/>
            </w:tcMar>
          </w:tcPr>
          <w:p w14:paraId="4FA142CE"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Growth accelerator</w:t>
            </w:r>
          </w:p>
        </w:tc>
        <w:tc>
          <w:tcPr>
            <w:tcW w:w="6765" w:type="dxa"/>
            <w:tcMar>
              <w:top w:w="100" w:type="dxa"/>
              <w:left w:w="100" w:type="dxa"/>
              <w:bottom w:w="100" w:type="dxa"/>
              <w:right w:w="100" w:type="dxa"/>
            </w:tcMar>
          </w:tcPr>
          <w:p w14:paraId="788CAF4D"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Government of India’s subsidiaries, such as PLI, declared incentives up to </w:t>
            </w:r>
            <w:r>
              <w:rPr>
                <w:rFonts w:ascii="Arial" w:eastAsia="Arial" w:hAnsi="Arial" w:cs="Arial"/>
                <w:color w:val="333333"/>
                <w:highlight w:val="white"/>
              </w:rPr>
              <w:t>₹17,000 crore</w:t>
            </w:r>
            <w:r>
              <w:rPr>
                <w:rFonts w:ascii="Arial" w:eastAsia="Arial" w:hAnsi="Arial" w:cs="Arial"/>
                <w:color w:val="000000"/>
              </w:rPr>
              <w:t xml:space="preserve"> to support green steel manufacturing. </w:t>
            </w:r>
          </w:p>
        </w:tc>
      </w:tr>
      <w:tr w:rsidR="00722E2D" w14:paraId="4F365739" w14:textId="77777777">
        <w:trPr>
          <w:jc w:val="center"/>
        </w:trPr>
        <w:tc>
          <w:tcPr>
            <w:tcW w:w="2235" w:type="dxa"/>
            <w:tcMar>
              <w:top w:w="100" w:type="dxa"/>
              <w:left w:w="100" w:type="dxa"/>
              <w:bottom w:w="100" w:type="dxa"/>
              <w:right w:w="100" w:type="dxa"/>
            </w:tcMar>
          </w:tcPr>
          <w:p w14:paraId="29E8F2B4"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Growth into early maturity</w:t>
            </w:r>
          </w:p>
        </w:tc>
        <w:tc>
          <w:tcPr>
            <w:tcW w:w="6765" w:type="dxa"/>
            <w:tcMar>
              <w:top w:w="100" w:type="dxa"/>
              <w:left w:w="100" w:type="dxa"/>
              <w:bottom w:w="100" w:type="dxa"/>
              <w:right w:w="100" w:type="dxa"/>
            </w:tcMar>
          </w:tcPr>
          <w:p w14:paraId="68B3A7B9" w14:textId="77777777" w:rsidR="00722E2D" w:rsidRDefault="0000000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Alongside securing international projects, aggressive market expansion strategy is obligatory in renewable energy sector.</w:t>
            </w:r>
          </w:p>
        </w:tc>
      </w:tr>
    </w:tbl>
    <w:p w14:paraId="72BCF893"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Table 2: Assessing growth opportunities</w:t>
      </w:r>
    </w:p>
    <w:p w14:paraId="56991B8F"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Lecture 6; PIB, 2025)</w:t>
      </w:r>
    </w:p>
    <w:p w14:paraId="4AC3160A" w14:textId="77777777" w:rsidR="00722E2D" w:rsidRDefault="00000000">
      <w:pPr>
        <w:pStyle w:val="Heading2"/>
      </w:pPr>
      <w:bookmarkStart w:id="9" w:name="_Toc234522891"/>
      <w:r>
        <w:t>2.2 Achieving the Competitive Edge through the Lower-Carbon Business Model</w:t>
      </w:r>
      <w:bookmarkEnd w:id="9"/>
    </w:p>
    <w:p w14:paraId="39315659" w14:textId="77777777" w:rsidR="00722E2D" w:rsidRDefault="00000000">
      <w:pPr>
        <w:pStyle w:val="Heading3"/>
      </w:pPr>
      <w:bookmarkStart w:id="10" w:name="_Toc234522892"/>
      <w:r>
        <w:t>2.2.1 Porter’s Generic Model for Competitive Advantage Perspective</w:t>
      </w:r>
      <w:bookmarkEnd w:id="10"/>
      <w:r>
        <w:t xml:space="preserve"> </w:t>
      </w:r>
    </w:p>
    <w:tbl>
      <w:tblPr>
        <w:tblStyle w:val="a1"/>
        <w:tblW w:w="104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2355"/>
        <w:gridCol w:w="1806"/>
        <w:gridCol w:w="1806"/>
        <w:gridCol w:w="2690"/>
      </w:tblGrid>
      <w:tr w:rsidR="00722E2D" w:rsidRPr="004C247B" w14:paraId="005CA0C0" w14:textId="77777777" w:rsidTr="000A375C">
        <w:trPr>
          <w:jc w:val="center"/>
        </w:trPr>
        <w:tc>
          <w:tcPr>
            <w:tcW w:w="1833" w:type="dxa"/>
            <w:tcMar>
              <w:top w:w="100" w:type="dxa"/>
              <w:left w:w="100" w:type="dxa"/>
              <w:bottom w:w="100" w:type="dxa"/>
              <w:right w:w="100" w:type="dxa"/>
            </w:tcMar>
          </w:tcPr>
          <w:p w14:paraId="34CA7092" w14:textId="77777777" w:rsidR="00722E2D" w:rsidRPr="004C247B" w:rsidRDefault="00000000">
            <w:pPr>
              <w:widowControl w:val="0"/>
              <w:pBdr>
                <w:top w:val="nil"/>
                <w:left w:val="nil"/>
                <w:bottom w:val="nil"/>
                <w:right w:val="nil"/>
                <w:between w:val="nil"/>
              </w:pBdr>
              <w:rPr>
                <w:rFonts w:ascii="Arial" w:eastAsia="Arial" w:hAnsi="Arial" w:cs="Arial"/>
                <w:b/>
                <w:bCs/>
                <w:color w:val="000000"/>
              </w:rPr>
            </w:pPr>
            <w:r w:rsidRPr="004C247B">
              <w:rPr>
                <w:rFonts w:ascii="Arial" w:eastAsia="Arial" w:hAnsi="Arial" w:cs="Arial"/>
                <w:b/>
                <w:bCs/>
                <w:color w:val="000000"/>
              </w:rPr>
              <w:t>Strategic metrics</w:t>
            </w:r>
          </w:p>
        </w:tc>
        <w:tc>
          <w:tcPr>
            <w:tcW w:w="2355" w:type="dxa"/>
            <w:tcMar>
              <w:top w:w="100" w:type="dxa"/>
              <w:left w:w="100" w:type="dxa"/>
              <w:bottom w:w="100" w:type="dxa"/>
              <w:right w:w="100" w:type="dxa"/>
            </w:tcMar>
          </w:tcPr>
          <w:p w14:paraId="554D5B84" w14:textId="77777777" w:rsidR="00722E2D" w:rsidRPr="004C247B" w:rsidRDefault="00000000">
            <w:pPr>
              <w:widowControl w:val="0"/>
              <w:pBdr>
                <w:top w:val="nil"/>
                <w:left w:val="nil"/>
                <w:bottom w:val="nil"/>
                <w:right w:val="nil"/>
                <w:between w:val="nil"/>
              </w:pBdr>
              <w:rPr>
                <w:rFonts w:ascii="Arial" w:eastAsia="Arial" w:hAnsi="Arial" w:cs="Arial"/>
                <w:b/>
                <w:bCs/>
                <w:color w:val="000000"/>
              </w:rPr>
            </w:pPr>
            <w:r w:rsidRPr="004C247B">
              <w:rPr>
                <w:rFonts w:ascii="Arial" w:eastAsia="Arial" w:hAnsi="Arial" w:cs="Arial"/>
                <w:b/>
                <w:bCs/>
                <w:color w:val="000000"/>
              </w:rPr>
              <w:t>Cost Leadership</w:t>
            </w:r>
          </w:p>
        </w:tc>
        <w:tc>
          <w:tcPr>
            <w:tcW w:w="1806" w:type="dxa"/>
            <w:tcMar>
              <w:top w:w="100" w:type="dxa"/>
              <w:left w:w="100" w:type="dxa"/>
              <w:bottom w:w="100" w:type="dxa"/>
              <w:right w:w="100" w:type="dxa"/>
            </w:tcMar>
          </w:tcPr>
          <w:p w14:paraId="13BCC5ED" w14:textId="77777777" w:rsidR="00722E2D" w:rsidRPr="004C247B" w:rsidRDefault="00000000">
            <w:pPr>
              <w:widowControl w:val="0"/>
              <w:pBdr>
                <w:top w:val="nil"/>
                <w:left w:val="nil"/>
                <w:bottom w:val="nil"/>
                <w:right w:val="nil"/>
                <w:between w:val="nil"/>
              </w:pBdr>
              <w:rPr>
                <w:rFonts w:ascii="Arial" w:eastAsia="Arial" w:hAnsi="Arial" w:cs="Arial"/>
                <w:b/>
                <w:bCs/>
                <w:color w:val="000000"/>
              </w:rPr>
            </w:pPr>
            <w:r w:rsidRPr="004C247B">
              <w:rPr>
                <w:rFonts w:ascii="Arial" w:eastAsia="Arial" w:hAnsi="Arial" w:cs="Arial"/>
                <w:b/>
                <w:bCs/>
                <w:color w:val="000000"/>
              </w:rPr>
              <w:t>Cost Focus</w:t>
            </w:r>
          </w:p>
        </w:tc>
        <w:tc>
          <w:tcPr>
            <w:tcW w:w="1806" w:type="dxa"/>
            <w:tcMar>
              <w:top w:w="100" w:type="dxa"/>
              <w:left w:w="100" w:type="dxa"/>
              <w:bottom w:w="100" w:type="dxa"/>
              <w:right w:w="100" w:type="dxa"/>
            </w:tcMar>
          </w:tcPr>
          <w:p w14:paraId="4C01C8F3" w14:textId="77777777" w:rsidR="00722E2D" w:rsidRPr="004C247B" w:rsidRDefault="00000000">
            <w:pPr>
              <w:widowControl w:val="0"/>
              <w:pBdr>
                <w:top w:val="nil"/>
                <w:left w:val="nil"/>
                <w:bottom w:val="nil"/>
                <w:right w:val="nil"/>
                <w:between w:val="nil"/>
              </w:pBdr>
              <w:rPr>
                <w:rFonts w:ascii="Arial" w:eastAsia="Arial" w:hAnsi="Arial" w:cs="Arial"/>
                <w:b/>
                <w:bCs/>
                <w:color w:val="000000"/>
              </w:rPr>
            </w:pPr>
            <w:r w:rsidRPr="004C247B">
              <w:rPr>
                <w:rFonts w:ascii="Arial" w:eastAsia="Arial" w:hAnsi="Arial" w:cs="Arial"/>
                <w:b/>
                <w:bCs/>
                <w:color w:val="000000"/>
              </w:rPr>
              <w:t>Differentiation</w:t>
            </w:r>
          </w:p>
        </w:tc>
        <w:tc>
          <w:tcPr>
            <w:tcW w:w="2690" w:type="dxa"/>
            <w:tcMar>
              <w:top w:w="100" w:type="dxa"/>
              <w:left w:w="100" w:type="dxa"/>
              <w:bottom w:w="100" w:type="dxa"/>
              <w:right w:w="100" w:type="dxa"/>
            </w:tcMar>
          </w:tcPr>
          <w:p w14:paraId="7B86E06D" w14:textId="77777777" w:rsidR="00722E2D" w:rsidRPr="004C247B" w:rsidRDefault="00000000">
            <w:pPr>
              <w:widowControl w:val="0"/>
              <w:pBdr>
                <w:top w:val="nil"/>
                <w:left w:val="nil"/>
                <w:bottom w:val="nil"/>
                <w:right w:val="nil"/>
                <w:between w:val="nil"/>
              </w:pBdr>
              <w:rPr>
                <w:rFonts w:ascii="Arial" w:eastAsia="Arial" w:hAnsi="Arial" w:cs="Arial"/>
                <w:b/>
                <w:bCs/>
                <w:color w:val="000000"/>
              </w:rPr>
            </w:pPr>
            <w:r w:rsidRPr="004C247B">
              <w:rPr>
                <w:rFonts w:ascii="Arial" w:eastAsia="Arial" w:hAnsi="Arial" w:cs="Arial"/>
                <w:b/>
                <w:bCs/>
                <w:color w:val="000000"/>
              </w:rPr>
              <w:t>Differentiation focus</w:t>
            </w:r>
          </w:p>
        </w:tc>
      </w:tr>
      <w:tr w:rsidR="00722E2D" w:rsidRPr="004C247B" w14:paraId="485A1A9B" w14:textId="77777777" w:rsidTr="000A375C">
        <w:trPr>
          <w:jc w:val="center"/>
        </w:trPr>
        <w:tc>
          <w:tcPr>
            <w:tcW w:w="1833" w:type="dxa"/>
            <w:tcMar>
              <w:top w:w="100" w:type="dxa"/>
              <w:left w:w="100" w:type="dxa"/>
              <w:bottom w:w="100" w:type="dxa"/>
              <w:right w:w="100" w:type="dxa"/>
            </w:tcMar>
          </w:tcPr>
          <w:p w14:paraId="7C8F8FA2"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Uniquely diversified service portfolio</w:t>
            </w:r>
          </w:p>
        </w:tc>
        <w:tc>
          <w:tcPr>
            <w:tcW w:w="2355" w:type="dxa"/>
            <w:tcMar>
              <w:top w:w="100" w:type="dxa"/>
              <w:left w:w="100" w:type="dxa"/>
              <w:bottom w:w="100" w:type="dxa"/>
              <w:right w:w="100" w:type="dxa"/>
            </w:tcMar>
          </w:tcPr>
          <w:p w14:paraId="2A86284D"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 xml:space="preserve">Backward vertical integration, incorporation of AI, and ML allow for reducing the costs </w:t>
            </w:r>
            <w:r w:rsidRPr="004C247B">
              <w:rPr>
                <w:rFonts w:ascii="Arial" w:eastAsia="Arial" w:hAnsi="Arial" w:cs="Arial"/>
                <w:color w:val="000000"/>
              </w:rPr>
              <w:lastRenderedPageBreak/>
              <w:t>of sustainable manufacturing practices</w:t>
            </w:r>
          </w:p>
        </w:tc>
        <w:tc>
          <w:tcPr>
            <w:tcW w:w="1806" w:type="dxa"/>
            <w:tcMar>
              <w:top w:w="100" w:type="dxa"/>
              <w:left w:w="100" w:type="dxa"/>
              <w:bottom w:w="100" w:type="dxa"/>
              <w:right w:w="100" w:type="dxa"/>
            </w:tcMar>
          </w:tcPr>
          <w:p w14:paraId="77C4C9CB"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lastRenderedPageBreak/>
              <w:t>To satisfy price-sensitive clients</w:t>
            </w:r>
          </w:p>
        </w:tc>
        <w:tc>
          <w:tcPr>
            <w:tcW w:w="1806" w:type="dxa"/>
            <w:tcMar>
              <w:top w:w="100" w:type="dxa"/>
              <w:left w:w="100" w:type="dxa"/>
              <w:bottom w:w="100" w:type="dxa"/>
              <w:right w:w="100" w:type="dxa"/>
            </w:tcMar>
          </w:tcPr>
          <w:p w14:paraId="537E56F3"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 xml:space="preserve">Developing premium yet unique steelmaking </w:t>
            </w:r>
            <w:r w:rsidRPr="004C247B">
              <w:rPr>
                <w:rFonts w:ascii="Arial" w:eastAsia="Arial" w:hAnsi="Arial" w:cs="Arial"/>
                <w:color w:val="000000"/>
              </w:rPr>
              <w:lastRenderedPageBreak/>
              <w:t>operations</w:t>
            </w:r>
          </w:p>
        </w:tc>
        <w:tc>
          <w:tcPr>
            <w:tcW w:w="2690" w:type="dxa"/>
            <w:tcMar>
              <w:top w:w="100" w:type="dxa"/>
              <w:left w:w="100" w:type="dxa"/>
              <w:bottom w:w="100" w:type="dxa"/>
              <w:right w:w="100" w:type="dxa"/>
            </w:tcMar>
          </w:tcPr>
          <w:p w14:paraId="30DA78D4"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lastRenderedPageBreak/>
              <w:t>Reaching net-zero goals and compliance with regulatory standards</w:t>
            </w:r>
          </w:p>
        </w:tc>
      </w:tr>
      <w:tr w:rsidR="00722E2D" w:rsidRPr="004C247B" w14:paraId="4B6C5967" w14:textId="77777777" w:rsidTr="000A375C">
        <w:trPr>
          <w:jc w:val="center"/>
        </w:trPr>
        <w:tc>
          <w:tcPr>
            <w:tcW w:w="1833" w:type="dxa"/>
            <w:tcMar>
              <w:top w:w="100" w:type="dxa"/>
              <w:left w:w="100" w:type="dxa"/>
              <w:bottom w:w="100" w:type="dxa"/>
              <w:right w:w="100" w:type="dxa"/>
            </w:tcMar>
          </w:tcPr>
          <w:p w14:paraId="43BB91FD"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Production costs</w:t>
            </w:r>
          </w:p>
        </w:tc>
        <w:tc>
          <w:tcPr>
            <w:tcW w:w="2355" w:type="dxa"/>
            <w:tcMar>
              <w:top w:w="100" w:type="dxa"/>
              <w:left w:w="100" w:type="dxa"/>
              <w:bottom w:w="100" w:type="dxa"/>
              <w:right w:w="100" w:type="dxa"/>
            </w:tcMar>
          </w:tcPr>
          <w:p w14:paraId="0DDC5D0C"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 xml:space="preserve">Capital investment in 2026FY increased by 38% to support technology adoption </w:t>
            </w:r>
          </w:p>
        </w:tc>
        <w:tc>
          <w:tcPr>
            <w:tcW w:w="1806" w:type="dxa"/>
            <w:tcMar>
              <w:top w:w="100" w:type="dxa"/>
              <w:left w:w="100" w:type="dxa"/>
              <w:bottom w:w="100" w:type="dxa"/>
              <w:right w:w="100" w:type="dxa"/>
            </w:tcMar>
          </w:tcPr>
          <w:p w14:paraId="59EA496F"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 xml:space="preserve">Expanding technological infrastructure to meet the strategic goal </w:t>
            </w:r>
          </w:p>
        </w:tc>
        <w:tc>
          <w:tcPr>
            <w:tcW w:w="1806" w:type="dxa"/>
            <w:tcMar>
              <w:top w:w="100" w:type="dxa"/>
              <w:left w:w="100" w:type="dxa"/>
              <w:bottom w:w="100" w:type="dxa"/>
              <w:right w:w="100" w:type="dxa"/>
            </w:tcMar>
          </w:tcPr>
          <w:p w14:paraId="0C100A62"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 xml:space="preserve">Hydrogen in green steel solutions creates </w:t>
            </w:r>
            <w:proofErr w:type="spellStart"/>
            <w:r w:rsidRPr="004C247B">
              <w:rPr>
                <w:rFonts w:ascii="Arial" w:eastAsia="Arial" w:hAnsi="Arial" w:cs="Arial"/>
                <w:color w:val="000000"/>
              </w:rPr>
              <w:t>vapour</w:t>
            </w:r>
            <w:proofErr w:type="spellEnd"/>
            <w:r w:rsidRPr="004C247B">
              <w:rPr>
                <w:rFonts w:ascii="Arial" w:eastAsia="Arial" w:hAnsi="Arial" w:cs="Arial"/>
                <w:color w:val="000000"/>
              </w:rPr>
              <w:t xml:space="preserve"> by reacting with iron ore instead of CO2</w:t>
            </w:r>
          </w:p>
        </w:tc>
        <w:tc>
          <w:tcPr>
            <w:tcW w:w="2690" w:type="dxa"/>
            <w:tcMar>
              <w:top w:w="100" w:type="dxa"/>
              <w:left w:w="100" w:type="dxa"/>
              <w:bottom w:w="100" w:type="dxa"/>
              <w:right w:w="100" w:type="dxa"/>
            </w:tcMar>
          </w:tcPr>
          <w:p w14:paraId="5E6B0A05" w14:textId="77777777" w:rsidR="00722E2D" w:rsidRPr="004C247B" w:rsidRDefault="00000000">
            <w:pPr>
              <w:widowControl w:val="0"/>
              <w:pBdr>
                <w:top w:val="nil"/>
                <w:left w:val="nil"/>
                <w:bottom w:val="nil"/>
                <w:right w:val="nil"/>
                <w:between w:val="nil"/>
              </w:pBdr>
              <w:rPr>
                <w:rFonts w:ascii="Arial" w:eastAsia="Arial" w:hAnsi="Arial" w:cs="Arial"/>
                <w:color w:val="000000"/>
              </w:rPr>
            </w:pPr>
            <w:r w:rsidRPr="004C247B">
              <w:rPr>
                <w:rFonts w:ascii="Arial" w:eastAsia="Arial" w:hAnsi="Arial" w:cs="Arial"/>
                <w:color w:val="000000"/>
              </w:rPr>
              <w:t>Assuredly reducing scope 3 GHG emissions for clients</w:t>
            </w:r>
          </w:p>
        </w:tc>
      </w:tr>
    </w:tbl>
    <w:p w14:paraId="16AE9A5D"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Table 3: Assessing competitive advantage for Tata Steel</w:t>
      </w:r>
    </w:p>
    <w:p w14:paraId="4364A260"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Lecture 11; SMM, 2026)</w:t>
      </w:r>
    </w:p>
    <w:p w14:paraId="06B60662" w14:textId="77777777" w:rsidR="00722E2D" w:rsidRDefault="00000000">
      <w:pPr>
        <w:pStyle w:val="Heading3"/>
      </w:pPr>
      <w:bookmarkStart w:id="11" w:name="_Toc234522893"/>
      <w:r>
        <w:t>2.2.2 Sustainability as a Source of Differentiation</w:t>
      </w:r>
      <w:bookmarkEnd w:id="11"/>
    </w:p>
    <w:p w14:paraId="101F9859"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By 2025, green steel is expected to reach a market value of 179.17 million tons, which satisfies the economic aspect of becoming sustainable for Tata Steel (EY, 2026). Alongside economic and regulatory drivers (CBAM), sustainability becomes a differentiating factor because it guarantees investors’ trust and consequently enhances industry reputation. </w:t>
      </w:r>
    </w:p>
    <w:p w14:paraId="27245165"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By ensuring that Tata Steel can live up to its sustainability goals and replace traditional blast furnaces, which produce high levels of GHG emissions, with green technologies, Tata can achieve the status of preferred supplier for B2B partners, especially in the construction and automotive sectors, who intend to reduce scope 3 carbon emissions from their supply chain.  </w:t>
      </w:r>
    </w:p>
    <w:p w14:paraId="375358F9"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The sustainability strategy strengthens investor trust through the transition toward green hydrogen and steel, offers access to EU markets, and secures its top position in the global </w:t>
      </w:r>
      <w:r>
        <w:rPr>
          <w:rFonts w:ascii="Arial" w:eastAsia="Arial" w:hAnsi="Arial" w:cs="Arial"/>
          <w:color w:val="000000"/>
        </w:rPr>
        <w:lastRenderedPageBreak/>
        <w:t xml:space="preserve">steel industry with an annual crude steel capacity of 36 million tons per annum (Tata Steel, 2026). </w:t>
      </w:r>
    </w:p>
    <w:p w14:paraId="138914AA"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2ECD32A8" wp14:editId="111D1453">
            <wp:extent cx="5731200" cy="33782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0CEA66D2"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Figure 7: Projected growth scope of green steel</w:t>
      </w:r>
    </w:p>
    <w:p w14:paraId="17774E73"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EY, 2026)</w:t>
      </w:r>
    </w:p>
    <w:p w14:paraId="5709422E" w14:textId="77777777" w:rsidR="00722E2D" w:rsidRDefault="00000000">
      <w:pPr>
        <w:pStyle w:val="Heading3"/>
      </w:pPr>
      <w:bookmarkStart w:id="12" w:name="_Toc234522894"/>
      <w:r>
        <w:t>2.2.3 Long-Term Competitive Positioning of Tata Steel</w:t>
      </w:r>
      <w:bookmarkEnd w:id="12"/>
      <w:r>
        <w:t xml:space="preserve"> </w:t>
      </w:r>
    </w:p>
    <w:p w14:paraId="193CC597"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Tata Steel’s global corporate branding is anchored on three pillars- sustainability, digital innovation, and diversity (Tata Steel, 2026). This brand positioning establishes Tata Steel as a responsible and forward-thinking company. The product diversification strategy attests to the product branding strategy for Tata Steel (Lecture 12, p.11).  The low GHG-emission strategic leap makes the company stand out as a critical supply chain partner in the global mining sector. </w:t>
      </w:r>
    </w:p>
    <w:p w14:paraId="4B74F464"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The corporate branding of Tata resonates with the Tata Steel Carbon Bank, which constantly evaluates the reduction of GHG emissions in its services. The partnership with </w:t>
      </w:r>
      <w:r>
        <w:rPr>
          <w:rFonts w:ascii="Arial" w:eastAsia="Arial" w:hAnsi="Arial" w:cs="Arial"/>
          <w:color w:val="000000"/>
        </w:rPr>
        <w:lastRenderedPageBreak/>
        <w:t xml:space="preserve">Google Cloud to introduce agentic AI helped Tata Steel emerge as a tech-driven company to automate sustainability operations (Tata Steel, 2026). </w:t>
      </w:r>
    </w:p>
    <w:p w14:paraId="60D0858E" w14:textId="77777777" w:rsidR="00722E2D" w:rsidRDefault="00000000">
      <w:pPr>
        <w:rPr>
          <w:rFonts w:ascii="Arial" w:eastAsia="Arial" w:hAnsi="Arial" w:cs="Arial"/>
          <w:b/>
          <w:bCs/>
        </w:rPr>
      </w:pPr>
      <w:r>
        <w:br w:type="page"/>
      </w:r>
    </w:p>
    <w:p w14:paraId="3AA081A3" w14:textId="77777777" w:rsidR="00722E2D" w:rsidRDefault="00000000">
      <w:pPr>
        <w:pStyle w:val="Heading1"/>
      </w:pPr>
      <w:bookmarkStart w:id="13" w:name="_Toc234522895"/>
      <w:r>
        <w:lastRenderedPageBreak/>
        <w:t>Task 3: Critical Reflection on AI Usage</w:t>
      </w:r>
      <w:bookmarkEnd w:id="13"/>
    </w:p>
    <w:p w14:paraId="3A9A1704" w14:textId="77777777" w:rsidR="00722E2D" w:rsidRDefault="00000000">
      <w:pPr>
        <w:pStyle w:val="Heading2"/>
      </w:pPr>
      <w:bookmarkStart w:id="14" w:name="_Toc234522896"/>
      <w:r>
        <w:t>3.1 Tool Disclosure</w:t>
      </w:r>
      <w:bookmarkEnd w:id="14"/>
    </w:p>
    <w:p w14:paraId="4471D543"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The use of AI in producing this report was limited and strictly adhered to the guidelines of the University of Wales, and in no way has AI been used to produce the submitted report. However, occasionally, ChatGPT Plus has been used to brainstorm ideas on a moderate level only, which is already a free version; hence, its assistance was limited to outlining ideas. Mostly, AI’s use has been limited to only enhancing understanding of different marketing theories and concepts, to understand the rationale for why a marketing framework which is discussed in the lecture notes is more applicable to a task, not to copy-paste the answers. The AI usage in this assignment has been justified with illustrative evidence pasted below. </w:t>
      </w:r>
    </w:p>
    <w:p w14:paraId="5E0F38E4"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23A17DF5" wp14:editId="0569F6A0">
            <wp:extent cx="5731200" cy="27178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200" cy="2717800"/>
                    </a:xfrm>
                    <a:prstGeom prst="rect">
                      <a:avLst/>
                    </a:prstGeom>
                    <a:ln w="12700">
                      <a:solidFill>
                        <a:srgbClr val="000000"/>
                      </a:solidFill>
                      <a:prstDash val="solid"/>
                    </a:ln>
                  </pic:spPr>
                </pic:pic>
              </a:graphicData>
            </a:graphic>
          </wp:inline>
        </w:drawing>
      </w:r>
    </w:p>
    <w:p w14:paraId="09065C99"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4D270AB3" wp14:editId="6DD2662B">
            <wp:extent cx="5734050" cy="2600325"/>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b="7458"/>
                    <a:stretch>
                      <a:fillRect/>
                    </a:stretch>
                  </pic:blipFill>
                  <pic:spPr>
                    <a:xfrm>
                      <a:off x="0" y="0"/>
                      <a:ext cx="5734050" cy="2600325"/>
                    </a:xfrm>
                    <a:prstGeom prst="rect">
                      <a:avLst/>
                    </a:prstGeom>
                    <a:ln w="12700">
                      <a:solidFill>
                        <a:srgbClr val="000000"/>
                      </a:solidFill>
                      <a:prstDash val="solid"/>
                    </a:ln>
                  </pic:spPr>
                </pic:pic>
              </a:graphicData>
            </a:graphic>
          </wp:inline>
        </w:drawing>
      </w:r>
    </w:p>
    <w:p w14:paraId="541AFDEC"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3BA6641A" wp14:editId="57DCE728">
            <wp:extent cx="5609502" cy="1544496"/>
            <wp:effectExtent l="19050" t="19050" r="10795" b="1778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627911" cy="1549565"/>
                    </a:xfrm>
                    <a:prstGeom prst="rect">
                      <a:avLst/>
                    </a:prstGeom>
                    <a:ln w="12700">
                      <a:solidFill>
                        <a:srgbClr val="000000"/>
                      </a:solidFill>
                      <a:prstDash val="solid"/>
                    </a:ln>
                  </pic:spPr>
                </pic:pic>
              </a:graphicData>
            </a:graphic>
          </wp:inline>
        </w:drawing>
      </w:r>
    </w:p>
    <w:p w14:paraId="2A8C243F"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339884DE" wp14:editId="5E7672E3">
            <wp:extent cx="5256416" cy="2087704"/>
            <wp:effectExtent l="19050" t="19050" r="20955" b="27305"/>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261095" cy="2089562"/>
                    </a:xfrm>
                    <a:prstGeom prst="rect">
                      <a:avLst/>
                    </a:prstGeom>
                    <a:ln w="12700">
                      <a:solidFill>
                        <a:srgbClr val="000000"/>
                      </a:solidFill>
                      <a:prstDash val="solid"/>
                    </a:ln>
                  </pic:spPr>
                </pic:pic>
              </a:graphicData>
            </a:graphic>
          </wp:inline>
        </w:drawing>
      </w:r>
    </w:p>
    <w:p w14:paraId="5D5752BC" w14:textId="77777777" w:rsidR="00722E2D" w:rsidRDefault="00000000">
      <w:pPr>
        <w:pBdr>
          <w:top w:val="nil"/>
          <w:left w:val="nil"/>
          <w:bottom w:val="nil"/>
          <w:right w:val="nil"/>
          <w:between w:val="nil"/>
        </w:pBdr>
        <w:spacing w:before="240" w:after="240"/>
        <w:jc w:val="center"/>
        <w:rPr>
          <w:rFonts w:ascii="Arial" w:eastAsia="Arial" w:hAnsi="Arial" w:cs="Arial"/>
          <w:b/>
          <w:bCs/>
          <w:color w:val="000000"/>
        </w:rPr>
      </w:pPr>
      <w:r>
        <w:rPr>
          <w:rFonts w:ascii="Arial" w:eastAsia="Arial" w:hAnsi="Arial" w:cs="Arial"/>
          <w:b/>
          <w:bCs/>
          <w:color w:val="000000"/>
        </w:rPr>
        <w:t xml:space="preserve">Figure 8: </w:t>
      </w:r>
      <w:proofErr w:type="spellStart"/>
      <w:r>
        <w:rPr>
          <w:rFonts w:ascii="Arial" w:eastAsia="Arial" w:hAnsi="Arial" w:cs="Arial"/>
          <w:b/>
          <w:bCs/>
          <w:color w:val="000000"/>
        </w:rPr>
        <w:t>ChatGpt</w:t>
      </w:r>
      <w:proofErr w:type="spellEnd"/>
      <w:r>
        <w:rPr>
          <w:rFonts w:ascii="Arial" w:eastAsia="Arial" w:hAnsi="Arial" w:cs="Arial"/>
          <w:b/>
          <w:bCs/>
          <w:color w:val="000000"/>
        </w:rPr>
        <w:t xml:space="preserve"> responses used to obtain justifications for theory incorporation</w:t>
      </w:r>
    </w:p>
    <w:p w14:paraId="7A0DEBEE" w14:textId="77777777" w:rsidR="00722E2D" w:rsidRDefault="00000000">
      <w:pPr>
        <w:pBdr>
          <w:top w:val="nil"/>
          <w:left w:val="nil"/>
          <w:bottom w:val="nil"/>
          <w:right w:val="nil"/>
          <w:between w:val="nil"/>
        </w:pBdr>
        <w:spacing w:before="240" w:after="240"/>
        <w:jc w:val="center"/>
        <w:rPr>
          <w:rFonts w:ascii="Arial" w:eastAsia="Arial" w:hAnsi="Arial" w:cs="Arial"/>
          <w:color w:val="000000"/>
        </w:rPr>
      </w:pPr>
      <w:r>
        <w:rPr>
          <w:rFonts w:ascii="Arial" w:eastAsia="Arial" w:hAnsi="Arial" w:cs="Arial"/>
          <w:color w:val="000000"/>
        </w:rPr>
        <w:t>(Source: Self-developed)</w:t>
      </w:r>
    </w:p>
    <w:p w14:paraId="03211069"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lastRenderedPageBreak/>
        <w:t xml:space="preserve">It can be surmised that the use of ChatGPT Plus has been limited to broadening own understanding about which theoretical framework should be used in which sections of the assignment, adhering to university integrity policies. </w:t>
      </w:r>
    </w:p>
    <w:p w14:paraId="267F44DE" w14:textId="77777777" w:rsidR="00722E2D" w:rsidRDefault="00000000">
      <w:pPr>
        <w:pStyle w:val="Heading2"/>
      </w:pPr>
      <w:bookmarkStart w:id="15" w:name="_Toc234522897"/>
      <w:r>
        <w:t>3.2 Critical Evaluation of AI Output</w:t>
      </w:r>
      <w:bookmarkEnd w:id="15"/>
      <w:r>
        <w:t xml:space="preserve"> </w:t>
      </w:r>
    </w:p>
    <w:p w14:paraId="7B81BF61"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It is widely acknowledged that AI often generates fabricated outputs, which are not based on factual real-life events. Hence, the AI-generated outputs have not been blindly followed; instead, they have been cross-checked with verifiable sources accessible on the internet, and the lecture notes have served as a trusted handbook for this assignment. Other trustworthy and verifiable sources for this assignment include the latest versions of the annual reports and sustainability reports of Tata Steel. During the outlining phase, </w:t>
      </w:r>
      <w:proofErr w:type="spellStart"/>
      <w:r>
        <w:rPr>
          <w:rFonts w:ascii="Arial" w:eastAsia="Arial" w:hAnsi="Arial" w:cs="Arial"/>
          <w:color w:val="000000"/>
        </w:rPr>
        <w:t>ChatGpt</w:t>
      </w:r>
      <w:proofErr w:type="spellEnd"/>
      <w:r>
        <w:rPr>
          <w:rFonts w:ascii="Arial" w:eastAsia="Arial" w:hAnsi="Arial" w:cs="Arial"/>
          <w:color w:val="000000"/>
        </w:rPr>
        <w:t xml:space="preserve"> produced a response that claimed that only focusing on the environmental factor would be sufficient for Task 1, but the assignment brief clearly states that I must discuss another relevant factor that encourages Tata Steel’s shift towards incorporating sustainable practices. As I read the assignment brief minutely, I was able to identify this logical error instantly. Throughout the rest of this assignment, whenever I asked AI to help me understand marketing concepts, I always verified the AI output against other verifiable sources to avoid using false information or wrongly applying any theoretical framework. </w:t>
      </w:r>
    </w:p>
    <w:p w14:paraId="3B97EF10" w14:textId="77777777" w:rsidR="00722E2D" w:rsidRDefault="00000000">
      <w:pPr>
        <w:pStyle w:val="Heading2"/>
      </w:pPr>
      <w:bookmarkStart w:id="16" w:name="_Toc234522898"/>
      <w:r>
        <w:t>3.3 Contribution Analysis</w:t>
      </w:r>
      <w:bookmarkEnd w:id="16"/>
    </w:p>
    <w:p w14:paraId="4EBB1858" w14:textId="77777777" w:rsidR="00722E2D" w:rsidRDefault="00000000">
      <w:pPr>
        <w:pBdr>
          <w:top w:val="nil"/>
          <w:left w:val="nil"/>
          <w:bottom w:val="nil"/>
          <w:right w:val="nil"/>
          <w:between w:val="nil"/>
        </w:pBdr>
        <w:spacing w:before="240" w:after="240"/>
        <w:rPr>
          <w:rFonts w:ascii="Arial" w:eastAsia="Arial" w:hAnsi="Arial" w:cs="Arial"/>
          <w:color w:val="000000"/>
        </w:rPr>
      </w:pPr>
      <w:r>
        <w:rPr>
          <w:rFonts w:ascii="Arial" w:eastAsia="Arial" w:hAnsi="Arial" w:cs="Arial"/>
          <w:color w:val="000000"/>
        </w:rPr>
        <w:t xml:space="preserve">I developed the structure for the assignment and chose Tata Steel as the selected company only after independently evaluating the company’s sustainability initiative first. I only used AI tools to receive an abstract idea about whether I can apply the theoretical framework in both Task 1 and Task 2. Apart from this, no AI tool can be given credit for producing this report. I produced the entire report after conducting thorough research and discovered statistical information from Tata Steel’s sustainability report, annual report, and other verifiable sources, such as Yahoo Finance.  </w:t>
      </w:r>
    </w:p>
    <w:p w14:paraId="7AA1D882" w14:textId="77777777" w:rsidR="00722E2D" w:rsidRDefault="00000000">
      <w:pPr>
        <w:pStyle w:val="Heading2"/>
      </w:pPr>
      <w:bookmarkStart w:id="17" w:name="_Toc234522899"/>
      <w:r>
        <w:t>3.4 Ethical &amp; Professional Reflection</w:t>
      </w:r>
      <w:bookmarkEnd w:id="17"/>
      <w:r>
        <w:t xml:space="preserve"> </w:t>
      </w:r>
    </w:p>
    <w:p w14:paraId="2DFBECB0" w14:textId="77777777" w:rsidR="00722E2D"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understand that the incorporation of AI raises ethical integrity concerns, limiting the independent ability to critically </w:t>
      </w:r>
      <w:proofErr w:type="spellStart"/>
      <w:r>
        <w:rPr>
          <w:rFonts w:ascii="Arial" w:eastAsia="Arial" w:hAnsi="Arial" w:cs="Arial"/>
          <w:color w:val="000000"/>
        </w:rPr>
        <w:t>analyse</w:t>
      </w:r>
      <w:proofErr w:type="spellEnd"/>
      <w:r>
        <w:rPr>
          <w:rFonts w:ascii="Arial" w:eastAsia="Arial" w:hAnsi="Arial" w:cs="Arial"/>
          <w:color w:val="000000"/>
        </w:rPr>
        <w:t xml:space="preserve"> that is required for developing a marketing </w:t>
      </w:r>
      <w:r>
        <w:rPr>
          <w:rFonts w:ascii="Arial" w:eastAsia="Arial" w:hAnsi="Arial" w:cs="Arial"/>
          <w:color w:val="000000"/>
        </w:rPr>
        <w:lastRenderedPageBreak/>
        <w:t xml:space="preserve">analysis report. This compelled me to conduct the entire research on my own, taking assistance from AI tools only where it was needed. Although I asked AI for the appropriateness of certain theoretical framework, I cross-checked the authenticity of the AI response to ensure human oversight. </w:t>
      </w:r>
    </w:p>
    <w:p w14:paraId="34B3E059" w14:textId="77777777" w:rsidR="00722E2D" w:rsidRDefault="00722E2D">
      <w:pPr>
        <w:pBdr>
          <w:top w:val="nil"/>
          <w:left w:val="nil"/>
          <w:bottom w:val="nil"/>
          <w:right w:val="nil"/>
          <w:between w:val="nil"/>
        </w:pBdr>
        <w:rPr>
          <w:rFonts w:ascii="Arial" w:eastAsia="Arial" w:hAnsi="Arial" w:cs="Arial"/>
          <w:color w:val="000000"/>
        </w:rPr>
      </w:pPr>
    </w:p>
    <w:p w14:paraId="73B289F3" w14:textId="77777777" w:rsidR="00722E2D" w:rsidRDefault="00000000">
      <w:pPr>
        <w:pBdr>
          <w:top w:val="nil"/>
          <w:left w:val="nil"/>
          <w:bottom w:val="nil"/>
          <w:right w:val="nil"/>
          <w:between w:val="nil"/>
        </w:pBdr>
        <w:rPr>
          <w:rFonts w:ascii="Arial" w:eastAsia="Arial" w:hAnsi="Arial" w:cs="Arial"/>
          <w:color w:val="000000"/>
        </w:rPr>
      </w:pPr>
      <w:r>
        <w:br w:type="page"/>
      </w:r>
    </w:p>
    <w:p w14:paraId="23632464" w14:textId="77777777" w:rsidR="00722E2D" w:rsidRDefault="00000000">
      <w:pPr>
        <w:pStyle w:val="Heading1"/>
      </w:pPr>
      <w:bookmarkStart w:id="18" w:name="_Toc234522900"/>
      <w:r>
        <w:lastRenderedPageBreak/>
        <w:t>Reference list</w:t>
      </w:r>
      <w:bookmarkEnd w:id="18"/>
    </w:p>
    <w:p w14:paraId="2D77E692" w14:textId="77777777" w:rsidR="00722E2D" w:rsidRDefault="00000000">
      <w:pPr>
        <w:spacing w:before="240"/>
        <w:rPr>
          <w:rFonts w:ascii="Arial" w:eastAsia="Arial" w:hAnsi="Arial" w:cs="Arial"/>
        </w:rPr>
      </w:pPr>
      <w:r>
        <w:rPr>
          <w:rFonts w:ascii="Arial" w:eastAsia="Arial" w:hAnsi="Arial" w:cs="Arial"/>
        </w:rPr>
        <w:t xml:space="preserve">Carbon Market Watch, (2025). </w:t>
      </w:r>
      <w:r>
        <w:rPr>
          <w:rFonts w:ascii="Arial" w:eastAsia="Arial" w:hAnsi="Arial" w:cs="Arial"/>
          <w:i/>
          <w:iCs/>
        </w:rPr>
        <w:t>Carbon Border Adjustment Mechanism (CBAM)</w:t>
      </w:r>
      <w:r>
        <w:rPr>
          <w:rFonts w:ascii="Arial" w:eastAsia="Arial" w:hAnsi="Arial" w:cs="Arial"/>
        </w:rPr>
        <w:t xml:space="preserve"> Available at: </w:t>
      </w:r>
      <w:hyperlink r:id="rId18">
        <w:r w:rsidR="00722E2D">
          <w:rPr>
            <w:rFonts w:ascii="Arial" w:eastAsia="Arial" w:hAnsi="Arial" w:cs="Arial"/>
            <w:color w:val="0000FF"/>
            <w:u w:val="single"/>
          </w:rPr>
          <w:t>https://carbonmarketwatch.org/glossary/carbon-border-adjustment-mechanism-cbam/</w:t>
        </w:r>
      </w:hyperlink>
      <w:r>
        <w:rPr>
          <w:rFonts w:ascii="Arial" w:eastAsia="Arial" w:hAnsi="Arial" w:cs="Arial"/>
        </w:rPr>
        <w:t xml:space="preserve"> (Accessed: 5 July 2026).</w:t>
      </w:r>
    </w:p>
    <w:p w14:paraId="6BD54B80" w14:textId="77777777" w:rsidR="00722E2D" w:rsidRDefault="00000000">
      <w:pPr>
        <w:spacing w:before="240"/>
        <w:rPr>
          <w:rFonts w:ascii="Arial" w:eastAsia="Arial" w:hAnsi="Arial" w:cs="Arial"/>
          <w:sz w:val="22"/>
          <w:szCs w:val="22"/>
        </w:rPr>
      </w:pPr>
      <w:r>
        <w:rPr>
          <w:rFonts w:ascii="Arial" w:eastAsia="Arial" w:hAnsi="Arial" w:cs="Arial"/>
        </w:rPr>
        <w:t xml:space="preserve">Chingis Idrissov (2025). </w:t>
      </w:r>
      <w:r>
        <w:rPr>
          <w:rFonts w:ascii="Arial" w:eastAsia="Arial" w:hAnsi="Arial" w:cs="Arial"/>
          <w:i/>
          <w:iCs/>
          <w:sz w:val="22"/>
          <w:szCs w:val="22"/>
        </w:rPr>
        <w:t>Key Drivers and Technologies Shaping the Green Steel Market</w:t>
      </w:r>
      <w:r>
        <w:rPr>
          <w:rFonts w:ascii="Arial" w:eastAsia="Arial" w:hAnsi="Arial" w:cs="Arial"/>
        </w:rPr>
        <w:t xml:space="preserve">. Available at: </w:t>
      </w:r>
      <w:hyperlink r:id="rId19">
        <w:r w:rsidR="00722E2D">
          <w:rPr>
            <w:rFonts w:ascii="Arial" w:eastAsia="Arial" w:hAnsi="Arial" w:cs="Arial"/>
            <w:color w:val="0000FF"/>
            <w:u w:val="single"/>
          </w:rPr>
          <w:t>https://www.idtechex.com/en/research-article/key-drivers-and-technologies-shaping-the-green-steel-market/32939</w:t>
        </w:r>
      </w:hyperlink>
      <w:r>
        <w:rPr>
          <w:rFonts w:ascii="Arial" w:eastAsia="Arial" w:hAnsi="Arial" w:cs="Arial"/>
        </w:rPr>
        <w:t xml:space="preserve"> (Accessed: 4 July 2026).</w:t>
      </w:r>
    </w:p>
    <w:p w14:paraId="70BE4CE2" w14:textId="77777777" w:rsidR="00722E2D" w:rsidRDefault="00000000">
      <w:pPr>
        <w:spacing w:before="240"/>
        <w:rPr>
          <w:rFonts w:ascii="Arial" w:eastAsia="Arial" w:hAnsi="Arial" w:cs="Arial"/>
        </w:rPr>
      </w:pPr>
      <w:r>
        <w:rPr>
          <w:rFonts w:ascii="Arial" w:eastAsia="Arial" w:hAnsi="Arial" w:cs="Arial"/>
        </w:rPr>
        <w:t xml:space="preserve">Deccan Chronicle, (2026). </w:t>
      </w:r>
      <w:r>
        <w:rPr>
          <w:rFonts w:ascii="Arial" w:eastAsia="Arial" w:hAnsi="Arial" w:cs="Arial"/>
          <w:i/>
          <w:iCs/>
        </w:rPr>
        <w:t>Chandrasekaran Unveils Tata Steel's Green Growth Vision.</w:t>
      </w:r>
      <w:r>
        <w:rPr>
          <w:rFonts w:ascii="Arial" w:eastAsia="Arial" w:hAnsi="Arial" w:cs="Arial"/>
        </w:rPr>
        <w:t xml:space="preserve"> Available at: </w:t>
      </w:r>
      <w:hyperlink r:id="rId20">
        <w:r w:rsidR="00722E2D">
          <w:rPr>
            <w:rFonts w:ascii="Arial" w:eastAsia="Arial" w:hAnsi="Arial" w:cs="Arial"/>
            <w:color w:val="0000FF"/>
            <w:u w:val="single"/>
          </w:rPr>
          <w:t>https://www.deccanchronicle.com/business/tata-steel-posts-strong-fy26-growth-pat-surges-243-at-119th-agm-1967767</w:t>
        </w:r>
      </w:hyperlink>
      <w:r>
        <w:rPr>
          <w:rFonts w:ascii="Arial" w:eastAsia="Arial" w:hAnsi="Arial" w:cs="Arial"/>
        </w:rPr>
        <w:t xml:space="preserve"> (Accessed: 4 July 2026).</w:t>
      </w:r>
    </w:p>
    <w:p w14:paraId="4F985CC8" w14:textId="77777777" w:rsidR="00722E2D" w:rsidRDefault="00000000">
      <w:pPr>
        <w:spacing w:before="240"/>
        <w:rPr>
          <w:rFonts w:ascii="Arial" w:eastAsia="Arial" w:hAnsi="Arial" w:cs="Arial"/>
        </w:rPr>
      </w:pPr>
      <w:r>
        <w:rPr>
          <w:rFonts w:ascii="Arial" w:eastAsia="Arial" w:hAnsi="Arial" w:cs="Arial"/>
        </w:rPr>
        <w:t xml:space="preserve">EY, (2026). </w:t>
      </w:r>
      <w:r>
        <w:rPr>
          <w:rFonts w:ascii="Arial" w:eastAsia="Arial" w:hAnsi="Arial" w:cs="Arial"/>
          <w:i/>
          <w:iCs/>
        </w:rPr>
        <w:t>Unlocking green steel demand</w:t>
      </w:r>
      <w:r>
        <w:rPr>
          <w:rFonts w:ascii="Arial" w:eastAsia="Arial" w:hAnsi="Arial" w:cs="Arial"/>
        </w:rPr>
        <w:t xml:space="preserve">. Available at: </w:t>
      </w:r>
      <w:hyperlink r:id="rId21">
        <w:r w:rsidR="00722E2D">
          <w:rPr>
            <w:rFonts w:ascii="Arial" w:eastAsia="Arial" w:hAnsi="Arial" w:cs="Arial"/>
            <w:color w:val="0000FF"/>
            <w:u w:val="single"/>
          </w:rPr>
          <w:t>https://www.ey.com/content/dam/ey-unified-site/ey-com/en-in/insights/mining-metals/doucments/ey-unlocking-green-steel-demand-digital.pdf</w:t>
        </w:r>
      </w:hyperlink>
      <w:r>
        <w:rPr>
          <w:rFonts w:ascii="Arial" w:eastAsia="Arial" w:hAnsi="Arial" w:cs="Arial"/>
        </w:rPr>
        <w:t xml:space="preserve"> (Accessed: 4 July 2026).</w:t>
      </w:r>
    </w:p>
    <w:p w14:paraId="232C470A"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Force for Good (2026). </w:t>
      </w:r>
      <w:r>
        <w:rPr>
          <w:rFonts w:ascii="Arial" w:eastAsia="Arial" w:hAnsi="Arial" w:cs="Arial"/>
          <w:i/>
          <w:iCs/>
          <w:color w:val="000000"/>
        </w:rPr>
        <w:t xml:space="preserve">One World - United Nations Driving Change. </w:t>
      </w:r>
      <w:r>
        <w:rPr>
          <w:rFonts w:ascii="Arial" w:eastAsia="Arial" w:hAnsi="Arial" w:cs="Arial"/>
          <w:color w:val="000000"/>
        </w:rPr>
        <w:t>Available at:</w:t>
      </w:r>
      <w:hyperlink r:id="rId22">
        <w:r w:rsidR="00722E2D">
          <w:rPr>
            <w:rFonts w:ascii="Arial" w:eastAsia="Arial" w:hAnsi="Arial" w:cs="Arial"/>
            <w:color w:val="000000"/>
          </w:rPr>
          <w:t xml:space="preserve"> </w:t>
        </w:r>
      </w:hyperlink>
      <w:hyperlink r:id="rId23">
        <w:r w:rsidR="00722E2D">
          <w:rPr>
            <w:rFonts w:ascii="Arial" w:eastAsia="Arial" w:hAnsi="Arial" w:cs="Arial"/>
            <w:color w:val="1155CC"/>
            <w:u w:val="single"/>
          </w:rPr>
          <w:t>https://www.forcegood.org/tab-one-world</w:t>
        </w:r>
      </w:hyperlink>
      <w:r>
        <w:rPr>
          <w:rFonts w:ascii="Arial" w:eastAsia="Arial" w:hAnsi="Arial" w:cs="Arial"/>
          <w:color w:val="000000"/>
        </w:rPr>
        <w:t xml:space="preserve"> (Accessed: 28 June 2026)</w:t>
      </w:r>
    </w:p>
    <w:p w14:paraId="74AE1110" w14:textId="77777777" w:rsidR="00722E2D" w:rsidRDefault="00000000">
      <w:pPr>
        <w:spacing w:before="240"/>
        <w:rPr>
          <w:rFonts w:ascii="Arial" w:eastAsia="Arial" w:hAnsi="Arial" w:cs="Arial"/>
        </w:rPr>
      </w:pPr>
      <w:r>
        <w:rPr>
          <w:rFonts w:ascii="Arial" w:eastAsia="Arial" w:hAnsi="Arial" w:cs="Arial"/>
        </w:rPr>
        <w:t xml:space="preserve">Fortune Business Insights (2026). </w:t>
      </w:r>
      <w:r>
        <w:rPr>
          <w:rFonts w:ascii="Arial" w:eastAsia="Arial" w:hAnsi="Arial" w:cs="Arial"/>
          <w:i/>
          <w:iCs/>
        </w:rPr>
        <w:t>Green Mining Market Size, Share, and Industry Analysis, By Type (Surface Mining and Underground Mining), By Technology (Power Reduction, Fuel &amp; Maintenance Reduction, Emission Reduction, Water Reduction, and Others), and Regional Forecast, 2026-2034</w:t>
      </w:r>
      <w:r>
        <w:rPr>
          <w:rFonts w:ascii="Arial" w:eastAsia="Arial" w:hAnsi="Arial" w:cs="Arial"/>
        </w:rPr>
        <w:t xml:space="preserve">. Available at: </w:t>
      </w:r>
      <w:hyperlink r:id="rId24">
        <w:r w:rsidR="00722E2D">
          <w:rPr>
            <w:rFonts w:ascii="Arial" w:eastAsia="Arial" w:hAnsi="Arial" w:cs="Arial"/>
            <w:color w:val="0000FF"/>
            <w:u w:val="single"/>
          </w:rPr>
          <w:t>https://www.fortunebusinessinsights.com/green-mining-market-109672?__cf_chl_f_tk=MXlCceuTCirvCL7K1gu.HNlUxknDI5OxVwevI4apGGk-1783409773-1.0.1.1-iU1OCQPqKCTdeNGZs.g3t.0hJXNsOzzoPoTqvIetiow</w:t>
        </w:r>
      </w:hyperlink>
      <w:r>
        <w:rPr>
          <w:rFonts w:ascii="Arial" w:eastAsia="Arial" w:hAnsi="Arial" w:cs="Arial"/>
        </w:rPr>
        <w:t xml:space="preserve">  (Accessed: 4 July 2026).</w:t>
      </w:r>
    </w:p>
    <w:p w14:paraId="54D18920"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Garg, V., Gulia, J., Gupta, K., Shaik, N. and Srivastava, S. (2023). </w:t>
      </w:r>
      <w:r>
        <w:rPr>
          <w:rFonts w:ascii="Arial" w:eastAsia="Arial" w:hAnsi="Arial" w:cs="Arial"/>
          <w:i/>
          <w:iCs/>
          <w:color w:val="000000"/>
        </w:rPr>
        <w:t xml:space="preserve">Steel </w:t>
      </w:r>
      <w:proofErr w:type="spellStart"/>
      <w:r>
        <w:rPr>
          <w:rFonts w:ascii="Arial" w:eastAsia="Arial" w:hAnsi="Arial" w:cs="Arial"/>
          <w:i/>
          <w:iCs/>
          <w:color w:val="000000"/>
        </w:rPr>
        <w:t>decarbonisation</w:t>
      </w:r>
      <w:proofErr w:type="spellEnd"/>
      <w:r>
        <w:rPr>
          <w:rFonts w:ascii="Arial" w:eastAsia="Arial" w:hAnsi="Arial" w:cs="Arial"/>
          <w:i/>
          <w:iCs/>
          <w:color w:val="000000"/>
        </w:rPr>
        <w:t xml:space="preserve"> in India</w:t>
      </w:r>
      <w:r>
        <w:rPr>
          <w:rFonts w:ascii="Arial" w:eastAsia="Arial" w:hAnsi="Arial" w:cs="Arial"/>
          <w:color w:val="000000"/>
        </w:rPr>
        <w:t>. Available at:</w:t>
      </w:r>
      <w:hyperlink r:id="rId25">
        <w:r w:rsidR="00722E2D">
          <w:rPr>
            <w:rFonts w:ascii="Arial" w:eastAsia="Arial" w:hAnsi="Arial" w:cs="Arial"/>
            <w:color w:val="000000"/>
          </w:rPr>
          <w:t xml:space="preserve"> </w:t>
        </w:r>
      </w:hyperlink>
      <w:hyperlink r:id="rId26">
        <w:r w:rsidR="00722E2D">
          <w:rPr>
            <w:rFonts w:ascii="Arial" w:eastAsia="Arial" w:hAnsi="Arial" w:cs="Arial"/>
            <w:color w:val="1155CC"/>
            <w:u w:val="single"/>
          </w:rPr>
          <w:t>https://ieefa.org/resources/steel-decarbonisation-india</w:t>
        </w:r>
      </w:hyperlink>
      <w:r>
        <w:rPr>
          <w:rFonts w:ascii="Arial" w:eastAsia="Arial" w:hAnsi="Arial" w:cs="Arial"/>
          <w:color w:val="000000"/>
        </w:rPr>
        <w:t xml:space="preserve"> (Accessed: 26 June 2026)</w:t>
      </w:r>
    </w:p>
    <w:p w14:paraId="05866346"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lastRenderedPageBreak/>
        <w:t xml:space="preserve">India Science and Technology (2026). </w:t>
      </w:r>
      <w:r>
        <w:rPr>
          <w:rFonts w:ascii="Arial" w:eastAsia="Arial" w:hAnsi="Arial" w:cs="Arial"/>
          <w:i/>
          <w:iCs/>
          <w:color w:val="000000"/>
        </w:rPr>
        <w:t>National Green Hydrogen Mission</w:t>
      </w:r>
      <w:r>
        <w:rPr>
          <w:rFonts w:ascii="Arial" w:eastAsia="Arial" w:hAnsi="Arial" w:cs="Arial"/>
          <w:color w:val="000000"/>
        </w:rPr>
        <w:t>. Available at:</w:t>
      </w:r>
      <w:hyperlink r:id="rId27">
        <w:r w:rsidR="00722E2D">
          <w:rPr>
            <w:rFonts w:ascii="Arial" w:eastAsia="Arial" w:hAnsi="Arial" w:cs="Arial"/>
            <w:color w:val="000000"/>
          </w:rPr>
          <w:t xml:space="preserve"> </w:t>
        </w:r>
      </w:hyperlink>
      <w:hyperlink r:id="rId28">
        <w:r w:rsidR="00722E2D">
          <w:rPr>
            <w:rFonts w:ascii="Arial" w:eastAsia="Arial" w:hAnsi="Arial" w:cs="Arial"/>
            <w:color w:val="1155CC"/>
            <w:u w:val="single"/>
          </w:rPr>
          <w:t>https://www.indiascienceandtechnology.gov.in/st-visions/national-mission/national-green-hydrogen-mission</w:t>
        </w:r>
      </w:hyperlink>
      <w:r>
        <w:rPr>
          <w:rFonts w:ascii="Arial" w:eastAsia="Arial" w:hAnsi="Arial" w:cs="Arial"/>
          <w:color w:val="000000"/>
        </w:rPr>
        <w:t xml:space="preserve"> (Accessed: 30 June 2026)</w:t>
      </w:r>
    </w:p>
    <w:p w14:paraId="0F9B3552"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JSW (2026). </w:t>
      </w:r>
      <w:r>
        <w:rPr>
          <w:rFonts w:ascii="Arial" w:eastAsia="Arial" w:hAnsi="Arial" w:cs="Arial"/>
          <w:i/>
          <w:iCs/>
          <w:color w:val="000000"/>
        </w:rPr>
        <w:t>Climate Change.</w:t>
      </w:r>
      <w:r>
        <w:rPr>
          <w:rFonts w:ascii="Arial" w:eastAsia="Arial" w:hAnsi="Arial" w:cs="Arial"/>
          <w:color w:val="000000"/>
        </w:rPr>
        <w:t xml:space="preserve"> Available at:</w:t>
      </w:r>
      <w:hyperlink r:id="rId29">
        <w:r w:rsidR="00722E2D">
          <w:rPr>
            <w:rFonts w:ascii="Arial" w:eastAsia="Arial" w:hAnsi="Arial" w:cs="Arial"/>
            <w:color w:val="000000"/>
          </w:rPr>
          <w:t xml:space="preserve"> </w:t>
        </w:r>
      </w:hyperlink>
      <w:hyperlink r:id="rId30">
        <w:r w:rsidR="00722E2D">
          <w:rPr>
            <w:rFonts w:ascii="Arial" w:eastAsia="Arial" w:hAnsi="Arial" w:cs="Arial"/>
            <w:color w:val="1155CC"/>
            <w:u w:val="single"/>
          </w:rPr>
          <w:t>https://group.jsw.in/groups/sustainability-framework-measuring-success-climate-change</w:t>
        </w:r>
      </w:hyperlink>
      <w:r>
        <w:rPr>
          <w:rFonts w:ascii="Arial" w:eastAsia="Arial" w:hAnsi="Arial" w:cs="Arial"/>
          <w:color w:val="000000"/>
        </w:rPr>
        <w:t xml:space="preserve"> (Accessed: 29 June 2026)</w:t>
      </w:r>
    </w:p>
    <w:p w14:paraId="505949CE"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Morgan Stanley (2025). </w:t>
      </w:r>
      <w:r>
        <w:rPr>
          <w:rFonts w:ascii="Arial" w:eastAsia="Arial" w:hAnsi="Arial" w:cs="Arial"/>
          <w:i/>
          <w:iCs/>
          <w:color w:val="000000"/>
        </w:rPr>
        <w:t>Sustainable Fund Returns Slightly Below Traditional Peers in Second Half of 2025</w:t>
      </w:r>
      <w:r>
        <w:rPr>
          <w:rFonts w:ascii="Arial" w:eastAsia="Arial" w:hAnsi="Arial" w:cs="Arial"/>
          <w:color w:val="000000"/>
        </w:rPr>
        <w:t>. Available at:</w:t>
      </w:r>
      <w:hyperlink r:id="rId31">
        <w:r w:rsidR="00722E2D">
          <w:rPr>
            <w:rFonts w:ascii="Arial" w:eastAsia="Arial" w:hAnsi="Arial" w:cs="Arial"/>
            <w:color w:val="000000"/>
          </w:rPr>
          <w:t xml:space="preserve"> </w:t>
        </w:r>
      </w:hyperlink>
      <w:hyperlink r:id="rId32">
        <w:r w:rsidR="00722E2D">
          <w:rPr>
            <w:rFonts w:ascii="Arial" w:eastAsia="Arial" w:hAnsi="Arial" w:cs="Arial"/>
            <w:color w:val="1155CC"/>
            <w:u w:val="single"/>
          </w:rPr>
          <w:t>https://www.morganstanley.com/insights/articles/sustainable-fund-performance-second-half-2025</w:t>
        </w:r>
      </w:hyperlink>
      <w:r>
        <w:rPr>
          <w:rFonts w:ascii="Arial" w:eastAsia="Arial" w:hAnsi="Arial" w:cs="Arial"/>
          <w:color w:val="000000"/>
        </w:rPr>
        <w:t xml:space="preserve"> (Accessed: 27 June 2026)</w:t>
      </w:r>
    </w:p>
    <w:p w14:paraId="0C713476" w14:textId="77777777" w:rsidR="00722E2D" w:rsidRDefault="00000000">
      <w:pPr>
        <w:pBdr>
          <w:top w:val="nil"/>
          <w:left w:val="nil"/>
          <w:bottom w:val="nil"/>
          <w:right w:val="nil"/>
          <w:between w:val="nil"/>
        </w:pBdr>
        <w:spacing w:before="240" w:after="160"/>
        <w:rPr>
          <w:rFonts w:ascii="Arial" w:eastAsia="Arial" w:hAnsi="Arial" w:cs="Arial"/>
          <w:color w:val="000000"/>
        </w:rPr>
      </w:pPr>
      <w:proofErr w:type="spellStart"/>
      <w:r>
        <w:rPr>
          <w:rFonts w:ascii="Arial" w:eastAsia="Arial" w:hAnsi="Arial" w:cs="Arial"/>
          <w:color w:val="000000"/>
        </w:rPr>
        <w:t>Myllyvirta</w:t>
      </w:r>
      <w:proofErr w:type="spellEnd"/>
      <w:r>
        <w:rPr>
          <w:rFonts w:ascii="Arial" w:eastAsia="Arial" w:hAnsi="Arial" w:cs="Arial"/>
          <w:color w:val="000000"/>
        </w:rPr>
        <w:t xml:space="preserve">, L. and Aggarwal, A. (2026). </w:t>
      </w:r>
      <w:r>
        <w:rPr>
          <w:rFonts w:ascii="Arial" w:eastAsia="Arial" w:hAnsi="Arial" w:cs="Arial"/>
          <w:i/>
          <w:iCs/>
          <w:color w:val="000000"/>
        </w:rPr>
        <w:t>Analysis: India’s CO2 emissions in 2025 grew at slowest rate in two decades</w:t>
      </w:r>
      <w:r>
        <w:rPr>
          <w:rFonts w:ascii="Arial" w:eastAsia="Arial" w:hAnsi="Arial" w:cs="Arial"/>
          <w:color w:val="000000"/>
        </w:rPr>
        <w:t>.</w:t>
      </w:r>
      <w:hyperlink r:id="rId33">
        <w:r w:rsidR="00722E2D">
          <w:rPr>
            <w:rFonts w:ascii="Arial" w:eastAsia="Arial" w:hAnsi="Arial" w:cs="Arial"/>
            <w:color w:val="000000"/>
          </w:rPr>
          <w:t xml:space="preserve"> </w:t>
        </w:r>
      </w:hyperlink>
      <w:hyperlink r:id="rId34">
        <w:r w:rsidR="00722E2D">
          <w:rPr>
            <w:rFonts w:ascii="Arial" w:eastAsia="Arial" w:hAnsi="Arial" w:cs="Arial"/>
            <w:color w:val="1155CC"/>
            <w:u w:val="single"/>
          </w:rPr>
          <w:t>https://www.carbonbrief.org/analysis-indias-co2-emissions-in-2025-grew-at-slowest-rate-in-two-decades/</w:t>
        </w:r>
      </w:hyperlink>
      <w:r>
        <w:rPr>
          <w:rFonts w:ascii="Arial" w:eastAsia="Arial" w:hAnsi="Arial" w:cs="Arial"/>
          <w:color w:val="000000"/>
        </w:rPr>
        <w:t xml:space="preserve"> (Accessed: 28 June 2026)</w:t>
      </w:r>
    </w:p>
    <w:p w14:paraId="6DF6576D" w14:textId="77777777" w:rsidR="00722E2D" w:rsidRDefault="00000000">
      <w:pPr>
        <w:spacing w:before="240"/>
        <w:rPr>
          <w:rFonts w:ascii="Arial" w:eastAsia="Arial" w:hAnsi="Arial" w:cs="Arial"/>
        </w:rPr>
      </w:pPr>
      <w:r>
        <w:rPr>
          <w:rFonts w:ascii="Arial" w:eastAsia="Arial" w:hAnsi="Arial" w:cs="Arial"/>
        </w:rPr>
        <w:t xml:space="preserve">Palak Agarwal, (2026). </w:t>
      </w:r>
      <w:r>
        <w:rPr>
          <w:rFonts w:ascii="Arial" w:eastAsia="Arial" w:hAnsi="Arial" w:cs="Arial"/>
          <w:i/>
          <w:iCs/>
        </w:rPr>
        <w:t xml:space="preserve">How Tata Steel is growing aggressively while </w:t>
      </w:r>
      <w:proofErr w:type="spellStart"/>
      <w:r>
        <w:rPr>
          <w:rFonts w:ascii="Arial" w:eastAsia="Arial" w:hAnsi="Arial" w:cs="Arial"/>
          <w:i/>
          <w:iCs/>
        </w:rPr>
        <w:t>minimising</w:t>
      </w:r>
      <w:proofErr w:type="spellEnd"/>
      <w:r>
        <w:rPr>
          <w:rFonts w:ascii="Arial" w:eastAsia="Arial" w:hAnsi="Arial" w:cs="Arial"/>
          <w:i/>
          <w:iCs/>
        </w:rPr>
        <w:t xml:space="preserve"> its carbon footprint</w:t>
      </w:r>
      <w:r>
        <w:rPr>
          <w:rFonts w:ascii="Arial" w:eastAsia="Arial" w:hAnsi="Arial" w:cs="Arial"/>
        </w:rPr>
        <w:t xml:space="preserve">. Available at: </w:t>
      </w:r>
      <w:hyperlink r:id="rId35">
        <w:r w:rsidR="00722E2D">
          <w:rPr>
            <w:rFonts w:ascii="Arial" w:eastAsia="Arial" w:hAnsi="Arial" w:cs="Arial"/>
            <w:color w:val="0000FF"/>
            <w:u w:val="single"/>
          </w:rPr>
          <w:t>https://www.businesstoday.in/magazine/deep-dive/story/how-tata-steel-is-growing-aggressively-while-minimising-its-carbon-footprint-536099-2026-06-10</w:t>
        </w:r>
      </w:hyperlink>
      <w:r>
        <w:rPr>
          <w:rFonts w:ascii="Arial" w:eastAsia="Arial" w:hAnsi="Arial" w:cs="Arial"/>
        </w:rPr>
        <w:t xml:space="preserve"> (Accessed: 6 July 2026).</w:t>
      </w:r>
    </w:p>
    <w:p w14:paraId="1E84D228"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PIB Delhi (2024). </w:t>
      </w:r>
      <w:r>
        <w:rPr>
          <w:rFonts w:ascii="Arial" w:eastAsia="Arial" w:hAnsi="Arial" w:cs="Arial"/>
          <w:i/>
          <w:iCs/>
          <w:color w:val="000000"/>
        </w:rPr>
        <w:t>Union Minister of Steel and Heavy Industries, Shri H.D. Kumaraswamy, Releases India’s Green Steel Taxonomy.</w:t>
      </w:r>
      <w:r>
        <w:rPr>
          <w:rFonts w:ascii="Arial" w:eastAsia="Arial" w:hAnsi="Arial" w:cs="Arial"/>
          <w:color w:val="000000"/>
        </w:rPr>
        <w:t xml:space="preserve"> Available at:</w:t>
      </w:r>
      <w:hyperlink r:id="rId36">
        <w:r w:rsidR="00722E2D">
          <w:rPr>
            <w:rFonts w:ascii="Arial" w:eastAsia="Arial" w:hAnsi="Arial" w:cs="Arial"/>
            <w:color w:val="000000"/>
          </w:rPr>
          <w:t xml:space="preserve"> </w:t>
        </w:r>
      </w:hyperlink>
      <w:hyperlink r:id="rId37">
        <w:r w:rsidR="00722E2D">
          <w:rPr>
            <w:rFonts w:ascii="Arial" w:eastAsia="Arial" w:hAnsi="Arial" w:cs="Arial"/>
            <w:color w:val="1155CC"/>
            <w:u w:val="single"/>
          </w:rPr>
          <w:t>https://www.pib.gov.in/PressReleasePage.aspx?PRID=2083839&amp;reg=48&amp;lang=2</w:t>
        </w:r>
      </w:hyperlink>
      <w:r>
        <w:rPr>
          <w:rFonts w:ascii="Arial" w:eastAsia="Arial" w:hAnsi="Arial" w:cs="Arial"/>
          <w:color w:val="000000"/>
        </w:rPr>
        <w:t xml:space="preserve"> (Accessed: 29 June 2026)</w:t>
      </w:r>
    </w:p>
    <w:p w14:paraId="687F0F30"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PIB Delhi (2025). </w:t>
      </w:r>
      <w:r>
        <w:rPr>
          <w:rFonts w:ascii="Arial" w:eastAsia="Arial" w:hAnsi="Arial" w:cs="Arial"/>
          <w:i/>
          <w:iCs/>
          <w:color w:val="000000"/>
        </w:rPr>
        <w:t>Unlocking India’s Green Hydrogen Production Potential</w:t>
      </w:r>
      <w:r>
        <w:rPr>
          <w:rFonts w:ascii="Arial" w:eastAsia="Arial" w:hAnsi="Arial" w:cs="Arial"/>
          <w:color w:val="000000"/>
        </w:rPr>
        <w:t>. Available at:</w:t>
      </w:r>
      <w:hyperlink r:id="rId38">
        <w:r w:rsidR="00722E2D">
          <w:rPr>
            <w:rFonts w:ascii="Arial" w:eastAsia="Arial" w:hAnsi="Arial" w:cs="Arial"/>
            <w:color w:val="000000"/>
          </w:rPr>
          <w:t xml:space="preserve"> </w:t>
        </w:r>
      </w:hyperlink>
      <w:hyperlink r:id="rId39">
        <w:r w:rsidR="00722E2D">
          <w:rPr>
            <w:rFonts w:ascii="Arial" w:eastAsia="Arial" w:hAnsi="Arial" w:cs="Arial"/>
            <w:color w:val="1155CC"/>
            <w:u w:val="single"/>
          </w:rPr>
          <w:t>https://www.pib.gov.in/PressReleasePage.aspx?PRID=2189126&amp;reg=48&amp;lang=2</w:t>
        </w:r>
      </w:hyperlink>
      <w:r>
        <w:rPr>
          <w:rFonts w:ascii="Arial" w:eastAsia="Arial" w:hAnsi="Arial" w:cs="Arial"/>
          <w:color w:val="000000"/>
        </w:rPr>
        <w:t xml:space="preserve"> (Accessed: 30 June 2026)</w:t>
      </w:r>
    </w:p>
    <w:p w14:paraId="6D76894A"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PIB Delhi (2026). </w:t>
      </w:r>
      <w:r>
        <w:rPr>
          <w:rFonts w:ascii="Arial" w:eastAsia="Arial" w:hAnsi="Arial" w:cs="Arial"/>
          <w:i/>
          <w:iCs/>
          <w:color w:val="000000"/>
        </w:rPr>
        <w:t>India Showcases Carbon Credit Trading Scheme and Renewable Energy Standards at WTO Trade and Environment Week 2026</w:t>
      </w:r>
      <w:r>
        <w:rPr>
          <w:rFonts w:ascii="Arial" w:eastAsia="Arial" w:hAnsi="Arial" w:cs="Arial"/>
          <w:color w:val="000000"/>
        </w:rPr>
        <w:t>. Available at:</w:t>
      </w:r>
      <w:hyperlink r:id="rId40">
        <w:r w:rsidR="00722E2D">
          <w:rPr>
            <w:rFonts w:ascii="Arial" w:eastAsia="Arial" w:hAnsi="Arial" w:cs="Arial"/>
            <w:color w:val="000000"/>
          </w:rPr>
          <w:t xml:space="preserve"> </w:t>
        </w:r>
      </w:hyperlink>
      <w:hyperlink r:id="rId41">
        <w:r w:rsidR="00722E2D">
          <w:rPr>
            <w:rFonts w:ascii="Arial" w:eastAsia="Arial" w:hAnsi="Arial" w:cs="Arial"/>
            <w:color w:val="1155CC"/>
            <w:u w:val="single"/>
          </w:rPr>
          <w:t>https://www.pib.gov.in/PressReleasePage.aspx?PRID=2269438&amp;reg=3&amp;lang=1</w:t>
        </w:r>
      </w:hyperlink>
      <w:r>
        <w:rPr>
          <w:rFonts w:ascii="Arial" w:eastAsia="Arial" w:hAnsi="Arial" w:cs="Arial"/>
          <w:color w:val="000000"/>
        </w:rPr>
        <w:t xml:space="preserve"> (Accessed: 24 June 2026)</w:t>
      </w:r>
    </w:p>
    <w:p w14:paraId="777DC873" w14:textId="77777777" w:rsidR="00722E2D" w:rsidRDefault="00000000">
      <w:pPr>
        <w:spacing w:before="240"/>
        <w:rPr>
          <w:rFonts w:ascii="Arial" w:eastAsia="Arial" w:hAnsi="Arial" w:cs="Arial"/>
        </w:rPr>
      </w:pPr>
      <w:r>
        <w:rPr>
          <w:rFonts w:ascii="Arial" w:eastAsia="Arial" w:hAnsi="Arial" w:cs="Arial"/>
        </w:rPr>
        <w:lastRenderedPageBreak/>
        <w:t xml:space="preserve">PIB, (2025). </w:t>
      </w:r>
      <w:r>
        <w:rPr>
          <w:rFonts w:ascii="Arial" w:eastAsia="Arial" w:hAnsi="Arial" w:cs="Arial"/>
          <w:i/>
          <w:iCs/>
        </w:rPr>
        <w:t xml:space="preserve">PLI 1.1 Scheme Boosts India’s Specialty Steel Sector. </w:t>
      </w:r>
      <w:r>
        <w:rPr>
          <w:rFonts w:ascii="Arial" w:eastAsia="Arial" w:hAnsi="Arial" w:cs="Arial"/>
        </w:rPr>
        <w:t xml:space="preserve"> Available at: </w:t>
      </w:r>
      <w:hyperlink r:id="rId42">
        <w:r w:rsidR="00722E2D">
          <w:rPr>
            <w:rFonts w:ascii="Arial" w:eastAsia="Arial" w:hAnsi="Arial" w:cs="Arial"/>
            <w:color w:val="0000FF"/>
            <w:u w:val="single"/>
          </w:rPr>
          <w:t>https://www.pib.gov.in/PressReleaseIframePage.aspx?PRID=2114558&amp;reg=48&amp;lang=2</w:t>
        </w:r>
      </w:hyperlink>
      <w:r>
        <w:rPr>
          <w:rFonts w:ascii="Arial" w:eastAsia="Arial" w:hAnsi="Arial" w:cs="Arial"/>
        </w:rPr>
        <w:t xml:space="preserve"> (Accessed: 6 July 2026).</w:t>
      </w:r>
    </w:p>
    <w:p w14:paraId="2F7FEBA0"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SAIL (2026). </w:t>
      </w:r>
      <w:r>
        <w:rPr>
          <w:rFonts w:ascii="Arial" w:eastAsia="Arial" w:hAnsi="Arial" w:cs="Arial"/>
          <w:i/>
          <w:iCs/>
          <w:color w:val="000000"/>
        </w:rPr>
        <w:t>Environment Management Division</w:t>
      </w:r>
      <w:r>
        <w:rPr>
          <w:rFonts w:ascii="Arial" w:eastAsia="Arial" w:hAnsi="Arial" w:cs="Arial"/>
          <w:color w:val="000000"/>
        </w:rPr>
        <w:t>. Available at:</w:t>
      </w:r>
      <w:hyperlink r:id="rId43">
        <w:r w:rsidR="00722E2D">
          <w:rPr>
            <w:rFonts w:ascii="Arial" w:eastAsia="Arial" w:hAnsi="Arial" w:cs="Arial"/>
            <w:color w:val="000000"/>
          </w:rPr>
          <w:t xml:space="preserve"> </w:t>
        </w:r>
      </w:hyperlink>
      <w:hyperlink r:id="rId44">
        <w:r w:rsidR="00722E2D">
          <w:rPr>
            <w:rFonts w:ascii="Arial" w:eastAsia="Arial" w:hAnsi="Arial" w:cs="Arial"/>
            <w:color w:val="1155CC"/>
            <w:u w:val="single"/>
          </w:rPr>
          <w:t>https://www.sail.co.in/en/plants/environment-management-division</w:t>
        </w:r>
      </w:hyperlink>
      <w:r>
        <w:rPr>
          <w:rFonts w:ascii="Arial" w:eastAsia="Arial" w:hAnsi="Arial" w:cs="Arial"/>
          <w:color w:val="000000"/>
        </w:rPr>
        <w:t xml:space="preserve"> (Accessed: 26 June 2026)</w:t>
      </w:r>
    </w:p>
    <w:p w14:paraId="597F18BD" w14:textId="77777777" w:rsidR="00722E2D" w:rsidRDefault="00000000">
      <w:pPr>
        <w:spacing w:before="240"/>
        <w:rPr>
          <w:rFonts w:ascii="Arial" w:eastAsia="Arial" w:hAnsi="Arial" w:cs="Arial"/>
        </w:rPr>
      </w:pPr>
      <w:r>
        <w:rPr>
          <w:rFonts w:ascii="Arial" w:eastAsia="Arial" w:hAnsi="Arial" w:cs="Arial"/>
        </w:rPr>
        <w:t xml:space="preserve">SMM, (2026). </w:t>
      </w:r>
      <w:r>
        <w:rPr>
          <w:rFonts w:ascii="Arial" w:eastAsia="Arial" w:hAnsi="Arial" w:cs="Arial"/>
          <w:i/>
          <w:iCs/>
        </w:rPr>
        <w:t xml:space="preserve">[Tata Steel plans Rs 200bn capex for capacity expansion and new technology]. </w:t>
      </w:r>
      <w:r>
        <w:rPr>
          <w:rFonts w:ascii="Arial" w:eastAsia="Arial" w:hAnsi="Arial" w:cs="Arial"/>
        </w:rPr>
        <w:t xml:space="preserve"> Available at: </w:t>
      </w:r>
      <w:hyperlink r:id="rId45">
        <w:r w:rsidR="00722E2D">
          <w:rPr>
            <w:rFonts w:ascii="Arial" w:eastAsia="Arial" w:hAnsi="Arial" w:cs="Arial"/>
            <w:color w:val="0000FF"/>
            <w:u w:val="single"/>
          </w:rPr>
          <w:t>https://news.metal.com/newscontent/103992235-tata-steel-plans-rs-200bn-capex-for-capacity-expansion-and-new-technology</w:t>
        </w:r>
      </w:hyperlink>
      <w:r>
        <w:rPr>
          <w:rFonts w:ascii="Arial" w:eastAsia="Arial" w:hAnsi="Arial" w:cs="Arial"/>
        </w:rPr>
        <w:t xml:space="preserve"> (Accessed: 7 July 2026).</w:t>
      </w:r>
    </w:p>
    <w:p w14:paraId="7BE4ECAA" w14:textId="77777777" w:rsidR="00722E2D" w:rsidRDefault="00000000">
      <w:pPr>
        <w:spacing w:before="240"/>
        <w:rPr>
          <w:rFonts w:ascii="Arial" w:eastAsia="Arial" w:hAnsi="Arial" w:cs="Arial"/>
        </w:rPr>
      </w:pPr>
      <w:r>
        <w:rPr>
          <w:rFonts w:ascii="Arial" w:eastAsia="Arial" w:hAnsi="Arial" w:cs="Arial"/>
        </w:rPr>
        <w:t xml:space="preserve">Swati Verma, (2026). </w:t>
      </w:r>
      <w:r>
        <w:rPr>
          <w:rFonts w:ascii="Arial" w:eastAsia="Arial" w:hAnsi="Arial" w:cs="Arial"/>
          <w:i/>
          <w:iCs/>
        </w:rPr>
        <w:t>Tata Steel may defer UK low-carbon steel project by up to 8 months; shares slip 2%</w:t>
      </w:r>
      <w:r>
        <w:rPr>
          <w:rFonts w:ascii="Arial" w:eastAsia="Arial" w:hAnsi="Arial" w:cs="Arial"/>
        </w:rPr>
        <w:t xml:space="preserve">. Available at: </w:t>
      </w:r>
      <w:hyperlink r:id="rId46">
        <w:r w:rsidR="00722E2D">
          <w:rPr>
            <w:rFonts w:ascii="Arial" w:eastAsia="Arial" w:hAnsi="Arial" w:cs="Arial"/>
            <w:color w:val="0000FF"/>
            <w:u w:val="single"/>
          </w:rPr>
          <w:t>https://upstox.com/news/market-news/stocks/tata-steel-may-defer-uk-low-carbon-steel-project-by-up-to-8-months-amid-power-access-delays-shares-slip-2/article-194938/</w:t>
        </w:r>
      </w:hyperlink>
      <w:r>
        <w:rPr>
          <w:rFonts w:ascii="Arial" w:eastAsia="Arial" w:hAnsi="Arial" w:cs="Arial"/>
        </w:rPr>
        <w:t xml:space="preserve"> (Accessed: 5 July 2026).</w:t>
      </w:r>
    </w:p>
    <w:p w14:paraId="18582614"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Tata Steel (2026). </w:t>
      </w:r>
      <w:r>
        <w:rPr>
          <w:rFonts w:ascii="Arial" w:eastAsia="Arial" w:hAnsi="Arial" w:cs="Arial"/>
          <w:i/>
          <w:iCs/>
          <w:color w:val="000000"/>
        </w:rPr>
        <w:t>119</w:t>
      </w:r>
      <w:r>
        <w:rPr>
          <w:rFonts w:ascii="Arial" w:eastAsia="Arial" w:hAnsi="Arial" w:cs="Arial"/>
          <w:i/>
          <w:iCs/>
          <w:color w:val="000000"/>
          <w:vertAlign w:val="superscript"/>
        </w:rPr>
        <w:t>th</w:t>
      </w:r>
      <w:r>
        <w:rPr>
          <w:rFonts w:ascii="Arial" w:eastAsia="Arial" w:hAnsi="Arial" w:cs="Arial"/>
          <w:i/>
          <w:iCs/>
          <w:color w:val="000000"/>
        </w:rPr>
        <w:t xml:space="preserve"> year - Integrated Report and Annual Accounts 2025-26</w:t>
      </w:r>
      <w:r>
        <w:rPr>
          <w:rFonts w:ascii="Arial" w:eastAsia="Arial" w:hAnsi="Arial" w:cs="Arial"/>
          <w:color w:val="000000"/>
        </w:rPr>
        <w:t>. Available at:</w:t>
      </w:r>
      <w:hyperlink r:id="rId47">
        <w:r w:rsidR="00722E2D">
          <w:rPr>
            <w:rFonts w:ascii="Arial" w:eastAsia="Arial" w:hAnsi="Arial" w:cs="Arial"/>
            <w:color w:val="000000"/>
          </w:rPr>
          <w:t xml:space="preserve"> </w:t>
        </w:r>
      </w:hyperlink>
      <w:hyperlink r:id="rId48">
        <w:r w:rsidR="00722E2D">
          <w:rPr>
            <w:rFonts w:ascii="Arial" w:eastAsia="Arial" w:hAnsi="Arial" w:cs="Arial"/>
            <w:color w:val="1155CC"/>
            <w:u w:val="single"/>
          </w:rPr>
          <w:t>https://www.tatasteel.com/media/25904/tatasteel-iar-2025-26.pdf</w:t>
        </w:r>
      </w:hyperlink>
      <w:r>
        <w:rPr>
          <w:rFonts w:ascii="Arial" w:eastAsia="Arial" w:hAnsi="Arial" w:cs="Arial"/>
          <w:color w:val="000000"/>
        </w:rPr>
        <w:t xml:space="preserve"> (Accessed: 25 June 2026)</w:t>
      </w:r>
    </w:p>
    <w:p w14:paraId="08B98B89" w14:textId="77777777" w:rsidR="00722E2D" w:rsidRDefault="00000000">
      <w:pPr>
        <w:spacing w:before="240"/>
        <w:rPr>
          <w:rFonts w:ascii="Arial" w:eastAsia="Arial" w:hAnsi="Arial" w:cs="Arial"/>
          <w:sz w:val="22"/>
          <w:szCs w:val="22"/>
        </w:rPr>
      </w:pPr>
      <w:r>
        <w:rPr>
          <w:rFonts w:ascii="Arial" w:eastAsia="Arial" w:hAnsi="Arial" w:cs="Arial"/>
        </w:rPr>
        <w:t xml:space="preserve">Tata Steel, (2026). </w:t>
      </w:r>
      <w:r>
        <w:rPr>
          <w:rFonts w:ascii="Arial" w:eastAsia="Arial" w:hAnsi="Arial" w:cs="Arial"/>
          <w:i/>
          <w:iCs/>
        </w:rPr>
        <w:t>Business Responsibility and Sustainability Report for FY 2025-26</w:t>
      </w:r>
      <w:r>
        <w:rPr>
          <w:rFonts w:ascii="Arial" w:eastAsia="Arial" w:hAnsi="Arial" w:cs="Arial"/>
        </w:rPr>
        <w:t xml:space="preserve">. Available at: </w:t>
      </w:r>
      <w:hyperlink r:id="rId49">
        <w:r w:rsidR="00722E2D">
          <w:rPr>
            <w:rFonts w:ascii="Arial" w:eastAsia="Arial" w:hAnsi="Arial" w:cs="Arial"/>
            <w:color w:val="0000FF"/>
            <w:u w:val="single"/>
          </w:rPr>
          <w:t>https://www.tatasteel.com/media/25905/nsebsebrsr.pdf</w:t>
        </w:r>
      </w:hyperlink>
      <w:r>
        <w:rPr>
          <w:rFonts w:ascii="Arial" w:eastAsia="Arial" w:hAnsi="Arial" w:cs="Arial"/>
        </w:rPr>
        <w:t xml:space="preserve"> (Accessed: 3 July 2026).</w:t>
      </w:r>
    </w:p>
    <w:p w14:paraId="512AB812" w14:textId="77777777" w:rsidR="00722E2D" w:rsidRDefault="00000000">
      <w:pPr>
        <w:spacing w:before="240"/>
        <w:rPr>
          <w:rFonts w:ascii="Arial" w:eastAsia="Arial" w:hAnsi="Arial" w:cs="Arial"/>
        </w:rPr>
      </w:pPr>
      <w:r>
        <w:rPr>
          <w:rFonts w:ascii="Arial" w:eastAsia="Arial" w:hAnsi="Arial" w:cs="Arial"/>
        </w:rPr>
        <w:t xml:space="preserve">Tata Steel, (2026). </w:t>
      </w:r>
      <w:r>
        <w:rPr>
          <w:rFonts w:ascii="Arial" w:eastAsia="Arial" w:hAnsi="Arial" w:cs="Arial"/>
          <w:i/>
          <w:iCs/>
        </w:rPr>
        <w:t>Green steel and sustainability</w:t>
      </w:r>
      <w:r>
        <w:rPr>
          <w:rFonts w:ascii="Arial" w:eastAsia="Arial" w:hAnsi="Arial" w:cs="Arial"/>
        </w:rPr>
        <w:t xml:space="preserve">. Available at: </w:t>
      </w:r>
      <w:hyperlink r:id="rId50">
        <w:r w:rsidR="00722E2D">
          <w:rPr>
            <w:rFonts w:ascii="Arial" w:eastAsia="Arial" w:hAnsi="Arial" w:cs="Arial"/>
            <w:color w:val="0000FF"/>
            <w:u w:val="single"/>
          </w:rPr>
          <w:t>https://www.tatasteelnederland.com/en/sustainability</w:t>
        </w:r>
      </w:hyperlink>
      <w:r>
        <w:rPr>
          <w:rFonts w:ascii="Arial" w:eastAsia="Arial" w:hAnsi="Arial" w:cs="Arial"/>
        </w:rPr>
        <w:t xml:space="preserve"> (Accessed: 1 July 2026).</w:t>
      </w:r>
    </w:p>
    <w:p w14:paraId="6EE4784E" w14:textId="77777777" w:rsidR="00722E2D" w:rsidRDefault="00000000">
      <w:pPr>
        <w:spacing w:before="240"/>
        <w:rPr>
          <w:rFonts w:ascii="Arial" w:eastAsia="Arial" w:hAnsi="Arial" w:cs="Arial"/>
        </w:rPr>
      </w:pPr>
      <w:r>
        <w:rPr>
          <w:rFonts w:ascii="Arial" w:eastAsia="Arial" w:hAnsi="Arial" w:cs="Arial"/>
        </w:rPr>
        <w:t xml:space="preserve">Tata Steel, (2026). </w:t>
      </w:r>
      <w:r>
        <w:rPr>
          <w:rFonts w:ascii="Arial" w:eastAsia="Arial" w:hAnsi="Arial" w:cs="Arial"/>
          <w:i/>
          <w:iCs/>
        </w:rPr>
        <w:t xml:space="preserve">How Tata Steel is growing aggressively while </w:t>
      </w:r>
      <w:proofErr w:type="spellStart"/>
      <w:r>
        <w:rPr>
          <w:rFonts w:ascii="Arial" w:eastAsia="Arial" w:hAnsi="Arial" w:cs="Arial"/>
          <w:i/>
          <w:iCs/>
        </w:rPr>
        <w:t>minimising</w:t>
      </w:r>
      <w:proofErr w:type="spellEnd"/>
      <w:r>
        <w:rPr>
          <w:rFonts w:ascii="Arial" w:eastAsia="Arial" w:hAnsi="Arial" w:cs="Arial"/>
          <w:i/>
          <w:iCs/>
        </w:rPr>
        <w:t xml:space="preserve"> its carbon footprint</w:t>
      </w:r>
      <w:r>
        <w:rPr>
          <w:rFonts w:ascii="Arial" w:eastAsia="Arial" w:hAnsi="Arial" w:cs="Arial"/>
        </w:rPr>
        <w:t xml:space="preserve">. Available at: </w:t>
      </w:r>
      <w:hyperlink r:id="rId51">
        <w:r w:rsidR="00722E2D">
          <w:rPr>
            <w:rFonts w:ascii="Arial" w:eastAsia="Arial" w:hAnsi="Arial" w:cs="Arial"/>
            <w:color w:val="0000FF"/>
            <w:u w:val="single"/>
          </w:rPr>
          <w:t>https://www.tatasteel.com/sustainability/social/climate-action/</w:t>
        </w:r>
      </w:hyperlink>
      <w:r>
        <w:rPr>
          <w:rFonts w:ascii="Arial" w:eastAsia="Arial" w:hAnsi="Arial" w:cs="Arial"/>
        </w:rPr>
        <w:t xml:space="preserve"> (Accessed: 7 July 2026).</w:t>
      </w:r>
    </w:p>
    <w:p w14:paraId="4DE84C82" w14:textId="77777777" w:rsidR="00722E2D" w:rsidRDefault="00000000">
      <w:pPr>
        <w:spacing w:before="240"/>
        <w:rPr>
          <w:rFonts w:ascii="Arial" w:eastAsia="Arial" w:hAnsi="Arial" w:cs="Arial"/>
          <w:sz w:val="22"/>
          <w:szCs w:val="22"/>
        </w:rPr>
      </w:pPr>
      <w:r>
        <w:rPr>
          <w:rFonts w:ascii="Arial" w:eastAsia="Arial" w:hAnsi="Arial" w:cs="Arial"/>
        </w:rPr>
        <w:lastRenderedPageBreak/>
        <w:t xml:space="preserve">Tata Steel, (2026). </w:t>
      </w:r>
      <w:r>
        <w:rPr>
          <w:rFonts w:ascii="Arial" w:eastAsia="Arial" w:hAnsi="Arial" w:cs="Arial"/>
          <w:i/>
          <w:iCs/>
          <w:sz w:val="22"/>
          <w:szCs w:val="22"/>
        </w:rPr>
        <w:t>Integrated Report &amp; Annual Accounts 2025-26</w:t>
      </w:r>
      <w:r>
        <w:rPr>
          <w:rFonts w:ascii="Arial" w:eastAsia="Arial" w:hAnsi="Arial" w:cs="Arial"/>
        </w:rPr>
        <w:t xml:space="preserve">. Available at: </w:t>
      </w:r>
      <w:hyperlink r:id="rId52">
        <w:r w:rsidR="00722E2D">
          <w:rPr>
            <w:rFonts w:ascii="Arial" w:eastAsia="Arial" w:hAnsi="Arial" w:cs="Arial"/>
            <w:color w:val="0000FF"/>
            <w:u w:val="single"/>
          </w:rPr>
          <w:t>https://www.tatasteel.com/investors/integrated-reportannual-report/integrated-report-annual-accounts-2025-26-119th-year-and-related-documents/</w:t>
        </w:r>
      </w:hyperlink>
      <w:r>
        <w:rPr>
          <w:rFonts w:ascii="Arial" w:eastAsia="Arial" w:hAnsi="Arial" w:cs="Arial"/>
        </w:rPr>
        <w:t xml:space="preserve"> (Accessed: 4 July 2026).</w:t>
      </w:r>
    </w:p>
    <w:p w14:paraId="63CC00F3" w14:textId="77777777" w:rsidR="00722E2D" w:rsidRDefault="00000000">
      <w:pPr>
        <w:spacing w:before="240"/>
        <w:rPr>
          <w:rFonts w:ascii="Arial" w:eastAsia="Arial" w:hAnsi="Arial" w:cs="Arial"/>
        </w:rPr>
      </w:pPr>
      <w:r>
        <w:rPr>
          <w:rFonts w:ascii="Arial" w:eastAsia="Arial" w:hAnsi="Arial" w:cs="Arial"/>
        </w:rPr>
        <w:t xml:space="preserve">Tata Steel, (2026). </w:t>
      </w:r>
      <w:r>
        <w:rPr>
          <w:rFonts w:ascii="Arial" w:eastAsia="Arial" w:hAnsi="Arial" w:cs="Arial"/>
          <w:i/>
          <w:iCs/>
        </w:rPr>
        <w:t>Our commitment to the planet</w:t>
      </w:r>
      <w:r>
        <w:rPr>
          <w:rFonts w:ascii="Arial" w:eastAsia="Arial" w:hAnsi="Arial" w:cs="Arial"/>
        </w:rPr>
        <w:t xml:space="preserve">. Available at: </w:t>
      </w:r>
      <w:hyperlink r:id="rId53">
        <w:r w:rsidR="00722E2D">
          <w:rPr>
            <w:rFonts w:ascii="Arial" w:eastAsia="Arial" w:hAnsi="Arial" w:cs="Arial"/>
            <w:color w:val="0000FF"/>
            <w:u w:val="single"/>
          </w:rPr>
          <w:t>https://products.tatasteelnederland.com/services/sustainable-solutions/zeremis/carbon-reduction-projects</w:t>
        </w:r>
      </w:hyperlink>
      <w:r>
        <w:rPr>
          <w:rFonts w:ascii="Arial" w:eastAsia="Arial" w:hAnsi="Arial" w:cs="Arial"/>
        </w:rPr>
        <w:t xml:space="preserve"> (Accessed: 7 July 2026).</w:t>
      </w:r>
    </w:p>
    <w:p w14:paraId="244D4F6F" w14:textId="77777777" w:rsidR="00722E2D" w:rsidRDefault="00000000">
      <w:pPr>
        <w:spacing w:before="240"/>
        <w:rPr>
          <w:rFonts w:ascii="Arial" w:eastAsia="Arial" w:hAnsi="Arial" w:cs="Arial"/>
          <w:sz w:val="22"/>
          <w:szCs w:val="22"/>
        </w:rPr>
      </w:pPr>
      <w:r>
        <w:rPr>
          <w:rFonts w:ascii="Arial" w:eastAsia="Arial" w:hAnsi="Arial" w:cs="Arial"/>
        </w:rPr>
        <w:t xml:space="preserve">Tata Steel, (2026). </w:t>
      </w:r>
      <w:r>
        <w:rPr>
          <w:rFonts w:ascii="Arial" w:eastAsia="Arial" w:hAnsi="Arial" w:cs="Arial"/>
          <w:i/>
          <w:iCs/>
          <w:sz w:val="22"/>
          <w:szCs w:val="22"/>
        </w:rPr>
        <w:t xml:space="preserve">Tata Steel Partners with Google Cloud </w:t>
      </w:r>
      <w:proofErr w:type="gramStart"/>
      <w:r>
        <w:rPr>
          <w:rFonts w:ascii="Arial" w:eastAsia="Arial" w:hAnsi="Arial" w:cs="Arial"/>
          <w:i/>
          <w:iCs/>
          <w:sz w:val="22"/>
          <w:szCs w:val="22"/>
        </w:rPr>
        <w:t>To</w:t>
      </w:r>
      <w:proofErr w:type="gramEnd"/>
      <w:r>
        <w:rPr>
          <w:rFonts w:ascii="Arial" w:eastAsia="Arial" w:hAnsi="Arial" w:cs="Arial"/>
          <w:i/>
          <w:iCs/>
          <w:sz w:val="22"/>
          <w:szCs w:val="22"/>
        </w:rPr>
        <w:t xml:space="preserve"> Deploy a Unified Agentic AI Across its Global Value Chain</w:t>
      </w:r>
      <w:r>
        <w:rPr>
          <w:rFonts w:ascii="Arial" w:eastAsia="Arial" w:hAnsi="Arial" w:cs="Arial"/>
        </w:rPr>
        <w:t xml:space="preserve">. Available at: </w:t>
      </w:r>
      <w:hyperlink r:id="rId54">
        <w:r w:rsidR="00722E2D">
          <w:rPr>
            <w:rFonts w:ascii="Arial" w:eastAsia="Arial" w:hAnsi="Arial" w:cs="Arial"/>
            <w:color w:val="0000FF"/>
            <w:u w:val="single"/>
          </w:rPr>
          <w:t>https://www.tatasteel.com/newsroom/press-releases/india/2026/tata-steel-partners-with-google-cloud-to-deploy-a-unified-agentic-ai-across-its-global-value-chain/</w:t>
        </w:r>
      </w:hyperlink>
      <w:r>
        <w:rPr>
          <w:rFonts w:ascii="Arial" w:eastAsia="Arial" w:hAnsi="Arial" w:cs="Arial"/>
        </w:rPr>
        <w:t xml:space="preserve"> (Accessed: 2 July 2026).</w:t>
      </w:r>
    </w:p>
    <w:p w14:paraId="44ED110B"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Transport Environment (2025). </w:t>
      </w:r>
      <w:r>
        <w:rPr>
          <w:rFonts w:ascii="Arial" w:eastAsia="Arial" w:hAnsi="Arial" w:cs="Arial"/>
          <w:i/>
          <w:iCs/>
          <w:color w:val="000000"/>
        </w:rPr>
        <w:t>Cleaning up steel in cars: why and how?</w:t>
      </w:r>
      <w:r>
        <w:rPr>
          <w:rFonts w:ascii="Arial" w:eastAsia="Arial" w:hAnsi="Arial" w:cs="Arial"/>
          <w:color w:val="000000"/>
        </w:rPr>
        <w:t xml:space="preserve"> Available at:</w:t>
      </w:r>
      <w:hyperlink r:id="rId55">
        <w:r w:rsidR="00722E2D">
          <w:rPr>
            <w:rFonts w:ascii="Arial" w:eastAsia="Arial" w:hAnsi="Arial" w:cs="Arial"/>
            <w:color w:val="000000"/>
          </w:rPr>
          <w:t xml:space="preserve"> </w:t>
        </w:r>
      </w:hyperlink>
      <w:hyperlink r:id="rId56">
        <w:r w:rsidR="00722E2D">
          <w:rPr>
            <w:rFonts w:ascii="Arial" w:eastAsia="Arial" w:hAnsi="Arial" w:cs="Arial"/>
            <w:color w:val="1155CC"/>
            <w:u w:val="single"/>
          </w:rPr>
          <w:t>https://uploads.transportenvironment.org/production/files/Green-steel-in-cars-briefing_July-2024.docx.pdf</w:t>
        </w:r>
      </w:hyperlink>
      <w:r>
        <w:rPr>
          <w:rFonts w:ascii="Arial" w:eastAsia="Arial" w:hAnsi="Arial" w:cs="Arial"/>
          <w:color w:val="000000"/>
        </w:rPr>
        <w:t xml:space="preserve"> (Accessed: 26 June 2026)</w:t>
      </w:r>
    </w:p>
    <w:p w14:paraId="55B3A3EB" w14:textId="77777777" w:rsidR="00722E2D" w:rsidRDefault="00000000">
      <w:pPr>
        <w:pBdr>
          <w:top w:val="nil"/>
          <w:left w:val="nil"/>
          <w:bottom w:val="nil"/>
          <w:right w:val="nil"/>
          <w:between w:val="nil"/>
        </w:pBdr>
        <w:spacing w:before="240" w:after="160"/>
        <w:rPr>
          <w:rFonts w:ascii="Arial" w:eastAsia="Arial" w:hAnsi="Arial" w:cs="Arial"/>
          <w:color w:val="000000"/>
        </w:rPr>
      </w:pPr>
      <w:r>
        <w:rPr>
          <w:rFonts w:ascii="Arial" w:eastAsia="Arial" w:hAnsi="Arial" w:cs="Arial"/>
          <w:color w:val="000000"/>
        </w:rPr>
        <w:t xml:space="preserve">UNCTAD (2026). </w:t>
      </w:r>
      <w:r>
        <w:rPr>
          <w:rFonts w:ascii="Arial" w:eastAsia="Arial" w:hAnsi="Arial" w:cs="Arial"/>
          <w:i/>
          <w:iCs/>
          <w:color w:val="000000"/>
        </w:rPr>
        <w:t>Global investment rises 6% to $1.6 trillion, but development gains remain uneven</w:t>
      </w:r>
      <w:r>
        <w:rPr>
          <w:rFonts w:ascii="Arial" w:eastAsia="Arial" w:hAnsi="Arial" w:cs="Arial"/>
          <w:color w:val="000000"/>
        </w:rPr>
        <w:t>. Available at:</w:t>
      </w:r>
      <w:hyperlink r:id="rId57">
        <w:r w:rsidR="00722E2D">
          <w:rPr>
            <w:rFonts w:ascii="Arial" w:eastAsia="Arial" w:hAnsi="Arial" w:cs="Arial"/>
            <w:color w:val="000000"/>
          </w:rPr>
          <w:t xml:space="preserve"> </w:t>
        </w:r>
      </w:hyperlink>
      <w:hyperlink r:id="rId58">
        <w:r w:rsidR="00722E2D">
          <w:rPr>
            <w:rFonts w:ascii="Arial" w:eastAsia="Arial" w:hAnsi="Arial" w:cs="Arial"/>
            <w:color w:val="1155CC"/>
            <w:u w:val="single"/>
          </w:rPr>
          <w:t>https://unctad.org/news/global-investment-rises-6-16-trillion-development-gains-remain-uneven</w:t>
        </w:r>
      </w:hyperlink>
      <w:r>
        <w:rPr>
          <w:rFonts w:ascii="Arial" w:eastAsia="Arial" w:hAnsi="Arial" w:cs="Arial"/>
          <w:color w:val="000000"/>
        </w:rPr>
        <w:t xml:space="preserve"> (Accessed: 28 June 2026)</w:t>
      </w:r>
    </w:p>
    <w:p w14:paraId="67A44ECD" w14:textId="77777777" w:rsidR="00722E2D" w:rsidRDefault="00000000">
      <w:pPr>
        <w:spacing w:before="240"/>
        <w:rPr>
          <w:rFonts w:ascii="Arial" w:eastAsia="Arial" w:hAnsi="Arial" w:cs="Arial"/>
        </w:rPr>
      </w:pPr>
      <w:r>
        <w:rPr>
          <w:rFonts w:ascii="Arial" w:eastAsia="Arial" w:hAnsi="Arial" w:cs="Arial"/>
        </w:rPr>
        <w:t xml:space="preserve">Yahoo Finance, (2025). </w:t>
      </w:r>
      <w:r>
        <w:rPr>
          <w:rFonts w:ascii="Arial" w:eastAsia="Arial" w:hAnsi="Arial" w:cs="Arial"/>
          <w:i/>
          <w:iCs/>
        </w:rPr>
        <w:t>Green Steel to Hit USD 189.82 Billion by 2032, at a CAGR of 60.4%, says Coherent Market Insights</w:t>
      </w:r>
      <w:r>
        <w:rPr>
          <w:rFonts w:ascii="Arial" w:eastAsia="Arial" w:hAnsi="Arial" w:cs="Arial"/>
        </w:rPr>
        <w:t xml:space="preserve">. Available at: </w:t>
      </w:r>
      <w:hyperlink r:id="rId59">
        <w:r w:rsidR="00722E2D">
          <w:rPr>
            <w:rFonts w:ascii="Arial" w:eastAsia="Arial" w:hAnsi="Arial" w:cs="Arial"/>
            <w:color w:val="0000FF"/>
            <w:u w:val="single"/>
          </w:rPr>
          <w:t>https://finance.yahoo.com/news/green-steel-hit-usd-189-141900615.html?guccounter=1&amp;guce_referrer=aHR0cHM6Ly93d3cuZ29vZ2xlLmNvbS8&amp;guce_referrer_sig=AQAAANouHC6DvO45B0W-HDskI6kEykhycqUykf3nBX4o2FQ-cNcnN-a_K4YxRwG0x70ZzDXega-Mex5OXPWTUklCyyLYhBRoUVGcbhSTHUNJkcEswTNI3aVDebGnO_Ehw2J7IG_xYi3KdxpNvdqqkgqHiOqMAz3_7WPsKFlNoE6157J0</w:t>
        </w:r>
      </w:hyperlink>
      <w:r>
        <w:rPr>
          <w:rFonts w:ascii="Arial" w:eastAsia="Arial" w:hAnsi="Arial" w:cs="Arial"/>
        </w:rPr>
        <w:t xml:space="preserve"> (Accessed: 3 July 2026).</w:t>
      </w:r>
    </w:p>
    <w:sectPr w:rsidR="00722E2D">
      <w:headerReference w:type="default" r:id="rId60"/>
      <w:footerReference w:type="default" r:id="rId61"/>
      <w:headerReference w:type="first" r:id="rId62"/>
      <w:footerReference w:type="first" r:id="rId6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22BC3F" w14:textId="77777777" w:rsidR="00D926F2" w:rsidRDefault="00D926F2">
      <w:pPr>
        <w:spacing w:after="0" w:line="240" w:lineRule="auto"/>
      </w:pPr>
      <w:r>
        <w:separator/>
      </w:r>
    </w:p>
  </w:endnote>
  <w:endnote w:type="continuationSeparator" w:id="0">
    <w:p w14:paraId="4FB141DD" w14:textId="77777777" w:rsidR="00D926F2" w:rsidRDefault="00D9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225D457-70EF-964B-803D-540A276B0F19}"/>
    <w:embedItalic r:id="rId2" w:fontKey="{0EE86D53-32E8-5D45-A890-C6893AC915B7}"/>
  </w:font>
  <w:font w:name="Arial">
    <w:panose1 w:val="020B0604020202020204"/>
    <w:charset w:val="00"/>
    <w:family w:val="swiss"/>
    <w:pitch w:val="variable"/>
    <w:sig w:usb0="E0002EFF" w:usb1="C000785B" w:usb2="00000009" w:usb3="00000000" w:csb0="000001FF" w:csb1="00000000"/>
    <w:embedRegular r:id="rId3" w:fontKey="{75CBAD87-F438-4B46-99F5-9B3268E6D03D}"/>
    <w:embedBold r:id="rId4" w:fontKey="{7D500D9F-4518-A14D-9532-685202A2F69F}"/>
    <w:embedItalic r:id="rId5" w:fontKey="{BA636E02-85AC-FF43-95F6-B2AD2F72FC0E}"/>
    <w:embedBoldItalic r:id="rId6" w:fontKey="{0D725023-EC28-6F43-B40A-3A7817A6F838}"/>
  </w:font>
  <w:font w:name="Calibri">
    <w:panose1 w:val="020F0502020204030204"/>
    <w:charset w:val="00"/>
    <w:family w:val="swiss"/>
    <w:pitch w:val="variable"/>
    <w:sig w:usb0="E4002EFF" w:usb1="C000247B" w:usb2="00000009" w:usb3="00000000" w:csb0="000001FF" w:csb1="00000000"/>
    <w:embedRegular r:id="rId7" w:fontKey="{38ACC8EF-7167-1947-8247-8FA819F70DF7}"/>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8" w:fontKey="{C5CD1DCE-75CD-7542-9DDD-B65328BAC0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328BCB" w14:textId="77777777" w:rsidR="00722E2D" w:rsidRDefault="00000000">
    <w:pPr>
      <w:pBdr>
        <w:top w:val="nil"/>
        <w:left w:val="nil"/>
        <w:bottom w:val="nil"/>
        <w:right w:val="nil"/>
        <w:between w:val="nil"/>
      </w:pBdr>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884327">
      <w:rPr>
        <w:rFonts w:ascii="Arial" w:eastAsia="Arial" w:hAnsi="Arial" w:cs="Arial"/>
        <w:noProof/>
        <w:color w:val="000000"/>
        <w:sz w:val="20"/>
        <w:szCs w:val="20"/>
      </w:rPr>
      <w:t>2</w:t>
    </w:r>
    <w:r>
      <w:rPr>
        <w:rFonts w:ascii="Arial" w:eastAsia="Arial" w:hAnsi="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273DC7" w14:textId="77777777" w:rsidR="00722E2D" w:rsidRDefault="00722E2D">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6507CC" w14:textId="77777777" w:rsidR="00D926F2" w:rsidRDefault="00D926F2">
      <w:pPr>
        <w:spacing w:after="0" w:line="240" w:lineRule="auto"/>
      </w:pPr>
      <w:r>
        <w:separator/>
      </w:r>
    </w:p>
  </w:footnote>
  <w:footnote w:type="continuationSeparator" w:id="0">
    <w:p w14:paraId="138D0BFC" w14:textId="77777777" w:rsidR="00D926F2" w:rsidRDefault="00D92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AED38D" w14:textId="77777777" w:rsidR="00722E2D" w:rsidRDefault="00722E2D">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E8AED5" w14:textId="77777777" w:rsidR="00722E2D" w:rsidRDefault="00000000">
    <w:pPr>
      <w:pBdr>
        <w:top w:val="nil"/>
        <w:left w:val="nil"/>
        <w:bottom w:val="nil"/>
        <w:right w:val="nil"/>
        <w:between w:val="nil"/>
      </w:pBdr>
      <w:rPr>
        <w:color w:val="000000"/>
      </w:rPr>
    </w:pPr>
    <w:r>
      <w:rPr>
        <w:noProof/>
        <w:color w:val="000000"/>
      </w:rPr>
      <w:drawing>
        <wp:inline distT="114300" distB="114300" distL="114300" distR="114300" wp14:anchorId="4BB7FFDE" wp14:editId="6CDFD2B8">
          <wp:extent cx="1728788" cy="78721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1728788" cy="78721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B7361D6"/>
    <w:multiLevelType w:val="multilevel"/>
    <w:tmpl w:val="4F362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742419"/>
    <w:multiLevelType w:val="multilevel"/>
    <w:tmpl w:val="4BFEC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13737760">
    <w:abstractNumId w:val="1"/>
  </w:num>
  <w:num w:numId="2" w16cid:durableId="15463344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E2D"/>
    <w:rsid w:val="00075254"/>
    <w:rsid w:val="000A375C"/>
    <w:rsid w:val="001F32E5"/>
    <w:rsid w:val="00242428"/>
    <w:rsid w:val="00406B7B"/>
    <w:rsid w:val="004374AA"/>
    <w:rsid w:val="004C247B"/>
    <w:rsid w:val="00507DF8"/>
    <w:rsid w:val="00722E2D"/>
    <w:rsid w:val="00871578"/>
    <w:rsid w:val="00884327"/>
    <w:rsid w:val="009221BD"/>
    <w:rsid w:val="009766AF"/>
    <w:rsid w:val="00CC04C7"/>
    <w:rsid w:val="00D926F2"/>
    <w:rsid w:val="00F96D2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E3DE"/>
  <w15:docId w15:val="{592C6B34-A1DF-4E28-B11C-8E5DBAAF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gu-IN"/>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rFonts w:ascii="Arial" w:eastAsia="Arial" w:hAnsi="Arial" w:cs="Arial"/>
      <w:b/>
      <w:bCs/>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rFonts w:ascii="Arial" w:eastAsia="Arial" w:hAnsi="Arial" w:cs="Arial"/>
      <w:b/>
      <w:b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rFonts w:ascii="Arial" w:eastAsia="Arial" w:hAnsi="Arial" w:cs="Arial"/>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507DF8"/>
    <w:pPr>
      <w:spacing w:after="100"/>
    </w:pPr>
  </w:style>
  <w:style w:type="paragraph" w:styleId="TOC2">
    <w:name w:val="toc 2"/>
    <w:basedOn w:val="Normal"/>
    <w:next w:val="Normal"/>
    <w:autoRedefine/>
    <w:uiPriority w:val="39"/>
    <w:unhideWhenUsed/>
    <w:rsid w:val="00507DF8"/>
    <w:pPr>
      <w:spacing w:after="100"/>
      <w:ind w:left="240"/>
    </w:pPr>
  </w:style>
  <w:style w:type="paragraph" w:styleId="TOC3">
    <w:name w:val="toc 3"/>
    <w:basedOn w:val="Normal"/>
    <w:next w:val="Normal"/>
    <w:autoRedefine/>
    <w:uiPriority w:val="39"/>
    <w:unhideWhenUsed/>
    <w:rsid w:val="00507DF8"/>
    <w:pPr>
      <w:spacing w:after="100"/>
      <w:ind w:left="480"/>
    </w:pPr>
  </w:style>
  <w:style w:type="character" w:styleId="Hyperlink">
    <w:name w:val="Hyperlink"/>
    <w:basedOn w:val="DefaultParagraphFont"/>
    <w:uiPriority w:val="99"/>
    <w:unhideWhenUsed/>
    <w:rsid w:val="00507D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ieefa.org/resources/steel-decarbonisation-india" TargetMode="External"/><Relationship Id="rId21" Type="http://schemas.openxmlformats.org/officeDocument/2006/relationships/hyperlink" Target="https://www.ey.com/content/dam/ey-unified-site/ey-com/en-in/insights/mining-metals/doucments/ey-unlocking-green-steel-demand-digital.pdf" TargetMode="External"/><Relationship Id="rId34" Type="http://schemas.openxmlformats.org/officeDocument/2006/relationships/hyperlink" Target="https://www.carbonbrief.org/analysis-indias-co2-emissions-in-2025-grew-at-slowest-rate-in-two-decades/" TargetMode="External"/><Relationship Id="rId42" Type="http://schemas.openxmlformats.org/officeDocument/2006/relationships/hyperlink" Target="https://www.pib.gov.in/PressReleaseIframePage.aspx?PRID=2114558&amp;reg=48&amp;lang=2" TargetMode="External"/><Relationship Id="rId47" Type="http://schemas.openxmlformats.org/officeDocument/2006/relationships/hyperlink" Target="https://www.tatasteel.com/media/25904/tatasteel-iar-2025-26.pdf" TargetMode="External"/><Relationship Id="rId50" Type="http://schemas.openxmlformats.org/officeDocument/2006/relationships/hyperlink" Target="https://www.tatasteelnederland.com/en/sustainability" TargetMode="External"/><Relationship Id="rId55" Type="http://schemas.openxmlformats.org/officeDocument/2006/relationships/hyperlink" Target="https://uploads.transportenvironment.org/production/files/Green-steel-in-cars-briefing_July-2024.docx.pdf" TargetMode="External"/><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group.jsw.in/groups/sustainability-framework-measuring-success-climate-change" TargetMode="External"/><Relationship Id="rId11" Type="http://schemas.openxmlformats.org/officeDocument/2006/relationships/image" Target="media/image5.png"/><Relationship Id="rId24" Type="http://schemas.openxmlformats.org/officeDocument/2006/relationships/hyperlink" Target="https://www.fortunebusinessinsights.com/green-mining-market-109672?__cf_chl_f_tk=MXlCceuTCirvCL7K1gu.HNlUxknDI5OxVwevI4apGGk-1783409773-1.0.1.1-iU1OCQPqKCTdeNGZs.g3t.0hJXNsOzzoPoTqvIetiow" TargetMode="External"/><Relationship Id="rId32" Type="http://schemas.openxmlformats.org/officeDocument/2006/relationships/hyperlink" Target="https://www.morganstanley.com/insights/articles/sustainable-fund-performance-second-half-2025" TargetMode="External"/><Relationship Id="rId37" Type="http://schemas.openxmlformats.org/officeDocument/2006/relationships/hyperlink" Target="https://www.pib.gov.in/PressReleasePage.aspx?PRID=2083839&amp;reg=48&amp;lang=2" TargetMode="External"/><Relationship Id="rId40" Type="http://schemas.openxmlformats.org/officeDocument/2006/relationships/hyperlink" Target="https://www.pib.gov.in/PressReleasePage.aspx?PRID=2269438&amp;reg=3&amp;lang=1" TargetMode="External"/><Relationship Id="rId45" Type="http://schemas.openxmlformats.org/officeDocument/2006/relationships/hyperlink" Target="https://news.metal.com/newscontent/103992235-tata-steel-plans-rs-200bn-capex-for-capacity-expansion-and-new-technology" TargetMode="External"/><Relationship Id="rId53" Type="http://schemas.openxmlformats.org/officeDocument/2006/relationships/hyperlink" Target="https://products.tatasteelnederland.com/services/sustainable-solutions/zeremis/carbon-reduction-projects" TargetMode="External"/><Relationship Id="rId58" Type="http://schemas.openxmlformats.org/officeDocument/2006/relationships/hyperlink" Target="https://unctad.org/news/global-investment-rises-6-16-trillion-development-gains-remain-uneven"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idtechex.com/en/research-article/key-drivers-and-technologies-shaping-the-green-steel-market/32939" TargetMode="External"/><Relationship Id="rId14" Type="http://schemas.openxmlformats.org/officeDocument/2006/relationships/image" Target="media/image8.png"/><Relationship Id="rId22" Type="http://schemas.openxmlformats.org/officeDocument/2006/relationships/hyperlink" Target="https://www.forcegood.org/tab-one-world" TargetMode="External"/><Relationship Id="rId27" Type="http://schemas.openxmlformats.org/officeDocument/2006/relationships/hyperlink" Target="https://www.indiascienceandtechnology.gov.in/st-visions/national-mission/national-green-hydrogen-mission" TargetMode="External"/><Relationship Id="rId30" Type="http://schemas.openxmlformats.org/officeDocument/2006/relationships/hyperlink" Target="https://group.jsw.in/groups/sustainability-framework-measuring-success-climate-change" TargetMode="External"/><Relationship Id="rId35" Type="http://schemas.openxmlformats.org/officeDocument/2006/relationships/hyperlink" Target="https://www.businesstoday.in/magazine/deep-dive/story/how-tata-steel-is-growing-aggressively-while-minimising-its-carbon-footprint-536099-2026-06-10" TargetMode="External"/><Relationship Id="rId43" Type="http://schemas.openxmlformats.org/officeDocument/2006/relationships/hyperlink" Target="https://www.sail.co.in/en/plants/environment-management-division" TargetMode="External"/><Relationship Id="rId48" Type="http://schemas.openxmlformats.org/officeDocument/2006/relationships/hyperlink" Target="https://www.tatasteel.com/media/25904/tatasteel-iar-2025-26.pdf" TargetMode="External"/><Relationship Id="rId56" Type="http://schemas.openxmlformats.org/officeDocument/2006/relationships/hyperlink" Target="https://uploads.transportenvironment.org/production/files/Green-steel-in-cars-briefing_July-2024.docx.pdf"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tatasteel.com/sustainability/social/climate-action/"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ieefa.org/resources/steel-decarbonisation-india" TargetMode="External"/><Relationship Id="rId33" Type="http://schemas.openxmlformats.org/officeDocument/2006/relationships/hyperlink" Target="https://www.carbonbrief.org/analysis-indias-co2-emissions-in-2025-grew-at-slowest-rate-in-two-decades/" TargetMode="External"/><Relationship Id="rId38" Type="http://schemas.openxmlformats.org/officeDocument/2006/relationships/hyperlink" Target="https://www.pib.gov.in/PressReleasePage.aspx?PRID=2189126&amp;reg=48&amp;lang=2" TargetMode="External"/><Relationship Id="rId46" Type="http://schemas.openxmlformats.org/officeDocument/2006/relationships/hyperlink" Target="https://upstox.com/news/market-news/stocks/tata-steel-may-defer-uk-low-carbon-steel-project-by-up-to-8-months-amid-power-access-delays-shares-slip-2/article-194938/" TargetMode="External"/><Relationship Id="rId59" Type="http://schemas.openxmlformats.org/officeDocument/2006/relationships/hyperlink" Target="https://finance.yahoo.com/news/green-steel-hit-usd-189-141900615.html?guccounter=1&amp;guce_referrer=aHR0cHM6Ly93d3cuZ29vZ2xlLmNvbS8&amp;guce_referrer_sig=AQAAANouHC6DvO45B0W-HDskI6kEykhycqUykf3nBX4o2FQ-cNcnN-a_K4YxRwG0x70ZzDXega-Mex5OXPWTUklCyyLYhBRoUVGcbhSTHUNJkcEswTNI3aVDebGnO_Ehw2J7IG_xYi3KdxpNvdqqkgqHiOqMAz3_7WPsKFlNoE6157J0" TargetMode="External"/><Relationship Id="rId20" Type="http://schemas.openxmlformats.org/officeDocument/2006/relationships/hyperlink" Target="https://www.deccanchronicle.com/business/tata-steel-posts-strong-fy26-growth-pat-surges-243-at-119th-agm-1967767" TargetMode="External"/><Relationship Id="rId41" Type="http://schemas.openxmlformats.org/officeDocument/2006/relationships/hyperlink" Target="https://www.pib.gov.in/PressReleasePage.aspx?PRID=2269438&amp;reg=3&amp;lang=1" TargetMode="External"/><Relationship Id="rId54" Type="http://schemas.openxmlformats.org/officeDocument/2006/relationships/hyperlink" Target="https://www.tatasteel.com/newsroom/press-releases/india/2026/tata-steel-partners-with-google-cloud-to-deploy-a-unified-agentic-ai-across-its-global-value-chain/" TargetMode="External"/><Relationship Id="rId62"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forcegood.org/tab-one-world" TargetMode="External"/><Relationship Id="rId28" Type="http://schemas.openxmlformats.org/officeDocument/2006/relationships/hyperlink" Target="https://www.indiascienceandtechnology.gov.in/st-visions/national-mission/national-green-hydrogen-mission" TargetMode="External"/><Relationship Id="rId36" Type="http://schemas.openxmlformats.org/officeDocument/2006/relationships/hyperlink" Target="https://www.pib.gov.in/PressReleasePage.aspx?PRID=2083839&amp;reg=48&amp;lang=2" TargetMode="External"/><Relationship Id="rId49" Type="http://schemas.openxmlformats.org/officeDocument/2006/relationships/hyperlink" Target="https://www.tatasteel.com/media/25905/nsebsebrsr.pdf" TargetMode="External"/><Relationship Id="rId57" Type="http://schemas.openxmlformats.org/officeDocument/2006/relationships/hyperlink" Target="https://unctad.org/news/global-investment-rises-6-16-trillion-development-gains-remain-uneven" TargetMode="External"/><Relationship Id="rId10" Type="http://schemas.openxmlformats.org/officeDocument/2006/relationships/image" Target="media/image4.png"/><Relationship Id="rId31" Type="http://schemas.openxmlformats.org/officeDocument/2006/relationships/hyperlink" Target="https://www.morganstanley.com/insights/articles/sustainable-fund-performance-second-half-2025" TargetMode="External"/><Relationship Id="rId44" Type="http://schemas.openxmlformats.org/officeDocument/2006/relationships/hyperlink" Target="https://www.sail.co.in/en/plants/environment-management-division" TargetMode="External"/><Relationship Id="rId52" Type="http://schemas.openxmlformats.org/officeDocument/2006/relationships/hyperlink" Target="https://www.tatasteel.com/investors/integrated-reportannual-report/integrated-report-annual-accounts-2025-26-119th-year-and-related-documents/"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carbonmarketwatch.org/glossary/carbon-border-adjustment-mechanism-cbam/" TargetMode="External"/><Relationship Id="rId39" Type="http://schemas.openxmlformats.org/officeDocument/2006/relationships/hyperlink" Target="https://www.pib.gov.in/PressReleasePage.aspx?PRID=2189126&amp;reg=48&amp;lang=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4815</Words>
  <Characters>27446</Characters>
  <Application>Microsoft Office Word</Application>
  <DocSecurity>0</DocSecurity>
  <Lines>228</Lines>
  <Paragraphs>64</Paragraphs>
  <ScaleCrop>false</ScaleCrop>
  <Company/>
  <LinksUpToDate>false</LinksUpToDate>
  <CharactersWithSpaces>32197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Karankumar Rameshbhai Chaudhary (2538332)</cp:lastModifiedBy>
  <cp:revision>15</cp:revision>
  <dcterms:created xsi:type="dcterms:W3CDTF">2026-07-09T15:23:00Z</dcterms:created>
  <dcterms:modified xsi:type="dcterms:W3CDTF">2026-07-17T12:25:00Z</dcterms:modified>
</cp:coreProperties>
</file>